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brainsafe-ai-technical-report"/>
    <w:p>
      <w:pPr>
        <w:pStyle w:val="Heading1"/>
      </w:pPr>
      <w:r>
        <w:t xml:space="preserve">BrainSafe AI: Technical Report</w:t>
      </w:r>
    </w:p>
    <w:tbl>
      <w:tblPr>
        <w:tblStyle w:val="Table"/>
        <w:tblW w:type="pct" w:w="5000"/>
        <w:jc w:val="center"/>
        <w:tblLayout w:type="autofit"/>
        <w:tblLook w:firstRow="0" w:lastRow="0" w:firstColumn="0" w:lastColumn="0" w:noHBand="0" w:noVBand="0" w:val="0000"/>
        <w:tblLayout w:type="autofit"/>
      </w:tblPr>
      <w:tblGrid>
        <w:gridCol w:w="3960"/>
        <w:gridCol w:w="3960"/>
      </w:tblGrid>
      <w:tr>
        <w:trPr>
          <w:tblHeader w:val="true"/>
        </w:trPr>
        <w:tc>
          <w:tcPr>
            <w:shd w:val="clear" w:fill="EAF0F7"/>
          </w:tcPr>
          <w:p>
            <w:pPr>
              <w:pStyle w:val="Compact"/>
            </w:pPr>
            <w:r>
              <w:rPr>
                <w:b/>
                <w:bCs/>
                <w:sz w:val="17"/>
              </w:rPr>
              <w:t xml:space="preserve">Document</w:t>
            </w:r>
          </w:p>
        </w:tc>
        <w:tc>
          <w:tcPr>
            <w:shd w:val="clear" w:fill="EAF0F7"/>
          </w:tcPr>
          <w:p>
            <w:pPr>
              <w:pStyle w:val="Compact"/>
            </w:pPr>
            <w:r>
              <w:rPr>
                <w:b/>
                <w:sz w:val="17"/>
              </w:rPr>
              <w:t xml:space="preserve">Technical report on the BrainSafe AI prediction panel</w:t>
            </w:r>
          </w:p>
        </w:tc>
      </w:tr>
      <w:tr>
        <w:tc>
          <w:tcPr/>
          <w:p>
            <w:pPr>
              <w:pStyle w:val="Compact"/>
            </w:pPr>
            <w:r>
              <w:rPr>
                <w:b/>
                <w:bCs/>
              </w:rPr>
              <w:t xml:space="preserve">Generated</w:t>
            </w:r>
          </w:p>
        </w:tc>
        <w:tc>
          <w:tcPr/>
          <w:p>
            <w:pPr>
              <w:pStyle w:val="Compact"/>
            </w:pPr>
            <w:r>
              <w:t xml:space="preserve">2026-09-16, automatically, from the deployed panel</w:t>
            </w:r>
          </w:p>
        </w:tc>
      </w:tr>
      <w:tr>
        <w:tc>
          <w:tcPr/>
          <w:p>
            <w:pPr>
              <w:pStyle w:val="Compact"/>
            </w:pPr>
            <w:r>
              <w:rPr>
                <w:b/>
                <w:bCs/>
              </w:rPr>
              <w:t xml:space="preserve">Commit</w:t>
            </w:r>
          </w:p>
        </w:tc>
        <w:tc>
          <w:tcPr/>
          <w:p>
            <w:pPr>
              <w:pStyle w:val="Compact"/>
            </w:pPr>
            <w:r>
              <w:rPr>
                <w:rStyle w:val="VerbatimChar"/>
              </w:rPr>
              <w:t xml:space="preserve">966c9a1</w:t>
            </w:r>
          </w:p>
        </w:tc>
      </w:tr>
      <w:tr>
        <w:tc>
          <w:tcPr/>
          <w:p>
            <w:pPr>
              <w:pStyle w:val="Compact"/>
            </w:pPr>
            <w:r>
              <w:rPr>
                <w:b/>
                <w:bCs/>
              </w:rPr>
              <w:t xml:space="preserve">Status</w:t>
            </w:r>
          </w:p>
        </w:tc>
        <w:tc>
          <w:tcPr/>
          <w:p>
            <w:pPr>
              <w:pStyle w:val="Compact"/>
            </w:pPr>
            <w:r>
              <w:t xml:space="preserve">Research preview, pending peer review</w:t>
            </w:r>
          </w:p>
        </w:tc>
      </w:tr>
      <w:tr>
        <w:tc>
          <w:tcPr/>
          <w:p>
            <w:pPr>
              <w:pStyle w:val="Compact"/>
            </w:pPr>
            <w:r>
              <w:rPr>
                <w:b/>
                <w:bCs/>
              </w:rPr>
              <w:t xml:space="preserve">Repository</w:t>
            </w:r>
          </w:p>
        </w:tc>
        <w:tc>
          <w:tcPr/>
          <w:p>
            <w:pPr>
              <w:pStyle w:val="Compact"/>
            </w:pPr>
            <w:r>
              <w:t xml:space="preserve">https://github.com/krishna-g-999/brainsafe-ai</w:t>
            </w:r>
          </w:p>
        </w:tc>
      </w:tr>
      <w:tr>
        <w:tc>
          <w:tcPr/>
          <w:p>
            <w:pPr>
              <w:pStyle w:val="Compact"/>
            </w:pPr>
            <w:r>
              <w:rPr>
                <w:b/>
                <w:bCs/>
              </w:rPr>
              <w:t xml:space="preserve">Regenerate</w:t>
            </w:r>
          </w:p>
        </w:tc>
        <w:tc>
          <w:tcPr/>
          <w:p>
            <w:pPr>
              <w:pStyle w:val="Compact"/>
            </w:pPr>
            <w:r>
              <w:rPr>
                <w:rStyle w:val="VerbatimChar"/>
              </w:rPr>
              <w:t xml:space="preserve">python src/brainsafe/analysis/build_technical_report.py</w:t>
            </w:r>
          </w:p>
        </w:tc>
      </w:tr>
    </w:tbl>
    <w:p>
      <w:pPr>
        <w:pStyle w:val="BodyText"/>
      </w:pPr>
      <w:r>
        <w:t xml:space="preserve">Every figure in this document is read from an artefact in this repository at generation time. None</w:t>
      </w:r>
      <w:r>
        <w:t xml:space="preserve"> </w:t>
      </w:r>
      <w:r>
        <w:t xml:space="preserve">is typed in, so the document cannot describe a panel other than the one that is deployed.</w:t>
      </w:r>
    </w:p>
    <w:p>
      <w:r>
        <w:pict>
          <v:rect style="width:0;height:1.5pt" o:hralign="center" o:hrstd="t" o:hr="t"/>
        </w:pict>
      </w:r>
    </w:p>
    <w:bookmarkStart w:id="10" w:name="executive-summary"/>
    <w:p>
      <w:pPr>
        <w:pStyle w:val="Heading2"/>
      </w:pPr>
      <w:r>
        <w:t xml:space="preserve">0. Executive summary</w:t>
      </w:r>
    </w:p>
    <w:p>
      <w:pPr>
        <w:pStyle w:val="FirstParagraph"/>
      </w:pPr>
      <w:r>
        <w:t xml:space="preserve">BrainSafe AI predicts, from chemical structure alone, whether a small molecule reaches the human</w:t>
      </w:r>
      <w:r>
        <w:t xml:space="preserve"> </w:t>
      </w:r>
      <w:r>
        <w:t xml:space="preserve">brain, what it engages there, which conditions that mechanism touches, and what would stop it</w:t>
      </w:r>
      <w:r>
        <w:t xml:space="preserve"> </w:t>
      </w:r>
      <w:r>
        <w:t xml:space="preserve">becoming a drug. It exists because CNS attrition is not usually a potency problem: a compound can be</w:t>
      </w:r>
      <w:r>
        <w:t xml:space="preserve"> </w:t>
      </w:r>
      <w:r>
        <w:t xml:space="preserve">potent at its intended target and never arrive, or arrive and carry a liability nobody tested for.</w:t>
      </w:r>
    </w:p>
    <w:p>
      <w:pPr>
        <w:pStyle w:val="BodyText"/>
      </w:pPr>
      <w:r>
        <w:rPr>
          <w:b/>
          <w:bCs/>
        </w:rPr>
        <w:t xml:space="preserve">What it is.</w:t>
      </w:r>
      <w:r>
        <w:t xml:space="preserve"> </w:t>
      </w:r>
      <w:r>
        <w:t xml:space="preserve">75 fitted estimators, 70 deployed, trained on</w:t>
      </w:r>
      <w:r>
        <w:t xml:space="preserve"> </w:t>
      </w:r>
      <w:r>
        <w:t xml:space="preserve">228,200 measured compound-endpoint records drawn from ChEMBL, BindingDB, B3DB, Therapeutics</w:t>
      </w:r>
      <w:r>
        <w:t xml:space="preserve"> </w:t>
      </w:r>
      <w:r>
        <w:t xml:space="preserve">Data Commons and MoleculeNet. Every endpoint is trained on measured experimental values only; no</w:t>
      </w:r>
      <w:r>
        <w:t xml:space="preserve"> </w:t>
      </w:r>
      <w:r>
        <w:t xml:space="preserve">label comes from a curator’s annotation and no value is imputed.</w:t>
      </w:r>
    </w:p>
    <w:p>
      <w:pPr>
        <w:pStyle w:val="BodyText"/>
      </w:pPr>
      <w:r>
        <w:rPr>
          <w:b/>
          <w:bCs/>
        </w:rPr>
        <w:t xml:space="preserve">How well it works.</w:t>
      </w:r>
      <w:r>
        <w:t xml:space="preserve"> </w:t>
      </w:r>
      <w:r>
        <w:t xml:space="preserve">Across the measured-label classifiers, mean AUROC is</w:t>
      </w:r>
      <w:r>
        <w:t xml:space="preserve"> </w:t>
      </w:r>
      <w:r>
        <w:t xml:space="preserve">0.958 under a random</w:t>
      </w:r>
      <w:r>
        <w:t xml:space="preserve"> </w:t>
      </w:r>
      <w:r>
        <w:t xml:space="preserve">split and 0.925 under a</w:t>
      </w:r>
      <w:r>
        <w:t xml:space="preserve"> </w:t>
      </w:r>
      <w:r>
        <w:t xml:space="preserve">scaffold-grouped split that withholds entire structural classes. The binder panel, validated against</w:t>
      </w:r>
      <w:r>
        <w:t xml:space="preserve"> </w:t>
      </w:r>
      <w:r>
        <w:t xml:space="preserve">compounds measured at the same target and found inactive rather than against decoys, reaches a mean</w:t>
      </w:r>
      <w:r>
        <w:t xml:space="preserve"> </w:t>
      </w:r>
      <w:r>
        <w:t xml:space="preserve">AUROC of 0.917 at a mean sensitivity of</w:t>
      </w:r>
      <w:r>
        <w:t xml:space="preserve"> </w:t>
      </w:r>
      <w:r>
        <w:t xml:space="preserve">0.764. Both are means over 47 endpoints and</w:t>
      </w:r>
      <w:r>
        <w:t xml:space="preserve"> </w:t>
      </w:r>
      <w:r>
        <w:t xml:space="preserve">the spread is wide, so the means alone flatter the panel: AUROC runs from</w:t>
      </w:r>
      <w:r>
        <w:t xml:space="preserve"> </w:t>
      </w:r>
      <w:r>
        <w:t xml:space="preserve">0.719 to</w:t>
      </w:r>
      <w:r>
        <w:t xml:space="preserve"> </w:t>
      </w:r>
      <w:r>
        <w:t xml:space="preserve">0.985 and sensitivity from</w:t>
      </w:r>
      <w:r>
        <w:t xml:space="preserve"> </w:t>
      </w:r>
      <w:r>
        <w:t xml:space="preserve">0.303 to</w:t>
      </w:r>
      <w:r>
        <w:t xml:space="preserve"> </w:t>
      </w:r>
      <w:r>
        <w:t xml:space="preserve">0.993, with the per-endpoint figures in section 2.1.</w:t>
      </w:r>
      <w:r>
        <w:t xml:space="preserve"> </w:t>
      </w:r>
      <w:r>
        <w:t xml:space="preserve">Sensitivity is measured on actives withheld by scaffold. 6</w:t>
      </w:r>
      <w:r>
        <w:t xml:space="preserve"> </w:t>
      </w:r>
      <w:r>
        <w:t xml:space="preserve">endpoints fall below the reliability gate, which is a sensitivity of 0.50 on</w:t>
      </w:r>
      <w:r>
        <w:t xml:space="preserve"> </w:t>
      </w:r>
      <w:r>
        <w:t xml:space="preserve">those withheld actives and an AUROC of 0.75 against compounds measured at the same</w:t>
      </w:r>
      <w:r>
        <w:t xml:space="preserve"> </w:t>
      </w:r>
      <w:r>
        <w:t xml:space="preserve">target and found inactive; each stays deployed because it holds its background false-positive rate at</w:t>
      </w:r>
      <w:r>
        <w:t xml:space="preserve"> </w:t>
      </w:r>
      <w:r>
        <w:t xml:space="preserve">or below target, and the server marks a negative call from any of them as low-powered.</w:t>
      </w:r>
      <w:r>
        <w:t xml:space="preserve"> </w:t>
      </w:r>
      <w:r>
        <w:t xml:space="preserve">On 1,000 compounds with no recorded activity at any modelled target it stays silent</w:t>
      </w:r>
      <w:r>
        <w:t xml:space="preserve"> </w:t>
      </w:r>
      <w:r>
        <w:t xml:space="preserve">92.5% of the time. Those</w:t>
      </w:r>
      <w:r>
        <w:t xml:space="preserve"> </w:t>
      </w:r>
      <w:r>
        <w:t xml:space="preserve">compounds are presumed inactive because nothing is recorded about them rather than proven inactive,</w:t>
      </w:r>
      <w:r>
        <w:t xml:space="preserve"> </w:t>
      </w:r>
      <w:r>
        <w:t xml:space="preserve">so that figure is a lower bound.</w:t>
      </w:r>
    </w:p>
    <w:p>
      <w:pPr>
        <w:pStyle w:val="BodyText"/>
      </w:pPr>
      <w:r>
        <w:rPr>
          <w:b/>
          <w:bCs/>
        </w:rPr>
        <w:t xml:space="preserve">What is distinctive.</w:t>
      </w:r>
      <w:r>
        <w:t xml:space="preserve"> </w:t>
      </w:r>
      <w:r>
        <w:t xml:space="preserve">Three things, each of which is a decision rather than a default. The</w:t>
      </w:r>
      <w:r>
        <w:t xml:space="preserve"> </w:t>
      </w:r>
      <w:r>
        <w:t xml:space="preserve">negative class is</w:t>
      </w:r>
      <w:r>
        <w:t xml:space="preserve"> </w:t>
      </w:r>
      <w:r>
        <w:rPr>
          <w:i/>
          <w:iCs/>
        </w:rPr>
        <w:t xml:space="preserve">recovered from censored measurements</w:t>
      </w:r>
      <w:r>
        <w:t xml:space="preserve"> </w:t>
      </w:r>
      <w:r>
        <w:t xml:space="preserve">rather than simulated with decoys wherever</w:t>
      </w:r>
      <w:r>
        <w:t xml:space="preserve"> </w:t>
      </w:r>
      <w:r>
        <w:t xml:space="preserve">the data allows. Decision thresholds are</w:t>
      </w:r>
      <w:r>
        <w:t xml:space="preserve"> </w:t>
      </w:r>
      <w:r>
        <w:rPr>
          <w:i/>
          <w:iCs/>
        </w:rPr>
        <w:t xml:space="preserve">measured on a pool disjoint from the one that set them</w:t>
      </w:r>
      <w:r>
        <w:t xml:space="preserve">,</w:t>
      </w:r>
      <w:r>
        <w:t xml:space="preserve"> </w:t>
      </w:r>
      <w:r>
        <w:t xml:space="preserve">so a false-positive rate can disagree with its target instead of restating it. And every target</w:t>
      </w:r>
      <w:r>
        <w:t xml:space="preserve"> </w:t>
      </w:r>
      <w:r>
        <w:t xml:space="preserve">score is</w:t>
      </w:r>
      <w:r>
        <w:t xml:space="preserve"> </w:t>
      </w:r>
      <w:r>
        <w:rPr>
          <w:i/>
          <w:iCs/>
        </w:rPr>
        <w:t xml:space="preserve">gated by predicted exposure</w:t>
      </w:r>
      <w:r>
        <w:t xml:space="preserve">, so potency at a target the compound cannot reach contributes</w:t>
      </w:r>
      <w:r>
        <w:t xml:space="preserve"> </w:t>
      </w:r>
      <w:r>
        <w:t xml:space="preserve">nothing.</w:t>
      </w:r>
    </w:p>
    <w:p>
      <w:pPr>
        <w:pStyle w:val="BodyText"/>
      </w:pPr>
      <w:r>
        <w:rPr>
          <w:b/>
          <w:bCs/>
        </w:rPr>
        <w:t xml:space="preserve">What it does not do.</w:t>
      </w:r>
      <w:r>
        <w:t xml:space="preserve"> </w:t>
      </w:r>
      <w:r>
        <w:t xml:space="preserve">It does not predict clinical efficacy, distinguish agonism from antagonism,</w:t>
      </w:r>
      <w:r>
        <w:t xml:space="preserve"> </w:t>
      </w:r>
      <w:r>
        <w:t xml:space="preserve">or resolve chirality. Its disease layer is a route from a mechanism to the conditions that mechanism</w:t>
      </w:r>
      <w:r>
        <w:t xml:space="preserve"> </w:t>
      </w:r>
      <w:r>
        <w:t xml:space="preserve">touches, not an indication prediction, and it does not beat a frequency baseline. Five endpoints</w:t>
      </w:r>
      <w:r>
        <w:t xml:space="preserve"> </w:t>
      </w:r>
      <w:r>
        <w:t xml:space="preserve">were trained, tested and withdrawn. One adversarial check fails and is reported as failing. Section</w:t>
      </w:r>
      <w:r>
        <w:t xml:space="preserve"> </w:t>
      </w:r>
      <w:r>
        <w:t xml:space="preserve">8 states these in full.</w:t>
      </w:r>
    </w:p>
    <w:p>
      <w:r>
        <w:pict>
          <v:rect style="width:0;height:1.5pt" o:hralign="center" o:hrstd="t" o:hr="t"/>
        </w:pict>
      </w:r>
    </w:p>
    <w:bookmarkStart w:id="9" w:name="how-to-read-this-document"/>
    <w:p>
      <w:pPr>
        <w:pStyle w:val="Heading3"/>
      </w:pPr>
      <w:r>
        <w:t xml:space="preserve">0.1 How to read this document</w:t>
      </w:r>
    </w:p>
    <w:p>
      <w:pPr>
        <w:pStyle w:val="FirstParagraph"/>
      </w:pPr>
      <w:r>
        <w:t xml:space="preserve">This report is read by people with incompatible backgrounds. A statistician wants the estimator, the</w:t>
      </w:r>
      <w:r>
        <w:t xml:space="preserve"> </w:t>
      </w:r>
      <w:r>
        <w:t xml:space="preserve">splitting scheme and the interval construction stated precisely, and will not accept prose where an</w:t>
      </w:r>
      <w:r>
        <w:t xml:space="preserve"> </w:t>
      </w:r>
      <w:r>
        <w:t xml:space="preserve">equation belongs. A pharmacologist wants to know what the panel measures, whether the targets are the</w:t>
      </w:r>
      <w:r>
        <w:t xml:space="preserve"> </w:t>
      </w:r>
      <w:r>
        <w:t xml:space="preserve">right ones, and what a number means for a compound they might make. Writing only for either one</w:t>
      </w:r>
      <w:r>
        <w:t xml:space="preserve"> </w:t>
      </w:r>
      <w:r>
        <w:t xml:space="preserve">produces a document the other cannot check.</w:t>
      </w:r>
    </w:p>
    <w:p>
      <w:pPr>
        <w:pStyle w:val="BodyText"/>
      </w:pPr>
      <w:r>
        <w:t xml:space="preserve">The response here is not to compromise but to say the same things twice, in the register each reader</w:t>
      </w:r>
      <w:r>
        <w:t xml:space="preserve"> </w:t>
      </w:r>
      <w:r>
        <w:t xml:space="preserve">needs, and to mark which is which. Prose sections carry the reasoning and the biology. Section 3.7</w:t>
      </w:r>
      <w:r>
        <w:t xml:space="preserve"> </w:t>
      </w:r>
      <w:r>
        <w:t xml:space="preserve">restates the entire pipeline in notation, and is the one place where nothing is explained twice. The</w:t>
      </w:r>
      <w:r>
        <w:t xml:space="preserve"> </w:t>
      </w:r>
      <w:r>
        <w:t xml:space="preserve">two must agree; if they do not, that is a defect in this document.</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If you are</w:t>
            </w:r>
          </w:p>
        </w:tc>
        <w:tc>
          <w:tcPr>
            <w:shd w:val="clear" w:fill="EAF0F7"/>
          </w:tcPr>
          <w:p>
            <w:pPr>
              <w:pStyle w:val="Compact"/>
            </w:pPr>
            <w:r>
              <w:rPr>
                <w:b/>
                <w:sz w:val="17"/>
              </w:rPr>
              <w:t xml:space="preserve">Start at</w:t>
            </w:r>
          </w:p>
        </w:tc>
        <w:tc>
          <w:tcPr>
            <w:shd w:val="clear" w:fill="EAF0F7"/>
          </w:tcPr>
          <w:p>
            <w:pPr>
              <w:pStyle w:val="Compact"/>
            </w:pPr>
            <w:r>
              <w:rPr>
                <w:b/>
                <w:sz w:val="17"/>
              </w:rPr>
              <w:t xml:space="preserve">And you can skip</w:t>
            </w:r>
          </w:p>
        </w:tc>
      </w:tr>
      <w:tr>
        <w:tc>
          <w:tcPr/>
          <w:p>
            <w:pPr>
              <w:pStyle w:val="Compact"/>
            </w:pPr>
            <w:r>
              <w:rPr>
                <w:b/>
                <w:bCs/>
              </w:rPr>
              <w:t xml:space="preserve">A statistician or machine-learning reviewer</w:t>
            </w:r>
          </w:p>
        </w:tc>
        <w:tc>
          <w:tcPr/>
          <w:p>
            <w:pPr>
              <w:pStyle w:val="Compact"/>
            </w:pPr>
            <w:r>
              <w:rPr>
                <w:b/>
                <w:bCs/>
              </w:rPr>
              <w:t xml:space="preserve">3.7</w:t>
            </w:r>
            <w:r>
              <w:t xml:space="preserve">, the formal specification: estimator, splits, calibration, conformal construction, thresholds, aggregation, metrics. Then 6.1 (cross-validation), 6.5 (external validation), 6.9 (leakage and null models)</w:t>
            </w:r>
          </w:p>
        </w:tc>
        <w:tc>
          <w:tcPr/>
          <w:p>
            <w:pPr>
              <w:pStyle w:val="Compact"/>
            </w:pPr>
            <w:r>
              <w:t xml:space="preserve">Section 2.3 and section 5’s prose, which restate for a biological reader what 3.7 already says exactly</w:t>
            </w:r>
          </w:p>
        </w:tc>
      </w:tr>
      <w:tr>
        <w:tc>
          <w:tcPr/>
          <w:p>
            <w:pPr>
              <w:pStyle w:val="Compact"/>
            </w:pPr>
            <w:r>
              <w:rPr>
                <w:b/>
                <w:bCs/>
              </w:rPr>
              <w:t xml:space="preserve">A pharmacologist, neuroscientist or clinician</w:t>
            </w:r>
          </w:p>
        </w:tc>
        <w:tc>
          <w:tcPr/>
          <w:p>
            <w:pPr>
              <w:pStyle w:val="Compact"/>
            </w:pPr>
            <w:r>
              <w:rPr>
                <w:b/>
                <w:bCs/>
              </w:rPr>
              <w:t xml:space="preserve">1</w:t>
            </w:r>
            <w:r>
              <w:t xml:space="preserve"> </w:t>
            </w:r>
            <w:r>
              <w:t xml:space="preserve">(what the system is), then</w:t>
            </w:r>
            <w:r>
              <w:t xml:space="preserve"> </w:t>
            </w:r>
            <w:r>
              <w:rPr>
                <w:b/>
                <w:bCs/>
              </w:rPr>
              <w:t xml:space="preserve">2.3</w:t>
            </w:r>
            <w:r>
              <w:t xml:space="preserve"> </w:t>
            </w:r>
            <w:r>
              <w:t xml:space="preserve">(why these endpoints, by therapeutic axis), then</w:t>
            </w:r>
            <w:r>
              <w:t xml:space="preserve"> </w:t>
            </w:r>
            <w:r>
              <w:rPr>
                <w:b/>
                <w:bCs/>
              </w:rPr>
              <w:t xml:space="preserve">5</w:t>
            </w:r>
            <w:r>
              <w:t xml:space="preserve"> </w:t>
            </w:r>
            <w:r>
              <w:t xml:space="preserve">(how the layers combine) and</w:t>
            </w:r>
            <w:r>
              <w:t xml:space="preserve"> </w:t>
            </w:r>
            <w:r>
              <w:rPr>
                <w:b/>
                <w:bCs/>
              </w:rPr>
              <w:t xml:space="preserve">5.1</w:t>
            </w:r>
            <w:r>
              <w:t xml:space="preserve"> </w:t>
            </w:r>
            <w:r>
              <w:t xml:space="preserve">(a real query, read line by line)</w:t>
            </w:r>
          </w:p>
        </w:tc>
        <w:tc>
          <w:tcPr/>
          <w:p>
            <w:pPr>
              <w:pStyle w:val="Compact"/>
            </w:pPr>
            <w:r>
              <w:t xml:space="preserve">Section 3.7 entirely, and the interval arithmetic in 3.3 and 3.4; sections 6.5.1 to 6.5.6 can be read from their opening paragraphs alone</w:t>
            </w:r>
          </w:p>
        </w:tc>
      </w:tr>
      <w:tr>
        <w:tc>
          <w:tcPr/>
          <w:p>
            <w:pPr>
              <w:pStyle w:val="Compact"/>
            </w:pPr>
            <w:r>
              <w:rPr>
                <w:b/>
                <w:bCs/>
              </w:rPr>
              <w:t xml:space="preserve">A reviewer checking whether the claims are earned</w:t>
            </w:r>
          </w:p>
        </w:tc>
        <w:tc>
          <w:tcPr/>
          <w:p>
            <w:pPr>
              <w:pStyle w:val="Compact"/>
            </w:pPr>
            <w:r>
              <w:rPr>
                <w:b/>
                <w:bCs/>
              </w:rPr>
              <w:t xml:space="preserve">6</w:t>
            </w:r>
            <w:r>
              <w:t xml:space="preserve"> </w:t>
            </w:r>
            <w:r>
              <w:t xml:space="preserve">in full, then</w:t>
            </w:r>
            <w:r>
              <w:t xml:space="preserve"> </w:t>
            </w:r>
            <w:r>
              <w:rPr>
                <w:b/>
                <w:bCs/>
              </w:rPr>
              <w:t xml:space="preserve">8</w:t>
            </w:r>
            <w:r>
              <w:t xml:space="preserve"> </w:t>
            </w:r>
            <w:r>
              <w:t xml:space="preserve">and</w:t>
            </w:r>
            <w:r>
              <w:t xml:space="preserve"> </w:t>
            </w:r>
            <w:r>
              <w:rPr>
                <w:b/>
                <w:bCs/>
              </w:rPr>
              <w:t xml:space="preserve">8.2</w:t>
            </w:r>
            <w:r>
              <w:t xml:space="preserve">, where the five foreseeable criticisms are answered with measurements rather than argument</w:t>
            </w:r>
          </w:p>
        </w:tc>
        <w:tc>
          <w:tcPr/>
          <w:p>
            <w:pPr>
              <w:pStyle w:val="Compact"/>
            </w:pPr>
            <w:r>
              <w:t xml:space="preserve">Nothing. That is the point of those sections</w:t>
            </w:r>
          </w:p>
        </w:tc>
      </w:tr>
      <w:tr>
        <w:tc>
          <w:tcPr/>
          <w:p>
            <w:pPr>
              <w:pStyle w:val="Compact"/>
            </w:pPr>
            <w:r>
              <w:rPr>
                <w:b/>
                <w:bCs/>
              </w:rPr>
              <w:t xml:space="preserve">Someone deciding whether to use the server</w:t>
            </w:r>
          </w:p>
        </w:tc>
        <w:tc>
          <w:tcPr/>
          <w:p>
            <w:pPr>
              <w:pStyle w:val="Compact"/>
            </w:pPr>
            <w:r>
              <w:rPr>
                <w:b/>
                <w:bCs/>
              </w:rPr>
              <w:t xml:space="preserve">0</w:t>
            </w:r>
            <w:r>
              <w:t xml:space="preserve"> </w:t>
            </w:r>
            <w:r>
              <w:t xml:space="preserve">(executive summary),</w:t>
            </w:r>
            <w:r>
              <w:t xml:space="preserve"> </w:t>
            </w:r>
            <w:r>
              <w:rPr>
                <w:b/>
                <w:bCs/>
              </w:rPr>
              <w:t xml:space="preserve">5.1</w:t>
            </w:r>
            <w:r>
              <w:t xml:space="preserve"> </w:t>
            </w:r>
            <w:r>
              <w:t xml:space="preserve">(a worked query),</w:t>
            </w:r>
            <w:r>
              <w:t xml:space="preserve"> </w:t>
            </w:r>
            <w:r>
              <w:rPr>
                <w:b/>
                <w:bCs/>
              </w:rPr>
              <w:t xml:space="preserve">8</w:t>
            </w:r>
            <w:r>
              <w:t xml:space="preserve"> </w:t>
            </w:r>
            <w:r>
              <w:t xml:space="preserve">(limitations)</w:t>
            </w:r>
          </w:p>
        </w:tc>
        <w:tc>
          <w:tcPr/>
          <w:p>
            <w:pPr>
              <w:pStyle w:val="Compact"/>
            </w:pPr>
            <w:r>
              <w:t xml:space="preserve">Everything else</w:t>
            </w:r>
          </w:p>
        </w:tc>
      </w:tr>
    </w:tbl>
    <w:p>
      <w:pPr>
        <w:pStyle w:val="BodyText"/>
      </w:pPr>
      <w:r>
        <w:t xml:space="preserve">Three conventions hold throughout. Every number is read from an artefact in this repository at</w:t>
      </w:r>
      <w:r>
        <w:t xml:space="preserve"> </w:t>
      </w:r>
      <w:r>
        <w:t xml:space="preserve">generation time, so no figure here was typed by hand and none can drift from what the code produced.</w:t>
      </w:r>
      <w:r>
        <w:t xml:space="preserve"> </w:t>
      </w:r>
      <w:r>
        <w:t xml:space="preserve">Results that do not flatter the system are reported at the same size as results that do, and section</w:t>
      </w:r>
      <w:r>
        <w:t xml:space="preserve"> </w:t>
      </w:r>
      <w:r>
        <w:t xml:space="preserve">6.7 exists because four of the nine falsification hypotheses were refuted. And where a claim rests on</w:t>
      </w:r>
      <w:r>
        <w:t xml:space="preserve"> </w:t>
      </w:r>
      <w:r>
        <w:t xml:space="preserve">an assumption rather than a measurement, the assumption is named in the sentence that makes the</w:t>
      </w:r>
      <w:r>
        <w:t xml:space="preserve"> </w:t>
      </w:r>
      <w:r>
        <w:t xml:space="preserve">claim, not in a footnote.</w:t>
      </w:r>
    </w:p>
    <w:p>
      <w:r>
        <w:pict>
          <v:rect style="width:0;height:1.5pt" o:hralign="center" o:hrstd="t" o:hr="t"/>
        </w:pict>
      </w:r>
    </w:p>
    <w:bookmarkEnd w:id="9"/>
    <w:bookmarkEnd w:id="10"/>
    <w:bookmarkStart w:id="12" w:name="what-the-system-is"/>
    <w:p>
      <w:pPr>
        <w:pStyle w:val="Heading2"/>
      </w:pPr>
      <w:r>
        <w:t xml:space="preserve">1. What the system is</w:t>
      </w:r>
    </w:p>
    <w:p>
      <w:pPr>
        <w:pStyle w:val="FirstParagraph"/>
      </w:pPr>
      <w:r>
        <w:t xml:space="preserve">BrainSafe AI takes one small molecule, given as a SMILES string or a resolvable compound name, and</w:t>
      </w:r>
      <w:r>
        <w:t xml:space="preserve"> </w:t>
      </w:r>
      <w:r>
        <w:t xml:space="preserve">answers four questions about it in a single pass:</w:t>
      </w:r>
    </w:p>
    <w:p>
      <w:pPr>
        <w:pStyle w:val="Compact"/>
        <w:numPr>
          <w:ilvl w:val="0"/>
          <w:numId w:val="1001"/>
        </w:numPr>
      </w:pPr>
      <w:r>
        <w:rPr>
          <w:b/>
          <w:bCs/>
        </w:rPr>
        <w:t xml:space="preserve">Exposure.</w:t>
      </w:r>
      <w:r>
        <w:t xml:space="preserve"> </w:t>
      </w:r>
      <w:r>
        <w:t xml:space="preserve">Does it reach the brain, and at what free concentration?</w:t>
      </w:r>
    </w:p>
    <w:p>
      <w:pPr>
        <w:pStyle w:val="Compact"/>
        <w:numPr>
          <w:ilvl w:val="0"/>
          <w:numId w:val="1001"/>
        </w:numPr>
      </w:pPr>
      <w:r>
        <w:rPr>
          <w:b/>
          <w:bCs/>
        </w:rPr>
        <w:t xml:space="preserve">Engagement.</w:t>
      </w:r>
      <w:r>
        <w:t xml:space="preserve"> </w:t>
      </w:r>
      <w:r>
        <w:t xml:space="preserve">What does it bind there?</w:t>
      </w:r>
    </w:p>
    <w:p>
      <w:pPr>
        <w:pStyle w:val="Compact"/>
        <w:numPr>
          <w:ilvl w:val="0"/>
          <w:numId w:val="1001"/>
        </w:numPr>
      </w:pPr>
      <w:r>
        <w:rPr>
          <w:b/>
          <w:bCs/>
        </w:rPr>
        <w:t xml:space="preserve">Consequence.</w:t>
      </w:r>
      <w:r>
        <w:t xml:space="preserve"> </w:t>
      </w:r>
      <w:r>
        <w:t xml:space="preserve">What conditions does that mechanism touch?</w:t>
      </w:r>
    </w:p>
    <w:p>
      <w:pPr>
        <w:pStyle w:val="Compact"/>
        <w:numPr>
          <w:ilvl w:val="0"/>
          <w:numId w:val="1001"/>
        </w:numPr>
      </w:pPr>
      <w:r>
        <w:rPr>
          <w:b/>
          <w:bCs/>
        </w:rPr>
        <w:t xml:space="preserve">Developability.</w:t>
      </w:r>
      <w:r>
        <w:t xml:space="preserve"> </w:t>
      </w:r>
      <w:r>
        <w:t xml:space="preserve">What would stop it being a drug?</w:t>
      </w:r>
    </w:p>
    <w:p>
      <w:pPr>
        <w:pStyle w:val="FirstParagraph"/>
      </w:pPr>
      <w:r>
        <w:t xml:space="preserve">The system is</w:t>
      </w:r>
      <w:r>
        <w:t xml:space="preserve"> </w:t>
      </w:r>
      <w:r>
        <w:rPr>
          <w:b/>
          <w:bCs/>
        </w:rPr>
        <w:t xml:space="preserve">75 fitted estimators, 70 of them deployed</w:t>
      </w:r>
      <w:r>
        <w:t xml:space="preserve">, trained</w:t>
      </w:r>
      <w:r>
        <w:t xml:space="preserve"> </w:t>
      </w:r>
      <w:r>
        <w:t xml:space="preserve">on</w:t>
      </w:r>
      <w:r>
        <w:t xml:space="preserve"> </w:t>
      </w:r>
      <w:r>
        <w:rPr>
          <w:b/>
          <w:bCs/>
        </w:rPr>
        <w:t xml:space="preserve">228,200 measured compound-endpoint records</w:t>
      </w:r>
      <w:r>
        <w:t xml:space="preserve">. It is not one model. Section 4 explains why</w:t>
      </w:r>
      <w:r>
        <w:t xml:space="preserve"> </w:t>
      </w:r>
      <w:r>
        <w:t xml:space="preserve">that is a design decision rather than an accident, and section 5 explains how the pieces produce one</w:t>
      </w:r>
      <w:r>
        <w:t xml:space="preserve"> </w:t>
      </w:r>
      <w:r>
        <w:t xml:space="preserve">answer.</w:t>
      </w:r>
    </w:p>
    <w:bookmarkStart w:id="11" w:name="composition"/>
    <w:p>
      <w:pPr>
        <w:pStyle w:val="Heading3"/>
      </w:pPr>
      <w:r>
        <w:t xml:space="preserve">1.1 Composition</w:t>
      </w:r>
    </w:p>
    <w:tbl>
      <w:tblPr>
        <w:tblStyle w:val="Table"/>
        <w:tblW w:type="auto" w:w="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family</w:t>
            </w:r>
          </w:p>
        </w:tc>
        <w:tc>
          <w:tcPr>
            <w:shd w:val="clear" w:fill="EAF0F7"/>
          </w:tcPr>
          <w:p>
            <w:pPr>
              <w:pStyle w:val="Compact"/>
            </w:pPr>
            <w:r>
              <w:rPr>
                <w:b/>
                <w:sz w:val="17"/>
              </w:rPr>
              <w:t xml:space="preserve">task</w:t>
            </w:r>
          </w:p>
        </w:tc>
        <w:tc>
          <w:tcPr>
            <w:shd w:val="clear" w:fill="EAF0F7"/>
          </w:tcPr>
          <w:p>
            <w:pPr>
              <w:pStyle w:val="Compact"/>
            </w:pPr>
            <w:r>
              <w:rPr>
                <w:b/>
                <w:sz w:val="17"/>
              </w:rPr>
              <w:t xml:space="preserve">estimators</w:t>
            </w:r>
          </w:p>
        </w:tc>
      </w:tr>
      <w:tr>
        <w:tc>
          <w:tcPr/>
          <w:p>
            <w:pPr>
              <w:pStyle w:val="Compact"/>
            </w:pPr>
            <w:r>
              <w:t xml:space="preserve">binder</w:t>
            </w:r>
          </w:p>
        </w:tc>
        <w:tc>
          <w:tcPr/>
          <w:p>
            <w:pPr>
              <w:pStyle w:val="Compact"/>
            </w:pPr>
            <w:r>
              <w:t xml:space="preserve">classification</w:t>
            </w:r>
          </w:p>
        </w:tc>
        <w:tc>
          <w:tcPr/>
          <w:p>
            <w:pPr>
              <w:pStyle w:val="Compact"/>
            </w:pPr>
            <w:r>
              <w:t xml:space="preserve">52</w:t>
            </w:r>
          </w:p>
        </w:tc>
      </w:tr>
      <w:tr>
        <w:tc>
          <w:tcPr/>
          <w:p>
            <w:pPr>
              <w:pStyle w:val="Compact"/>
            </w:pPr>
            <w:r>
              <w:t xml:space="preserve">exposure</w:t>
            </w:r>
          </w:p>
        </w:tc>
        <w:tc>
          <w:tcPr/>
          <w:p>
            <w:pPr>
              <w:pStyle w:val="Compact"/>
            </w:pPr>
            <w:r>
              <w:t xml:space="preserve">classification</w:t>
            </w:r>
          </w:p>
        </w:tc>
        <w:tc>
          <w:tcPr/>
          <w:p>
            <w:pPr>
              <w:pStyle w:val="Compact"/>
            </w:pPr>
            <w:r>
              <w:t xml:space="preserve">3</w:t>
            </w:r>
          </w:p>
        </w:tc>
      </w:tr>
      <w:tr>
        <w:tc>
          <w:tcPr/>
          <w:p>
            <w:pPr>
              <w:pStyle w:val="Compact"/>
            </w:pPr>
            <w:r>
              <w:t xml:space="preserve">exposure</w:t>
            </w:r>
          </w:p>
        </w:tc>
        <w:tc>
          <w:tcPr/>
          <w:p>
            <w:pPr>
              <w:pStyle w:val="Compact"/>
            </w:pPr>
            <w:r>
              <w:t xml:space="preserve">regression</w:t>
            </w:r>
          </w:p>
        </w:tc>
        <w:tc>
          <w:tcPr/>
          <w:p>
            <w:pPr>
              <w:pStyle w:val="Compact"/>
            </w:pPr>
            <w:r>
              <w:t xml:space="preserve">7</w:t>
            </w:r>
          </w:p>
        </w:tc>
      </w:tr>
      <w:tr>
        <w:tc>
          <w:tcPr/>
          <w:p>
            <w:pPr>
              <w:pStyle w:val="Compact"/>
            </w:pPr>
            <w:r>
              <w:t xml:space="preserve">safety</w:t>
            </w:r>
          </w:p>
        </w:tc>
        <w:tc>
          <w:tcPr/>
          <w:p>
            <w:pPr>
              <w:pStyle w:val="Compact"/>
            </w:pPr>
            <w:r>
              <w:t xml:space="preserve">classification</w:t>
            </w:r>
          </w:p>
        </w:tc>
        <w:tc>
          <w:tcPr/>
          <w:p>
            <w:pPr>
              <w:pStyle w:val="Compact"/>
            </w:pPr>
            <w:r>
              <w:t xml:space="preserve">1</w:t>
            </w:r>
          </w:p>
        </w:tc>
      </w:tr>
      <w:tr>
        <w:tc>
          <w:tcPr/>
          <w:p>
            <w:pPr>
              <w:pStyle w:val="Compact"/>
            </w:pPr>
            <w:r>
              <w:t xml:space="preserve">target</w:t>
            </w:r>
          </w:p>
        </w:tc>
        <w:tc>
          <w:tcPr/>
          <w:p>
            <w:pPr>
              <w:pStyle w:val="Compact"/>
            </w:pPr>
            <w:r>
              <w:t xml:space="preserve">classification</w:t>
            </w:r>
          </w:p>
        </w:tc>
        <w:tc>
          <w:tcPr/>
          <w:p>
            <w:pPr>
              <w:pStyle w:val="Compact"/>
            </w:pPr>
            <w:r>
              <w:t xml:space="preserve">6</w:t>
            </w:r>
          </w:p>
        </w:tc>
      </w:tr>
      <w:tr>
        <w:tc>
          <w:tcPr/>
          <w:p>
            <w:pPr>
              <w:pStyle w:val="Compact"/>
            </w:pPr>
            <w:r>
              <w:t xml:space="preserve">target</w:t>
            </w:r>
          </w:p>
        </w:tc>
        <w:tc>
          <w:tcPr/>
          <w:p>
            <w:pPr>
              <w:pStyle w:val="Compact"/>
            </w:pPr>
            <w:r>
              <w:t xml:space="preserve">regression</w:t>
            </w:r>
          </w:p>
        </w:tc>
        <w:tc>
          <w:tcPr/>
          <w:p>
            <w:pPr>
              <w:pStyle w:val="Compact"/>
            </w:pPr>
            <w:r>
              <w:t xml:space="preserve">6</w:t>
            </w:r>
          </w:p>
        </w:tc>
      </w:tr>
    </w:tbl>
    <w:p>
      <w:r>
        <w:pict>
          <v:rect style="width:0;height:1.5pt" o:hralign="center" o:hrstd="t" o:hr="t"/>
        </w:pict>
      </w:r>
    </w:p>
    <w:bookmarkEnd w:id="11"/>
    <w:bookmarkEnd w:id="12"/>
    <w:bookmarkStart w:id="16" w:name="the-endpoints"/>
    <w:p>
      <w:pPr>
        <w:pStyle w:val="Heading2"/>
      </w:pPr>
      <w:r>
        <w:t xml:space="preserve">2. The endpoints</w:t>
      </w:r>
    </w:p>
    <w:bookmarkStart w:id="13" w:name="X0b39ea5489a7db882dee4da2b92958a72293081"/>
    <w:p>
      <w:pPr>
        <w:pStyle w:val="Heading3"/>
      </w:pPr>
      <w:r>
        <w:t xml:space="preserve">2.1 What each estimator predicts, and how well</w:t>
      </w:r>
    </w:p>
    <w:p>
      <w:pPr>
        <w:pStyle w:val="FirstParagraph"/>
      </w:pPr>
      <w:r>
        <w:t xml:space="preserve">Metrics are not comparable across the table.</w:t>
      </w:r>
      <w:r>
        <w:t xml:space="preserve"> </w:t>
      </w:r>
      <w:r>
        <w:rPr>
          <w:rStyle w:val="VerbatimChar"/>
        </w:rPr>
        <w:t xml:space="preserve">AUROC</w:t>
      </w:r>
      <w:r>
        <w:t xml:space="preserve"> </w:t>
      </w:r>
      <w:r>
        <w:t xml:space="preserve">is used for classification, where 0.5 is</w:t>
      </w:r>
      <w:r>
        <w:t xml:space="preserve"> </w:t>
      </w:r>
      <w:r>
        <w:t xml:space="preserve">chance;</w:t>
      </w:r>
      <w:r>
        <w:t xml:space="preserve"> </w:t>
      </w:r>
      <w:r>
        <w:rPr>
          <w:rStyle w:val="VerbatimChar"/>
        </w:rPr>
        <w:t xml:space="preserve">R²</w:t>
      </w:r>
      <w:r>
        <w:t xml:space="preserve"> </w:t>
      </w:r>
      <w:r>
        <w:t xml:space="preserve">for regression, where 0.5 is a respectable fit. The scaffold column is the honest one:</w:t>
      </w:r>
      <w:r>
        <w:t xml:space="preserve"> </w:t>
      </w:r>
      <w:r>
        <w:t xml:space="preserve">it is measured with whole Bemis-Murcko scaffold classes withheld from training, so it reports</w:t>
      </w:r>
      <w:r>
        <w:t xml:space="preserve"> </w:t>
      </w:r>
      <w:r>
        <w:t xml:space="preserve">generalisation to chemistry the model has not seen, while the random column reports interpolation</w:t>
      </w:r>
      <w:r>
        <w:t xml:space="preserve"> </w:t>
      </w:r>
      <w:r>
        <w:t xml:space="preserve">within chemistry it has.</w:t>
      </w:r>
    </w:p>
    <w:p>
      <w:pPr>
        <w:pStyle w:val="BodyText"/>
      </w:pPr>
      <w:r>
        <w:t xml:space="preserve">All 75 estimators (click to expand)</w:t>
      </w:r>
    </w:p>
    <w:tbl>
      <w:tblPr>
        <w:tblStyle w:val="Table"/>
        <w:tblW w:type="pct" w:w="500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estimator</w:t>
            </w:r>
          </w:p>
        </w:tc>
        <w:tc>
          <w:tcPr>
            <w:shd w:val="clear" w:fill="EAF0F7"/>
          </w:tcPr>
          <w:p>
            <w:pPr>
              <w:pStyle w:val="Compact"/>
            </w:pPr>
            <w:r>
              <w:rPr>
                <w:b/>
                <w:sz w:val="17"/>
              </w:rPr>
              <w:t xml:space="preserve">family</w:t>
            </w:r>
          </w:p>
        </w:tc>
        <w:tc>
          <w:tcPr>
            <w:shd w:val="clear" w:fill="EAF0F7"/>
          </w:tcPr>
          <w:p>
            <w:pPr>
              <w:pStyle w:val="Compact"/>
            </w:pPr>
            <w:r>
              <w:rPr>
                <w:b/>
                <w:sz w:val="17"/>
              </w:rPr>
              <w:t xml:space="preserve">predicts</w:t>
            </w:r>
          </w:p>
        </w:tc>
        <w:tc>
          <w:tcPr>
            <w:shd w:val="clear" w:fill="EAF0F7"/>
          </w:tcPr>
          <w:p>
            <w:pPr>
              <w:pStyle w:val="Compact"/>
            </w:pPr>
            <w:r>
              <w:rPr>
                <w:b/>
                <w:sz w:val="17"/>
              </w:rPr>
              <w:t xml:space="preserve">training rows</w:t>
            </w:r>
          </w:p>
        </w:tc>
        <w:tc>
          <w:tcPr>
            <w:shd w:val="clear" w:fill="EAF0F7"/>
          </w:tcPr>
          <w:p>
            <w:pPr>
              <w:pStyle w:val="Compact"/>
            </w:pPr>
            <w:r>
              <w:rPr>
                <w:b/>
                <w:sz w:val="17"/>
              </w:rPr>
              <w:t xml:space="preserve">metric</w:t>
            </w:r>
          </w:p>
        </w:tc>
        <w:tc>
          <w:tcPr>
            <w:shd w:val="clear" w:fill="EAF0F7"/>
          </w:tcPr>
          <w:p>
            <w:pPr>
              <w:pStyle w:val="Compact"/>
            </w:pPr>
            <w:r>
              <w:rPr>
                <w:b/>
                <w:sz w:val="17"/>
              </w:rPr>
              <w:t xml:space="preserve">scaffold split</w:t>
            </w:r>
          </w:p>
        </w:tc>
        <w:tc>
          <w:tcPr>
            <w:shd w:val="clear" w:fill="EAF0F7"/>
          </w:tcPr>
          <w:p>
            <w:pPr>
              <w:pStyle w:val="Compact"/>
            </w:pPr>
            <w:r>
              <w:rPr>
                <w:b/>
                <w:sz w:val="17"/>
              </w:rPr>
              <w:t xml:space="preserve">deployed</w:t>
            </w:r>
          </w:p>
        </w:tc>
      </w:tr>
      <w:tr>
        <w:tc>
          <w:tcPr/>
          <w:p>
            <w:pPr>
              <w:pStyle w:val="Compact"/>
            </w:pPr>
            <w:r>
              <w:rPr>
                <w:sz w:val="15"/>
              </w:rPr>
              <w:t xml:space="preserve">A2A</w:t>
            </w:r>
          </w:p>
        </w:tc>
        <w:tc>
          <w:tcPr/>
          <w:p>
            <w:pPr>
              <w:pStyle w:val="Compact"/>
            </w:pPr>
            <w:r>
              <w:rPr>
                <w:sz w:val="15"/>
              </w:rPr>
              <w:t xml:space="preserve">target</w:t>
            </w:r>
          </w:p>
        </w:tc>
        <w:tc>
          <w:tcPr/>
          <w:p>
            <w:pPr>
              <w:pStyle w:val="Compact"/>
            </w:pPr>
            <w:r>
              <w:rPr>
                <w:sz w:val="15"/>
              </w:rPr>
              <w:t xml:space="preserve">potency, pChEMBL</w:t>
            </w:r>
          </w:p>
        </w:tc>
        <w:tc>
          <w:tcPr/>
          <w:p>
            <w:pPr>
              <w:pStyle w:val="Compact"/>
            </w:pPr>
            <w:r>
              <w:rPr>
                <w:sz w:val="15"/>
              </w:rPr>
              <w:t xml:space="preserve">6743</w:t>
            </w:r>
          </w:p>
        </w:tc>
        <w:tc>
          <w:tcPr/>
          <w:p>
            <w:pPr>
              <w:pStyle w:val="Compact"/>
            </w:pPr>
            <w:r>
              <w:rPr>
                <w:sz w:val="15"/>
              </w:rPr>
              <w:t xml:space="preserve">R2</w:t>
            </w:r>
          </w:p>
        </w:tc>
        <w:tc>
          <w:tcPr/>
          <w:p>
            <w:pPr>
              <w:pStyle w:val="Compact"/>
            </w:pPr>
            <w:r>
              <w:rPr>
                <w:sz w:val="15"/>
              </w:rPr>
              <w:t xml:space="preserve">0.6205</w:t>
            </w:r>
          </w:p>
        </w:tc>
        <w:tc>
          <w:tcPr/>
          <w:p>
            <w:pPr>
              <w:pStyle w:val="Compact"/>
            </w:pPr>
            <w:r>
              <w:rPr>
                <w:sz w:val="15"/>
              </w:rPr>
              <w:t xml:space="preserve">True</w:t>
            </w:r>
          </w:p>
        </w:tc>
      </w:tr>
      <w:tr>
        <w:tc>
          <w:tcPr/>
          <w:p>
            <w:pPr>
              <w:pStyle w:val="Compact"/>
            </w:pPr>
            <w:r>
              <w:rPr>
                <w:sz w:val="15"/>
              </w:rPr>
              <w:t xml:space="preserve">AChE</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5125</w:t>
            </w:r>
          </w:p>
        </w:tc>
        <w:tc>
          <w:tcPr/>
          <w:p>
            <w:pPr>
              <w:pStyle w:val="Compact"/>
            </w:pPr>
            <w:r>
              <w:rPr>
                <w:sz w:val="15"/>
              </w:rPr>
              <w:t xml:space="preserve">AUROC</w:t>
            </w:r>
          </w:p>
        </w:tc>
        <w:tc>
          <w:tcPr/>
          <w:p>
            <w:pPr>
              <w:pStyle w:val="Compact"/>
            </w:pPr>
            <w:r>
              <w:rPr>
                <w:sz w:val="15"/>
              </w:rPr>
              <w:t xml:space="preserve">0.9212</w:t>
            </w:r>
          </w:p>
        </w:tc>
        <w:tc>
          <w:tcPr/>
          <w:p>
            <w:pPr>
              <w:pStyle w:val="Compact"/>
            </w:pPr>
            <w:r>
              <w:rPr>
                <w:sz w:val="15"/>
              </w:rPr>
              <w:t xml:space="preserve">True</w:t>
            </w:r>
          </w:p>
        </w:tc>
      </w:tr>
      <w:tr>
        <w:tc>
          <w:tcPr/>
          <w:p>
            <w:pPr>
              <w:pStyle w:val="Compact"/>
            </w:pPr>
            <w:r>
              <w:rPr>
                <w:sz w:val="15"/>
              </w:rPr>
              <w:t xml:space="preserve">antioxidant_DPPH</w:t>
            </w:r>
          </w:p>
        </w:tc>
        <w:tc>
          <w:tcPr/>
          <w:p>
            <w:pPr>
              <w:pStyle w:val="Compact"/>
            </w:pPr>
            <w:r>
              <w:rPr>
                <w:sz w:val="15"/>
              </w:rPr>
              <w:t xml:space="preserve">target</w:t>
            </w:r>
          </w:p>
        </w:tc>
        <w:tc>
          <w:tcPr/>
          <w:p>
            <w:pPr>
              <w:pStyle w:val="Compact"/>
            </w:pPr>
            <w:r>
              <w:rPr>
                <w:sz w:val="15"/>
              </w:rPr>
              <w:t xml:space="preserve">potency, pChEMBL</w:t>
            </w:r>
          </w:p>
        </w:tc>
        <w:tc>
          <w:tcPr/>
          <w:p>
            <w:pPr>
              <w:pStyle w:val="Compact"/>
            </w:pPr>
            <w:r>
              <w:rPr>
                <w:sz w:val="15"/>
              </w:rPr>
              <w:t xml:space="preserve">2782</w:t>
            </w:r>
          </w:p>
        </w:tc>
        <w:tc>
          <w:tcPr/>
          <w:p>
            <w:pPr>
              <w:pStyle w:val="Compact"/>
            </w:pPr>
            <w:r>
              <w:rPr>
                <w:sz w:val="15"/>
              </w:rPr>
              <w:t xml:space="preserve">R2</w:t>
            </w:r>
          </w:p>
        </w:tc>
        <w:tc>
          <w:tcPr/>
          <w:p>
            <w:pPr>
              <w:pStyle w:val="Compact"/>
            </w:pPr>
            <w:r>
              <w:rPr>
                <w:sz w:val="15"/>
              </w:rPr>
              <w:t xml:space="preserve">0.4153</w:t>
            </w:r>
          </w:p>
        </w:tc>
        <w:tc>
          <w:tcPr/>
          <w:p>
            <w:pPr>
              <w:pStyle w:val="Compact"/>
            </w:pPr>
            <w:r>
              <w:rPr>
                <w:sz w:val="15"/>
              </w:rPr>
              <w:t xml:space="preserve">True</w:t>
            </w:r>
          </w:p>
        </w:tc>
      </w:tr>
      <w:tr>
        <w:tc>
          <w:tcPr/>
          <w:p>
            <w:pPr>
              <w:pStyle w:val="Compact"/>
            </w:pPr>
            <w:r>
              <w:rPr>
                <w:sz w:val="15"/>
              </w:rPr>
              <w:t xml:space="preserve">BACE1</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8207</w:t>
            </w:r>
          </w:p>
        </w:tc>
        <w:tc>
          <w:tcPr/>
          <w:p>
            <w:pPr>
              <w:pStyle w:val="Compact"/>
            </w:pPr>
            <w:r>
              <w:rPr>
                <w:sz w:val="15"/>
              </w:rPr>
              <w:t xml:space="preserve">AUROC</w:t>
            </w:r>
          </w:p>
        </w:tc>
        <w:tc>
          <w:tcPr/>
          <w:p>
            <w:pPr>
              <w:pStyle w:val="Compact"/>
            </w:pPr>
            <w:r>
              <w:rPr>
                <w:sz w:val="15"/>
              </w:rPr>
              <w:t xml:space="preserve">0.9648</w:t>
            </w:r>
          </w:p>
        </w:tc>
        <w:tc>
          <w:tcPr/>
          <w:p>
            <w:pPr>
              <w:pStyle w:val="Compact"/>
            </w:pPr>
            <w:r>
              <w:rPr>
                <w:sz w:val="15"/>
              </w:rPr>
              <w:t xml:space="preserve">True</w:t>
            </w:r>
          </w:p>
        </w:tc>
      </w:tr>
      <w:tr>
        <w:tc>
          <w:tcPr/>
          <w:p>
            <w:pPr>
              <w:pStyle w:val="Compact"/>
            </w:pPr>
            <w:r>
              <w:rPr>
                <w:sz w:val="15"/>
              </w:rPr>
              <w:t xml:space="preserve">BBB</w:t>
            </w:r>
          </w:p>
        </w:tc>
        <w:tc>
          <w:tcPr/>
          <w:p>
            <w:pPr>
              <w:pStyle w:val="Compact"/>
            </w:pPr>
            <w:r>
              <w:rPr>
                <w:sz w:val="15"/>
              </w:rPr>
              <w:t xml:space="preserve">exposure</w:t>
            </w:r>
          </w:p>
        </w:tc>
        <w:tc>
          <w:tcPr/>
          <w:p>
            <w:pPr>
              <w:pStyle w:val="Compact"/>
            </w:pPr>
            <w:r>
              <w:rPr>
                <w:sz w:val="15"/>
              </w:rPr>
              <w:t xml:space="preserve">probability of activity</w:t>
            </w:r>
          </w:p>
        </w:tc>
        <w:tc>
          <w:tcPr/>
          <w:p>
            <w:pPr>
              <w:pStyle w:val="Compact"/>
            </w:pPr>
            <w:r>
              <w:rPr>
                <w:sz w:val="15"/>
              </w:rPr>
              <w:t xml:space="preserve">3901</w:t>
            </w:r>
          </w:p>
        </w:tc>
        <w:tc>
          <w:tcPr/>
          <w:p>
            <w:pPr>
              <w:pStyle w:val="Compact"/>
            </w:pPr>
            <w:r>
              <w:rPr>
                <w:sz w:val="15"/>
              </w:rPr>
              <w:t xml:space="preserve">AUROC</w:t>
            </w:r>
          </w:p>
        </w:tc>
        <w:tc>
          <w:tcPr/>
          <w:p>
            <w:pPr>
              <w:pStyle w:val="Compact"/>
            </w:pPr>
            <w:r>
              <w:rPr>
                <w:sz w:val="15"/>
              </w:rPr>
              <w:t xml:space="preserve">0.8777</w:t>
            </w:r>
          </w:p>
        </w:tc>
        <w:tc>
          <w:tcPr/>
          <w:p>
            <w:pPr>
              <w:pStyle w:val="Compact"/>
            </w:pPr>
            <w:r>
              <w:rPr>
                <w:sz w:val="15"/>
              </w:rPr>
              <w:t xml:space="preserve">True</w:t>
            </w:r>
          </w:p>
        </w:tc>
      </w:tr>
      <w:tr>
        <w:tc>
          <w:tcPr/>
          <w:p>
            <w:pPr>
              <w:pStyle w:val="Compact"/>
            </w:pPr>
            <w:r>
              <w:rPr>
                <w:sz w:val="15"/>
              </w:rPr>
              <w:t xml:space="preserve">BChE</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3278</w:t>
            </w:r>
          </w:p>
        </w:tc>
        <w:tc>
          <w:tcPr/>
          <w:p>
            <w:pPr>
              <w:pStyle w:val="Compact"/>
            </w:pPr>
            <w:r>
              <w:rPr>
                <w:sz w:val="15"/>
              </w:rPr>
              <w:t xml:space="preserve">AUROC</w:t>
            </w:r>
          </w:p>
        </w:tc>
        <w:tc>
          <w:tcPr/>
          <w:p>
            <w:pPr>
              <w:pStyle w:val="Compact"/>
            </w:pPr>
            <w:r>
              <w:rPr>
                <w:sz w:val="15"/>
              </w:rPr>
              <w:t xml:space="preserve">0.9451</w:t>
            </w:r>
          </w:p>
        </w:tc>
        <w:tc>
          <w:tcPr/>
          <w:p>
            <w:pPr>
              <w:pStyle w:val="Compact"/>
            </w:pPr>
            <w:r>
              <w:rPr>
                <w:sz w:val="15"/>
              </w:rPr>
              <w:t xml:space="preserve">True</w:t>
            </w:r>
          </w:p>
        </w:tc>
      </w:tr>
      <w:tr>
        <w:tc>
          <w:tcPr/>
          <w:p>
            <w:pPr>
              <w:pStyle w:val="Compact"/>
            </w:pPr>
            <w:r>
              <w:rPr>
                <w:sz w:val="15"/>
              </w:rPr>
              <w:t xml:space="preserve">D2</w:t>
            </w:r>
          </w:p>
        </w:tc>
        <w:tc>
          <w:tcPr/>
          <w:p>
            <w:pPr>
              <w:pStyle w:val="Compact"/>
            </w:pPr>
            <w:r>
              <w:rPr>
                <w:sz w:val="15"/>
              </w:rPr>
              <w:t xml:space="preserve">target</w:t>
            </w:r>
          </w:p>
        </w:tc>
        <w:tc>
          <w:tcPr/>
          <w:p>
            <w:pPr>
              <w:pStyle w:val="Compact"/>
            </w:pPr>
            <w:r>
              <w:rPr>
                <w:sz w:val="15"/>
              </w:rPr>
              <w:t xml:space="preserve">potency, pChEMBL</w:t>
            </w:r>
          </w:p>
        </w:tc>
        <w:tc>
          <w:tcPr/>
          <w:p>
            <w:pPr>
              <w:pStyle w:val="Compact"/>
            </w:pPr>
            <w:r>
              <w:rPr>
                <w:sz w:val="15"/>
              </w:rPr>
              <w:t xml:space="preserve">7905</w:t>
            </w:r>
          </w:p>
        </w:tc>
        <w:tc>
          <w:tcPr/>
          <w:p>
            <w:pPr>
              <w:pStyle w:val="Compact"/>
            </w:pPr>
            <w:r>
              <w:rPr>
                <w:sz w:val="15"/>
              </w:rPr>
              <w:t xml:space="preserve">R2</w:t>
            </w:r>
          </w:p>
        </w:tc>
        <w:tc>
          <w:tcPr/>
          <w:p>
            <w:pPr>
              <w:pStyle w:val="Compact"/>
            </w:pPr>
            <w:r>
              <w:rPr>
                <w:sz w:val="15"/>
              </w:rPr>
              <w:t xml:space="preserve">0.5311</w:t>
            </w:r>
          </w:p>
        </w:tc>
        <w:tc>
          <w:tcPr/>
          <w:p>
            <w:pPr>
              <w:pStyle w:val="Compact"/>
            </w:pPr>
            <w:r>
              <w:rPr>
                <w:sz w:val="15"/>
              </w:rPr>
              <w:t xml:space="preserve">True</w:t>
            </w:r>
          </w:p>
        </w:tc>
      </w:tr>
      <w:tr>
        <w:tc>
          <w:tcPr/>
          <w:p>
            <w:pPr>
              <w:pStyle w:val="Compact"/>
            </w:pPr>
            <w:r>
              <w:rPr>
                <w:sz w:val="15"/>
              </w:rPr>
              <w:t xml:space="preserve">GSK3B</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5439</w:t>
            </w:r>
          </w:p>
        </w:tc>
        <w:tc>
          <w:tcPr/>
          <w:p>
            <w:pPr>
              <w:pStyle w:val="Compact"/>
            </w:pPr>
            <w:r>
              <w:rPr>
                <w:sz w:val="15"/>
              </w:rPr>
              <w:t xml:space="preserve">AUROC</w:t>
            </w:r>
          </w:p>
        </w:tc>
        <w:tc>
          <w:tcPr/>
          <w:p>
            <w:pPr>
              <w:pStyle w:val="Compact"/>
            </w:pPr>
            <w:r>
              <w:rPr>
                <w:sz w:val="15"/>
              </w:rPr>
              <w:t xml:space="preserve">0.9425</w:t>
            </w:r>
          </w:p>
        </w:tc>
        <w:tc>
          <w:tcPr/>
          <w:p>
            <w:pPr>
              <w:pStyle w:val="Compact"/>
            </w:pPr>
            <w:r>
              <w:rPr>
                <w:sz w:val="15"/>
              </w:rPr>
              <w:t xml:space="preserve">True</w:t>
            </w:r>
          </w:p>
        </w:tc>
      </w:tr>
      <w:tr>
        <w:tc>
          <w:tcPr/>
          <w:p>
            <w:pPr>
              <w:pStyle w:val="Compact"/>
            </w:pPr>
            <w:r>
              <w:rPr>
                <w:sz w:val="15"/>
              </w:rPr>
              <w:t xml:space="preserve">hERG</w:t>
            </w:r>
          </w:p>
        </w:tc>
        <w:tc>
          <w:tcPr/>
          <w:p>
            <w:pPr>
              <w:pStyle w:val="Compact"/>
            </w:pPr>
            <w:r>
              <w:rPr>
                <w:sz w:val="15"/>
              </w:rPr>
              <w:t xml:space="preserve">safety</w:t>
            </w:r>
          </w:p>
        </w:tc>
        <w:tc>
          <w:tcPr/>
          <w:p>
            <w:pPr>
              <w:pStyle w:val="Compact"/>
            </w:pPr>
            <w:r>
              <w:rPr>
                <w:sz w:val="15"/>
              </w:rPr>
              <w:t xml:space="preserve">probability of activity</w:t>
            </w:r>
          </w:p>
        </w:tc>
        <w:tc>
          <w:tcPr/>
          <w:p>
            <w:pPr>
              <w:pStyle w:val="Compact"/>
            </w:pPr>
            <w:r>
              <w:rPr>
                <w:sz w:val="15"/>
              </w:rPr>
              <w:t xml:space="preserve">9933</w:t>
            </w:r>
          </w:p>
        </w:tc>
        <w:tc>
          <w:tcPr/>
          <w:p>
            <w:pPr>
              <w:pStyle w:val="Compact"/>
            </w:pPr>
            <w:r>
              <w:rPr>
                <w:sz w:val="15"/>
              </w:rPr>
              <w:t xml:space="preserve">AUROC</w:t>
            </w:r>
          </w:p>
        </w:tc>
        <w:tc>
          <w:tcPr/>
          <w:p>
            <w:pPr>
              <w:pStyle w:val="Compact"/>
            </w:pPr>
            <w:r>
              <w:rPr>
                <w:sz w:val="15"/>
              </w:rPr>
              <w:t xml:space="preserve">0.927</w:t>
            </w:r>
          </w:p>
        </w:tc>
        <w:tc>
          <w:tcPr/>
          <w:p>
            <w:pPr>
              <w:pStyle w:val="Compact"/>
            </w:pPr>
            <w:r>
              <w:rPr>
                <w:sz w:val="15"/>
              </w:rPr>
              <w:t xml:space="preserve">True</w:t>
            </w:r>
          </w:p>
        </w:tc>
      </w:tr>
      <w:tr>
        <w:tc>
          <w:tcPr/>
          <w:p>
            <w:pPr>
              <w:pStyle w:val="Compact"/>
            </w:pPr>
            <w:r>
              <w:rPr>
                <w:sz w:val="15"/>
              </w:rPr>
              <w:t xml:space="preserve">HT2A</w:t>
            </w:r>
          </w:p>
        </w:tc>
        <w:tc>
          <w:tcPr/>
          <w:p>
            <w:pPr>
              <w:pStyle w:val="Compact"/>
            </w:pPr>
            <w:r>
              <w:rPr>
                <w:sz w:val="15"/>
              </w:rPr>
              <w:t xml:space="preserve">target</w:t>
            </w:r>
          </w:p>
        </w:tc>
        <w:tc>
          <w:tcPr/>
          <w:p>
            <w:pPr>
              <w:pStyle w:val="Compact"/>
            </w:pPr>
            <w:r>
              <w:rPr>
                <w:sz w:val="15"/>
              </w:rPr>
              <w:t xml:space="preserve">potency, pChEMBL</w:t>
            </w:r>
          </w:p>
        </w:tc>
        <w:tc>
          <w:tcPr/>
          <w:p>
            <w:pPr>
              <w:pStyle w:val="Compact"/>
            </w:pPr>
            <w:r>
              <w:rPr>
                <w:sz w:val="15"/>
              </w:rPr>
              <w:t xml:space="preserve">6075</w:t>
            </w:r>
          </w:p>
        </w:tc>
        <w:tc>
          <w:tcPr/>
          <w:p>
            <w:pPr>
              <w:pStyle w:val="Compact"/>
            </w:pPr>
            <w:r>
              <w:rPr>
                <w:sz w:val="15"/>
              </w:rPr>
              <w:t xml:space="preserve">R2</w:t>
            </w:r>
          </w:p>
        </w:tc>
        <w:tc>
          <w:tcPr/>
          <w:p>
            <w:pPr>
              <w:pStyle w:val="Compact"/>
            </w:pPr>
            <w:r>
              <w:rPr>
                <w:sz w:val="15"/>
              </w:rPr>
              <w:t xml:space="preserve">0.556</w:t>
            </w:r>
          </w:p>
        </w:tc>
        <w:tc>
          <w:tcPr/>
          <w:p>
            <w:pPr>
              <w:pStyle w:val="Compact"/>
            </w:pPr>
            <w:r>
              <w:rPr>
                <w:sz w:val="15"/>
              </w:rPr>
              <w:t xml:space="preserve">True</w:t>
            </w:r>
          </w:p>
        </w:tc>
      </w:tr>
      <w:tr>
        <w:tc>
          <w:tcPr/>
          <w:p>
            <w:pPr>
              <w:pStyle w:val="Compact"/>
            </w:pPr>
            <w:r>
              <w:rPr>
                <w:sz w:val="15"/>
              </w:rPr>
              <w:t xml:space="preserve">MAO_A</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3585</w:t>
            </w:r>
          </w:p>
        </w:tc>
        <w:tc>
          <w:tcPr/>
          <w:p>
            <w:pPr>
              <w:pStyle w:val="Compact"/>
            </w:pPr>
            <w:r>
              <w:rPr>
                <w:sz w:val="15"/>
              </w:rPr>
              <w:t xml:space="preserve">AUROC</w:t>
            </w:r>
          </w:p>
        </w:tc>
        <w:tc>
          <w:tcPr/>
          <w:p>
            <w:pPr>
              <w:pStyle w:val="Compact"/>
            </w:pPr>
            <w:r>
              <w:rPr>
                <w:sz w:val="15"/>
              </w:rPr>
              <w:t xml:space="preserve">0.9059</w:t>
            </w:r>
          </w:p>
        </w:tc>
        <w:tc>
          <w:tcPr/>
          <w:p>
            <w:pPr>
              <w:pStyle w:val="Compact"/>
            </w:pPr>
            <w:r>
              <w:rPr>
                <w:sz w:val="15"/>
              </w:rPr>
              <w:t xml:space="preserve">True</w:t>
            </w:r>
          </w:p>
        </w:tc>
      </w:tr>
      <w:tr>
        <w:tc>
          <w:tcPr/>
          <w:p>
            <w:pPr>
              <w:pStyle w:val="Compact"/>
            </w:pPr>
            <w:r>
              <w:rPr>
                <w:sz w:val="15"/>
              </w:rPr>
              <w:t xml:space="preserve">MAO_B</w:t>
            </w:r>
          </w:p>
        </w:tc>
        <w:tc>
          <w:tcPr/>
          <w:p>
            <w:pPr>
              <w:pStyle w:val="Compact"/>
            </w:pPr>
            <w:r>
              <w:rPr>
                <w:sz w:val="15"/>
              </w:rPr>
              <w:t xml:space="preserve">target</w:t>
            </w:r>
          </w:p>
        </w:tc>
        <w:tc>
          <w:tcPr/>
          <w:p>
            <w:pPr>
              <w:pStyle w:val="Compact"/>
            </w:pPr>
            <w:r>
              <w:rPr>
                <w:sz w:val="15"/>
              </w:rPr>
              <w:t xml:space="preserve">probability of activity</w:t>
            </w:r>
          </w:p>
        </w:tc>
        <w:tc>
          <w:tcPr/>
          <w:p>
            <w:pPr>
              <w:pStyle w:val="Compact"/>
            </w:pPr>
            <w:r>
              <w:rPr>
                <w:sz w:val="15"/>
              </w:rPr>
              <w:t xml:space="preserve">4534</w:t>
            </w:r>
          </w:p>
        </w:tc>
        <w:tc>
          <w:tcPr/>
          <w:p>
            <w:pPr>
              <w:pStyle w:val="Compact"/>
            </w:pPr>
            <w:r>
              <w:rPr>
                <w:sz w:val="15"/>
              </w:rPr>
              <w:t xml:space="preserve">AUROC</w:t>
            </w:r>
          </w:p>
        </w:tc>
        <w:tc>
          <w:tcPr/>
          <w:p>
            <w:pPr>
              <w:pStyle w:val="Compact"/>
            </w:pPr>
            <w:r>
              <w:rPr>
                <w:sz w:val="15"/>
              </w:rPr>
              <w:t xml:space="preserve">0.917</w:t>
            </w:r>
          </w:p>
        </w:tc>
        <w:tc>
          <w:tcPr/>
          <w:p>
            <w:pPr>
              <w:pStyle w:val="Compact"/>
            </w:pPr>
            <w:r>
              <w:rPr>
                <w:sz w:val="15"/>
              </w:rPr>
              <w:t xml:space="preserve">True</w:t>
            </w:r>
          </w:p>
        </w:tc>
      </w:tr>
      <w:tr>
        <w:tc>
          <w:tcPr/>
          <w:p>
            <w:pPr>
              <w:pStyle w:val="Compact"/>
            </w:pPr>
            <w:r>
              <w:rPr>
                <w:sz w:val="15"/>
              </w:rPr>
              <w:t xml:space="preserve">pka_basic</w:t>
            </w:r>
          </w:p>
        </w:tc>
        <w:tc>
          <w:tcPr/>
          <w:p>
            <w:pPr>
              <w:pStyle w:val="Compact"/>
            </w:pPr>
            <w:r>
              <w:rPr>
                <w:sz w:val="15"/>
              </w:rPr>
              <w:t xml:space="preserve">target</w:t>
            </w:r>
          </w:p>
        </w:tc>
        <w:tc>
          <w:tcPr/>
          <w:p>
            <w:pPr>
              <w:pStyle w:val="Compact"/>
            </w:pPr>
            <w:r>
              <w:rPr>
                <w:sz w:val="15"/>
              </w:rPr>
              <w:t xml:space="preserve">pKa</w:t>
            </w:r>
          </w:p>
        </w:tc>
        <w:tc>
          <w:tcPr/>
          <w:p>
            <w:pPr>
              <w:pStyle w:val="Compact"/>
            </w:pPr>
            <w:r>
              <w:rPr>
                <w:sz w:val="15"/>
              </w:rPr>
              <w:t xml:space="preserve">6384</w:t>
            </w:r>
          </w:p>
        </w:tc>
        <w:tc>
          <w:tcPr/>
          <w:p>
            <w:pPr>
              <w:pStyle w:val="Compact"/>
            </w:pPr>
            <w:r>
              <w:rPr>
                <w:sz w:val="15"/>
              </w:rPr>
              <w:t xml:space="preserve">R2</w:t>
            </w:r>
          </w:p>
        </w:tc>
        <w:tc>
          <w:tcPr/>
          <w:p>
            <w:pPr>
              <w:pStyle w:val="Compact"/>
            </w:pPr>
          </w:p>
        </w:tc>
        <w:tc>
          <w:tcPr/>
          <w:p>
            <w:pPr>
              <w:pStyle w:val="Compact"/>
            </w:pPr>
            <w:r>
              <w:rPr>
                <w:sz w:val="15"/>
              </w:rPr>
              <w:t xml:space="preserve">True</w:t>
            </w:r>
          </w:p>
        </w:tc>
      </w:tr>
      <w:tr>
        <w:tc>
          <w:tcPr/>
          <w:p>
            <w:pPr>
              <w:pStyle w:val="Compact"/>
            </w:pPr>
            <w:r>
              <w:rPr>
                <w:sz w:val="15"/>
              </w:rPr>
              <w:t xml:space="preserve">SERT</w:t>
            </w:r>
          </w:p>
        </w:tc>
        <w:tc>
          <w:tcPr/>
          <w:p>
            <w:pPr>
              <w:pStyle w:val="Compact"/>
            </w:pPr>
            <w:r>
              <w:rPr>
                <w:sz w:val="15"/>
              </w:rPr>
              <w:t xml:space="preserve">target</w:t>
            </w:r>
          </w:p>
        </w:tc>
        <w:tc>
          <w:tcPr/>
          <w:p>
            <w:pPr>
              <w:pStyle w:val="Compact"/>
            </w:pPr>
            <w:r>
              <w:rPr>
                <w:sz w:val="15"/>
              </w:rPr>
              <w:t xml:space="preserve">potency, pChEMBL</w:t>
            </w:r>
          </w:p>
        </w:tc>
        <w:tc>
          <w:tcPr/>
          <w:p>
            <w:pPr>
              <w:pStyle w:val="Compact"/>
            </w:pPr>
            <w:r>
              <w:rPr>
                <w:sz w:val="15"/>
              </w:rPr>
              <w:t xml:space="preserve">4479</w:t>
            </w:r>
          </w:p>
        </w:tc>
        <w:tc>
          <w:tcPr/>
          <w:p>
            <w:pPr>
              <w:pStyle w:val="Compact"/>
            </w:pPr>
            <w:r>
              <w:rPr>
                <w:sz w:val="15"/>
              </w:rPr>
              <w:t xml:space="preserve">R2</w:t>
            </w:r>
          </w:p>
        </w:tc>
        <w:tc>
          <w:tcPr/>
          <w:p>
            <w:pPr>
              <w:pStyle w:val="Compact"/>
            </w:pPr>
            <w:r>
              <w:rPr>
                <w:sz w:val="15"/>
              </w:rPr>
              <w:t xml:space="preserve">0.4612</w:t>
            </w:r>
          </w:p>
        </w:tc>
        <w:tc>
          <w:tcPr/>
          <w:p>
            <w:pPr>
              <w:pStyle w:val="Compact"/>
            </w:pPr>
            <w:r>
              <w:rPr>
                <w:sz w:val="15"/>
              </w:rPr>
              <w:t xml:space="preserve">True</w:t>
            </w:r>
          </w:p>
        </w:tc>
      </w:tr>
      <w:tr>
        <w:tc>
          <w:tcPr/>
          <w:p>
            <w:pPr>
              <w:pStyle w:val="Compact"/>
            </w:pPr>
            <w:r>
              <w:rPr>
                <w:sz w:val="15"/>
              </w:rPr>
              <w:t xml:space="preserve">A1_binder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7352</w:t>
            </w:r>
          </w:p>
        </w:tc>
        <w:tc>
          <w:tcPr/>
          <w:p>
            <w:pPr>
              <w:pStyle w:val="Compact"/>
            </w:pPr>
            <w:r>
              <w:rPr>
                <w:sz w:val="15"/>
              </w:rPr>
              <w:t xml:space="preserve">AUROC vs measured non-binders</w:t>
            </w:r>
          </w:p>
        </w:tc>
        <w:tc>
          <w:tcPr/>
          <w:p>
            <w:pPr>
              <w:pStyle w:val="Compact"/>
            </w:pPr>
            <w:r>
              <w:rPr>
                <w:sz w:val="15"/>
              </w:rPr>
              <w:t xml:space="preserve">0.914</w:t>
            </w:r>
          </w:p>
        </w:tc>
        <w:tc>
          <w:tcPr/>
          <w:p>
            <w:pPr>
              <w:pStyle w:val="Compact"/>
            </w:pPr>
            <w:r>
              <w:rPr>
                <w:sz w:val="15"/>
              </w:rPr>
              <w:t xml:space="preserve">True</w:t>
            </w:r>
          </w:p>
        </w:tc>
      </w:tr>
      <w:tr>
        <w:tc>
          <w:tcPr/>
          <w:p>
            <w:pPr>
              <w:pStyle w:val="Compact"/>
            </w:pPr>
            <w:r>
              <w:rPr>
                <w:sz w:val="15"/>
              </w:rPr>
              <w:t xml:space="preserve">A2A_binder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15636</w:t>
            </w:r>
          </w:p>
        </w:tc>
        <w:tc>
          <w:tcPr/>
          <w:p>
            <w:pPr>
              <w:pStyle w:val="Compact"/>
            </w:pPr>
            <w:r>
              <w:rPr>
                <w:sz w:val="15"/>
              </w:rPr>
              <w:t xml:space="preserve">AUROC vs measured non-binders</w:t>
            </w:r>
          </w:p>
        </w:tc>
        <w:tc>
          <w:tcPr/>
          <w:p>
            <w:pPr>
              <w:pStyle w:val="Compact"/>
            </w:pPr>
            <w:r>
              <w:rPr>
                <w:sz w:val="15"/>
              </w:rPr>
              <w:t xml:space="preserve">0.949</w:t>
            </w:r>
          </w:p>
        </w:tc>
        <w:tc>
          <w:tcPr/>
          <w:p>
            <w:pPr>
              <w:pStyle w:val="Compact"/>
            </w:pPr>
            <w:r>
              <w:rPr>
                <w:sz w:val="15"/>
              </w:rPr>
              <w:t xml:space="preserve">True</w:t>
            </w:r>
          </w:p>
        </w:tc>
      </w:tr>
      <w:tr>
        <w:tc>
          <w:tcPr/>
          <w:p>
            <w:pPr>
              <w:pStyle w:val="Compact"/>
            </w:pPr>
            <w:r>
              <w:rPr>
                <w:sz w:val="15"/>
              </w:rPr>
              <w:t xml:space="preserve">CB1_binder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10198</w:t>
            </w:r>
          </w:p>
        </w:tc>
        <w:tc>
          <w:tcPr/>
          <w:p>
            <w:pPr>
              <w:pStyle w:val="Compact"/>
            </w:pPr>
            <w:r>
              <w:rPr>
                <w:sz w:val="15"/>
              </w:rPr>
              <w:t xml:space="preserve">AUROC vs measured non-binders</w:t>
            </w:r>
          </w:p>
        </w:tc>
        <w:tc>
          <w:tcPr/>
          <w:p>
            <w:pPr>
              <w:pStyle w:val="Compact"/>
            </w:pPr>
            <w:r>
              <w:rPr>
                <w:sz w:val="15"/>
              </w:rPr>
              <w:t xml:space="preserve">0.949</w:t>
            </w:r>
          </w:p>
        </w:tc>
        <w:tc>
          <w:tcPr/>
          <w:p>
            <w:pPr>
              <w:pStyle w:val="Compact"/>
            </w:pPr>
            <w:r>
              <w:rPr>
                <w:sz w:val="15"/>
              </w:rPr>
              <w:t xml:space="preserve">True</w:t>
            </w:r>
          </w:p>
        </w:tc>
      </w:tr>
      <w:tr>
        <w:tc>
          <w:tcPr/>
          <w:p>
            <w:pPr>
              <w:pStyle w:val="Compact"/>
            </w:pPr>
            <w:r>
              <w:rPr>
                <w:sz w:val="15"/>
              </w:rPr>
              <w:t xml:space="preserve">CGRP_binder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2251</w:t>
            </w:r>
          </w:p>
        </w:tc>
        <w:tc>
          <w:tcPr/>
          <w:p>
            <w:pPr>
              <w:pStyle w:val="Compact"/>
            </w:pPr>
            <w:r>
              <w:rPr>
                <w:sz w:val="15"/>
              </w:rPr>
              <w:t xml:space="preserve">AUROC vs measured non-binders</w:t>
            </w:r>
          </w:p>
        </w:tc>
        <w:tc>
          <w:tcPr/>
          <w:p>
            <w:pPr>
              <w:pStyle w:val="Compact"/>
            </w:pPr>
            <w:r>
              <w:rPr>
                <w:sz w:val="15"/>
              </w:rPr>
              <w:t xml:space="preserve">0.985</w:t>
            </w:r>
          </w:p>
        </w:tc>
        <w:tc>
          <w:tcPr/>
          <w:p>
            <w:pPr>
              <w:pStyle w:val="Compact"/>
            </w:pPr>
            <w:r>
              <w:rPr>
                <w:sz w:val="15"/>
              </w:rPr>
              <w:t xml:space="preserve">True</w:t>
            </w:r>
          </w:p>
        </w:tc>
      </w:tr>
      <w:tr>
        <w:tc>
          <w:tcPr/>
          <w:p>
            <w:pPr>
              <w:pStyle w:val="Compact"/>
            </w:pPr>
            <w:r>
              <w:rPr>
                <w:sz w:val="15"/>
              </w:rPr>
              <w:t xml:space="preserve">COX2_binder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4429</w:t>
            </w:r>
          </w:p>
        </w:tc>
        <w:tc>
          <w:tcPr/>
          <w:p>
            <w:pPr>
              <w:pStyle w:val="Compact"/>
            </w:pPr>
            <w:r>
              <w:rPr>
                <w:sz w:val="15"/>
              </w:rPr>
              <w:t xml:space="preserve">AUROC vs measured non-binders</w:t>
            </w:r>
          </w:p>
        </w:tc>
        <w:tc>
          <w:tcPr/>
          <w:p>
            <w:pPr>
              <w:pStyle w:val="Compact"/>
            </w:pPr>
            <w:r>
              <w:rPr>
                <w:sz w:val="15"/>
              </w:rPr>
              <w:t xml:space="preserve">0.783</w:t>
            </w:r>
          </w:p>
        </w:tc>
        <w:tc>
          <w:tcPr/>
          <w:p>
            <w:pPr>
              <w:pStyle w:val="Compact"/>
            </w:pPr>
            <w:r>
              <w:rPr>
                <w:sz w:val="15"/>
              </w:rPr>
              <w:t xml:space="preserve">True</w:t>
            </w:r>
          </w:p>
        </w:tc>
      </w:tr>
      <w:tr>
        <w:tc>
          <w:tcPr/>
          <w:p>
            <w:pPr>
              <w:pStyle w:val="Compact"/>
            </w:pPr>
            <w:r>
              <w:rPr>
                <w:sz w:val="15"/>
              </w:rPr>
              <w:t xml:space="preserve">CSF1R_binder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6772</w:t>
            </w:r>
          </w:p>
        </w:tc>
        <w:tc>
          <w:tcPr/>
          <w:p>
            <w:pPr>
              <w:pStyle w:val="Compact"/>
            </w:pPr>
            <w:r>
              <w:rPr>
                <w:sz w:val="15"/>
              </w:rPr>
              <w:t xml:space="preserve">AUROC vs measured non-binders</w:t>
            </w:r>
          </w:p>
        </w:tc>
        <w:tc>
          <w:tcPr/>
          <w:p>
            <w:pPr>
              <w:pStyle w:val="Compact"/>
            </w:pPr>
            <w:r>
              <w:rPr>
                <w:sz w:val="15"/>
              </w:rPr>
              <w:t xml:space="preserve">0.95</w:t>
            </w:r>
          </w:p>
        </w:tc>
        <w:tc>
          <w:tcPr/>
          <w:p>
            <w:pPr>
              <w:pStyle w:val="Compact"/>
            </w:pPr>
            <w:r>
              <w:rPr>
                <w:sz w:val="15"/>
              </w:rPr>
              <w:t xml:space="preserve">True</w:t>
            </w:r>
          </w:p>
        </w:tc>
      </w:tr>
      <w:tr>
        <w:tc>
          <w:tcPr/>
          <w:p>
            <w:pPr>
              <w:pStyle w:val="Compact"/>
            </w:pPr>
            <w:r>
              <w:rPr>
                <w:sz w:val="15"/>
              </w:rPr>
              <w:t xml:space="preserve">Cav3_2_binder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1325</w:t>
            </w:r>
          </w:p>
        </w:tc>
        <w:tc>
          <w:tcPr/>
          <w:p>
            <w:pPr>
              <w:pStyle w:val="Compact"/>
            </w:pPr>
            <w:r>
              <w:rPr>
                <w:sz w:val="15"/>
              </w:rPr>
              <w:t xml:space="preserve">AUROC vs measured non-binders</w:t>
            </w:r>
          </w:p>
        </w:tc>
        <w:tc>
          <w:tcPr/>
          <w:p>
            <w:pPr>
              <w:pStyle w:val="Compact"/>
            </w:pPr>
            <w:r>
              <w:rPr>
                <w:sz w:val="15"/>
              </w:rPr>
              <w:t xml:space="preserve">0.982</w:t>
            </w:r>
          </w:p>
        </w:tc>
        <w:tc>
          <w:tcPr/>
          <w:p>
            <w:pPr>
              <w:pStyle w:val="Compact"/>
            </w:pPr>
            <w:r>
              <w:rPr>
                <w:sz w:val="15"/>
              </w:rPr>
              <w:t xml:space="preserve">True</w:t>
            </w:r>
          </w:p>
        </w:tc>
      </w:tr>
      <w:tr>
        <w:tc>
          <w:tcPr/>
          <w:p>
            <w:pPr>
              <w:pStyle w:val="Compact"/>
            </w:pPr>
            <w:r>
              <w:rPr>
                <w:sz w:val="15"/>
              </w:rPr>
              <w:t xml:space="preserve">D2_binder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13861</w:t>
            </w:r>
          </w:p>
        </w:tc>
        <w:tc>
          <w:tcPr/>
          <w:p>
            <w:pPr>
              <w:pStyle w:val="Compact"/>
            </w:pPr>
            <w:r>
              <w:rPr>
                <w:sz w:val="15"/>
              </w:rPr>
              <w:t xml:space="preserve">AUROC vs measured non-binders</w:t>
            </w:r>
          </w:p>
        </w:tc>
        <w:tc>
          <w:tcPr/>
          <w:p>
            <w:pPr>
              <w:pStyle w:val="Compact"/>
            </w:pPr>
            <w:r>
              <w:rPr>
                <w:sz w:val="15"/>
              </w:rPr>
              <w:t xml:space="preserve">0.872</w:t>
            </w:r>
          </w:p>
        </w:tc>
        <w:tc>
          <w:tcPr/>
          <w:p>
            <w:pPr>
              <w:pStyle w:val="Compact"/>
            </w:pPr>
            <w:r>
              <w:rPr>
                <w:sz w:val="15"/>
              </w:rPr>
              <w:t xml:space="preserve">True</w:t>
            </w:r>
          </w:p>
        </w:tc>
      </w:tr>
      <w:tr>
        <w:tc>
          <w:tcPr/>
          <w:p>
            <w:pPr>
              <w:pStyle w:val="Compact"/>
            </w:pPr>
            <w:r>
              <w:rPr>
                <w:sz w:val="15"/>
              </w:rPr>
              <w:t xml:space="preserve">D3_binder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15831</w:t>
            </w:r>
          </w:p>
        </w:tc>
        <w:tc>
          <w:tcPr/>
          <w:p>
            <w:pPr>
              <w:pStyle w:val="Compact"/>
            </w:pPr>
            <w:r>
              <w:rPr>
                <w:sz w:val="15"/>
              </w:rPr>
              <w:t xml:space="preserve">AUROC vs measured non-binders</w:t>
            </w:r>
          </w:p>
        </w:tc>
        <w:tc>
          <w:tcPr/>
          <w:p>
            <w:pPr>
              <w:pStyle w:val="Compact"/>
            </w:pPr>
            <w:r>
              <w:rPr>
                <w:sz w:val="15"/>
              </w:rPr>
              <w:t xml:space="preserve">0.956</w:t>
            </w:r>
          </w:p>
        </w:tc>
        <w:tc>
          <w:tcPr/>
          <w:p>
            <w:pPr>
              <w:pStyle w:val="Compact"/>
            </w:pPr>
            <w:r>
              <w:rPr>
                <w:sz w:val="15"/>
              </w:rPr>
              <w:t xml:space="preserve">True</w:t>
            </w:r>
          </w:p>
        </w:tc>
      </w:tr>
      <w:tr>
        <w:tc>
          <w:tcPr/>
          <w:p>
            <w:pPr>
              <w:pStyle w:val="Compact"/>
            </w:pPr>
            <w:r>
              <w:rPr>
                <w:sz w:val="15"/>
              </w:rPr>
              <w:t xml:space="preserve">DAT_binder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5113</w:t>
            </w:r>
          </w:p>
        </w:tc>
        <w:tc>
          <w:tcPr/>
          <w:p>
            <w:pPr>
              <w:pStyle w:val="Compact"/>
            </w:pPr>
            <w:r>
              <w:rPr>
                <w:sz w:val="15"/>
              </w:rPr>
              <w:t xml:space="preserve">AUROC vs measured non-binders</w:t>
            </w:r>
          </w:p>
        </w:tc>
        <w:tc>
          <w:tcPr/>
          <w:p>
            <w:pPr>
              <w:pStyle w:val="Compact"/>
            </w:pPr>
            <w:r>
              <w:rPr>
                <w:sz w:val="15"/>
              </w:rPr>
              <w:t xml:space="preserve">0.959</w:t>
            </w:r>
          </w:p>
        </w:tc>
        <w:tc>
          <w:tcPr/>
          <w:p>
            <w:pPr>
              <w:pStyle w:val="Compact"/>
            </w:pPr>
            <w:r>
              <w:rPr>
                <w:sz w:val="15"/>
              </w:rPr>
              <w:t xml:space="preserve">True</w:t>
            </w:r>
          </w:p>
        </w:tc>
      </w:tr>
      <w:tr>
        <w:tc>
          <w:tcPr/>
          <w:p>
            <w:pPr>
              <w:pStyle w:val="Compact"/>
            </w:pPr>
            <w:r>
              <w:rPr>
                <w:sz w:val="15"/>
              </w:rPr>
              <w:t xml:space="preserve">DHODH_binder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3619</w:t>
            </w:r>
          </w:p>
        </w:tc>
        <w:tc>
          <w:tcPr/>
          <w:p>
            <w:pPr>
              <w:pStyle w:val="Compact"/>
            </w:pPr>
            <w:r>
              <w:rPr>
                <w:sz w:val="15"/>
              </w:rPr>
              <w:t xml:space="preserve">AUROC vs measured non-binders</w:t>
            </w:r>
          </w:p>
        </w:tc>
        <w:tc>
          <w:tcPr/>
          <w:p>
            <w:pPr>
              <w:pStyle w:val="Compact"/>
            </w:pPr>
            <w:r>
              <w:rPr>
                <w:sz w:val="15"/>
              </w:rPr>
              <w:t xml:space="preserve">0.966</w:t>
            </w:r>
          </w:p>
        </w:tc>
        <w:tc>
          <w:tcPr/>
          <w:p>
            <w:pPr>
              <w:pStyle w:val="Compact"/>
            </w:pPr>
            <w:r>
              <w:rPr>
                <w:sz w:val="15"/>
              </w:rPr>
              <w:t xml:space="preserve">True</w:t>
            </w:r>
          </w:p>
        </w:tc>
      </w:tr>
      <w:tr>
        <w:tc>
          <w:tcPr/>
          <w:p>
            <w:pPr>
              <w:pStyle w:val="Compact"/>
            </w:pPr>
            <w:r>
              <w:rPr>
                <w:sz w:val="15"/>
              </w:rPr>
              <w:t xml:space="preserve">GABA_A_binder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771</w:t>
            </w:r>
          </w:p>
        </w:tc>
        <w:tc>
          <w:tcPr/>
          <w:p>
            <w:pPr>
              <w:pStyle w:val="Compact"/>
            </w:pPr>
            <w:r>
              <w:rPr>
                <w:sz w:val="15"/>
              </w:rPr>
              <w:t xml:space="preserve">AUROC vs measured non-binders</w:t>
            </w:r>
          </w:p>
        </w:tc>
        <w:tc>
          <w:tcPr/>
          <w:p>
            <w:pPr>
              <w:pStyle w:val="Compact"/>
            </w:pPr>
            <w:r>
              <w:rPr>
                <w:sz w:val="15"/>
              </w:rPr>
              <w:t xml:space="preserve">0.719</w:t>
            </w:r>
          </w:p>
        </w:tc>
        <w:tc>
          <w:tcPr/>
          <w:p>
            <w:pPr>
              <w:pStyle w:val="Compact"/>
            </w:pPr>
            <w:r>
              <w:rPr>
                <w:sz w:val="15"/>
              </w:rPr>
              <w:t xml:space="preserve">True</w:t>
            </w:r>
          </w:p>
        </w:tc>
      </w:tr>
      <w:tr>
        <w:tc>
          <w:tcPr/>
          <w:p>
            <w:pPr>
              <w:pStyle w:val="Compact"/>
            </w:pPr>
            <w:r>
              <w:rPr>
                <w:sz w:val="15"/>
              </w:rPr>
              <w:t xml:space="preserve">GBA1_binder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441</w:t>
            </w:r>
          </w:p>
        </w:tc>
        <w:tc>
          <w:tcPr/>
          <w:p>
            <w:pPr>
              <w:pStyle w:val="Compact"/>
            </w:pPr>
            <w:r>
              <w:rPr>
                <w:sz w:val="15"/>
              </w:rPr>
              <w:t xml:space="preserve">AUROC vs measured non-binders</w:t>
            </w:r>
          </w:p>
        </w:tc>
        <w:tc>
          <w:tcPr/>
          <w:p>
            <w:pPr>
              <w:pStyle w:val="Compact"/>
            </w:pPr>
            <w:r>
              <w:rPr>
                <w:sz w:val="15"/>
              </w:rPr>
              <w:t xml:space="preserve">0.932</w:t>
            </w:r>
          </w:p>
        </w:tc>
        <w:tc>
          <w:tcPr/>
          <w:p>
            <w:pPr>
              <w:pStyle w:val="Compact"/>
            </w:pPr>
            <w:r>
              <w:rPr>
                <w:sz w:val="15"/>
              </w:rPr>
              <w:t xml:space="preserve">True</w:t>
            </w:r>
          </w:p>
        </w:tc>
      </w:tr>
      <w:tr>
        <w:tc>
          <w:tcPr/>
          <w:p>
            <w:pPr>
              <w:pStyle w:val="Compact"/>
            </w:pPr>
            <w:r>
              <w:rPr>
                <w:sz w:val="15"/>
              </w:rPr>
              <w:t xml:space="preserve">GluA2_binder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68</w:t>
            </w:r>
          </w:p>
        </w:tc>
        <w:tc>
          <w:tcPr/>
          <w:p>
            <w:pPr>
              <w:pStyle w:val="Compact"/>
            </w:pPr>
            <w:r>
              <w:rPr>
                <w:sz w:val="15"/>
              </w:rPr>
              <w:t xml:space="preserve">AUROC vs measured non-binders</w:t>
            </w:r>
          </w:p>
        </w:tc>
        <w:tc>
          <w:tcPr/>
          <w:p>
            <w:pPr>
              <w:pStyle w:val="Compact"/>
            </w:pPr>
            <w:r>
              <w:rPr>
                <w:sz w:val="15"/>
              </w:rPr>
              <w:t xml:space="preserve">0.696</w:t>
            </w:r>
          </w:p>
        </w:tc>
        <w:tc>
          <w:tcPr/>
          <w:p>
            <w:pPr>
              <w:pStyle w:val="Compact"/>
            </w:pPr>
            <w:r>
              <w:rPr>
                <w:sz w:val="15"/>
              </w:rPr>
              <w:t xml:space="preserve">False</w:t>
            </w:r>
          </w:p>
        </w:tc>
      </w:tr>
      <w:tr>
        <w:tc>
          <w:tcPr/>
          <w:p>
            <w:pPr>
              <w:pStyle w:val="Compact"/>
            </w:pPr>
            <w:r>
              <w:rPr>
                <w:sz w:val="15"/>
              </w:rPr>
              <w:t xml:space="preserve">GluN2B_binder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3461</w:t>
            </w:r>
          </w:p>
        </w:tc>
        <w:tc>
          <w:tcPr/>
          <w:p>
            <w:pPr>
              <w:pStyle w:val="Compact"/>
            </w:pPr>
            <w:r>
              <w:rPr>
                <w:sz w:val="15"/>
              </w:rPr>
              <w:t xml:space="preserve">AUROC vs measured non-binders</w:t>
            </w:r>
          </w:p>
        </w:tc>
        <w:tc>
          <w:tcPr/>
          <w:p>
            <w:pPr>
              <w:pStyle w:val="Compact"/>
            </w:pPr>
            <w:r>
              <w:rPr>
                <w:sz w:val="15"/>
              </w:rPr>
              <w:t xml:space="preserve">0.761</w:t>
            </w:r>
          </w:p>
        </w:tc>
        <w:tc>
          <w:tcPr/>
          <w:p>
            <w:pPr>
              <w:pStyle w:val="Compact"/>
            </w:pPr>
            <w:r>
              <w:rPr>
                <w:sz w:val="15"/>
              </w:rPr>
              <w:t xml:space="preserve">True</w:t>
            </w:r>
          </w:p>
        </w:tc>
      </w:tr>
      <w:tr>
        <w:tc>
          <w:tcPr/>
          <w:p>
            <w:pPr>
              <w:pStyle w:val="Compact"/>
            </w:pPr>
            <w:r>
              <w:rPr>
                <w:sz w:val="15"/>
              </w:rPr>
              <w:t xml:space="preserve">H3_binder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12295</w:t>
            </w:r>
          </w:p>
        </w:tc>
        <w:tc>
          <w:tcPr/>
          <w:p>
            <w:pPr>
              <w:pStyle w:val="Compact"/>
            </w:pPr>
            <w:r>
              <w:rPr>
                <w:sz w:val="15"/>
              </w:rPr>
              <w:t xml:space="preserve">AUROC vs measured non-binders</w:t>
            </w:r>
          </w:p>
        </w:tc>
        <w:tc>
          <w:tcPr/>
          <w:p>
            <w:pPr>
              <w:pStyle w:val="Compact"/>
            </w:pPr>
            <w:r>
              <w:rPr>
                <w:sz w:val="15"/>
              </w:rPr>
              <w:t xml:space="preserve">0.978</w:t>
            </w:r>
          </w:p>
        </w:tc>
        <w:tc>
          <w:tcPr/>
          <w:p>
            <w:pPr>
              <w:pStyle w:val="Compact"/>
            </w:pPr>
            <w:r>
              <w:rPr>
                <w:sz w:val="15"/>
              </w:rPr>
              <w:t xml:space="preserve">True</w:t>
            </w:r>
          </w:p>
        </w:tc>
      </w:tr>
      <w:tr>
        <w:tc>
          <w:tcPr/>
          <w:p>
            <w:pPr>
              <w:pStyle w:val="Compact"/>
            </w:pPr>
            <w:r>
              <w:rPr>
                <w:sz w:val="15"/>
              </w:rPr>
              <w:t xml:space="preserve">HDAC1_binder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11728</w:t>
            </w:r>
          </w:p>
        </w:tc>
        <w:tc>
          <w:tcPr/>
          <w:p>
            <w:pPr>
              <w:pStyle w:val="Compact"/>
            </w:pPr>
            <w:r>
              <w:rPr>
                <w:sz w:val="15"/>
              </w:rPr>
              <w:t xml:space="preserve">AUROC vs measured non-binders</w:t>
            </w:r>
          </w:p>
        </w:tc>
        <w:tc>
          <w:tcPr/>
          <w:p>
            <w:pPr>
              <w:pStyle w:val="Compact"/>
            </w:pPr>
            <w:r>
              <w:rPr>
                <w:sz w:val="15"/>
              </w:rPr>
              <w:t xml:space="preserve">0.96</w:t>
            </w:r>
          </w:p>
        </w:tc>
        <w:tc>
          <w:tcPr/>
          <w:p>
            <w:pPr>
              <w:pStyle w:val="Compact"/>
            </w:pPr>
            <w:r>
              <w:rPr>
                <w:sz w:val="15"/>
              </w:rPr>
              <w:t xml:space="preserve">True</w:t>
            </w:r>
          </w:p>
        </w:tc>
      </w:tr>
      <w:tr>
        <w:tc>
          <w:tcPr/>
          <w:p>
            <w:pPr>
              <w:pStyle w:val="Compact"/>
            </w:pPr>
            <w:r>
              <w:rPr>
                <w:sz w:val="15"/>
              </w:rPr>
              <w:t xml:space="preserve">HDAC6_binder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14155</w:t>
            </w:r>
          </w:p>
        </w:tc>
        <w:tc>
          <w:tcPr/>
          <w:p>
            <w:pPr>
              <w:pStyle w:val="Compact"/>
            </w:pPr>
            <w:r>
              <w:rPr>
                <w:sz w:val="15"/>
              </w:rPr>
              <w:t xml:space="preserve">AUROC vs measured non-binders</w:t>
            </w:r>
          </w:p>
        </w:tc>
        <w:tc>
          <w:tcPr/>
          <w:p>
            <w:pPr>
              <w:pStyle w:val="Compact"/>
            </w:pPr>
            <w:r>
              <w:rPr>
                <w:sz w:val="15"/>
              </w:rPr>
              <w:t xml:space="preserve">0.975</w:t>
            </w:r>
          </w:p>
        </w:tc>
        <w:tc>
          <w:tcPr/>
          <w:p>
            <w:pPr>
              <w:pStyle w:val="Compact"/>
            </w:pPr>
            <w:r>
              <w:rPr>
                <w:sz w:val="15"/>
              </w:rPr>
              <w:t xml:space="preserve">True</w:t>
            </w:r>
          </w:p>
        </w:tc>
      </w:tr>
      <w:tr>
        <w:tc>
          <w:tcPr/>
          <w:p>
            <w:pPr>
              <w:pStyle w:val="Compact"/>
            </w:pPr>
            <w:r>
              <w:rPr>
                <w:sz w:val="15"/>
              </w:rPr>
              <w:t xml:space="preserve">HT1A_binder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14179</w:t>
            </w:r>
          </w:p>
        </w:tc>
        <w:tc>
          <w:tcPr/>
          <w:p>
            <w:pPr>
              <w:pStyle w:val="Compact"/>
            </w:pPr>
            <w:r>
              <w:rPr>
                <w:sz w:val="15"/>
              </w:rPr>
              <w:t xml:space="preserve">AUROC vs measured non-binders</w:t>
            </w:r>
          </w:p>
        </w:tc>
        <w:tc>
          <w:tcPr/>
          <w:p>
            <w:pPr>
              <w:pStyle w:val="Compact"/>
            </w:pPr>
            <w:r>
              <w:rPr>
                <w:sz w:val="15"/>
              </w:rPr>
              <w:t xml:space="preserve">0.936</w:t>
            </w:r>
          </w:p>
        </w:tc>
        <w:tc>
          <w:tcPr/>
          <w:p>
            <w:pPr>
              <w:pStyle w:val="Compact"/>
            </w:pPr>
            <w:r>
              <w:rPr>
                <w:sz w:val="15"/>
              </w:rPr>
              <w:t xml:space="preserve">True</w:t>
            </w:r>
          </w:p>
        </w:tc>
      </w:tr>
      <w:tr>
        <w:tc>
          <w:tcPr/>
          <w:p>
            <w:pPr>
              <w:pStyle w:val="Compact"/>
            </w:pPr>
            <w:r>
              <w:rPr>
                <w:sz w:val="15"/>
              </w:rPr>
              <w:t xml:space="preserve">HT2A_binder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14369</w:t>
            </w:r>
          </w:p>
        </w:tc>
        <w:tc>
          <w:tcPr/>
          <w:p>
            <w:pPr>
              <w:pStyle w:val="Compact"/>
            </w:pPr>
            <w:r>
              <w:rPr>
                <w:sz w:val="15"/>
              </w:rPr>
              <w:t xml:space="preserve">AUROC vs measured non-binders</w:t>
            </w:r>
          </w:p>
        </w:tc>
        <w:tc>
          <w:tcPr/>
          <w:p>
            <w:pPr>
              <w:pStyle w:val="Compact"/>
            </w:pPr>
            <w:r>
              <w:rPr>
                <w:sz w:val="15"/>
              </w:rPr>
              <w:t xml:space="preserve">0.925</w:t>
            </w:r>
          </w:p>
        </w:tc>
        <w:tc>
          <w:tcPr/>
          <w:p>
            <w:pPr>
              <w:pStyle w:val="Compact"/>
            </w:pPr>
            <w:r>
              <w:rPr>
                <w:sz w:val="15"/>
              </w:rPr>
              <w:t xml:space="preserve">True</w:t>
            </w:r>
          </w:p>
        </w:tc>
      </w:tr>
      <w:tr>
        <w:tc>
          <w:tcPr/>
          <w:p>
            <w:pPr>
              <w:pStyle w:val="Compact"/>
            </w:pPr>
            <w:r>
              <w:rPr>
                <w:sz w:val="15"/>
              </w:rPr>
              <w:t xml:space="preserve">HT6_binder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10532</w:t>
            </w:r>
          </w:p>
        </w:tc>
        <w:tc>
          <w:tcPr/>
          <w:p>
            <w:pPr>
              <w:pStyle w:val="Compact"/>
            </w:pPr>
            <w:r>
              <w:rPr>
                <w:sz w:val="15"/>
              </w:rPr>
              <w:t xml:space="preserve">AUROC vs measured non-binders</w:t>
            </w:r>
          </w:p>
        </w:tc>
        <w:tc>
          <w:tcPr/>
          <w:p>
            <w:pPr>
              <w:pStyle w:val="Compact"/>
            </w:pPr>
            <w:r>
              <w:rPr>
                <w:sz w:val="15"/>
              </w:rPr>
              <w:t xml:space="preserve">0.96</w:t>
            </w:r>
          </w:p>
        </w:tc>
        <w:tc>
          <w:tcPr/>
          <w:p>
            <w:pPr>
              <w:pStyle w:val="Compact"/>
            </w:pPr>
            <w:r>
              <w:rPr>
                <w:sz w:val="15"/>
              </w:rPr>
              <w:t xml:space="preserve">True</w:t>
            </w:r>
          </w:p>
        </w:tc>
      </w:tr>
      <w:tr>
        <w:tc>
          <w:tcPr/>
          <w:p>
            <w:pPr>
              <w:pStyle w:val="Compact"/>
            </w:pPr>
            <w:r>
              <w:rPr>
                <w:sz w:val="15"/>
              </w:rPr>
              <w:t xml:space="preserve">HT7_binder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5623</w:t>
            </w:r>
          </w:p>
        </w:tc>
        <w:tc>
          <w:tcPr/>
          <w:p>
            <w:pPr>
              <w:pStyle w:val="Compact"/>
            </w:pPr>
            <w:r>
              <w:rPr>
                <w:sz w:val="15"/>
              </w:rPr>
              <w:t xml:space="preserve">AUROC vs measured non-binders</w:t>
            </w:r>
          </w:p>
        </w:tc>
        <w:tc>
          <w:tcPr/>
          <w:p>
            <w:pPr>
              <w:pStyle w:val="Compact"/>
            </w:pPr>
            <w:r>
              <w:rPr>
                <w:sz w:val="15"/>
              </w:rPr>
              <w:t xml:space="preserve">0.947</w:t>
            </w:r>
          </w:p>
        </w:tc>
        <w:tc>
          <w:tcPr/>
          <w:p>
            <w:pPr>
              <w:pStyle w:val="Compact"/>
            </w:pPr>
            <w:r>
              <w:rPr>
                <w:sz w:val="15"/>
              </w:rPr>
              <w:t xml:space="preserve">True</w:t>
            </w:r>
          </w:p>
        </w:tc>
      </w:tr>
      <w:tr>
        <w:tc>
          <w:tcPr/>
          <w:p>
            <w:pPr>
              <w:pStyle w:val="Compact"/>
            </w:pPr>
            <w:r>
              <w:rPr>
                <w:sz w:val="15"/>
              </w:rPr>
              <w:t xml:space="preserve">KEAP1_binder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463</w:t>
            </w:r>
          </w:p>
        </w:tc>
        <w:tc>
          <w:tcPr/>
          <w:p>
            <w:pPr>
              <w:pStyle w:val="Compact"/>
            </w:pPr>
            <w:r>
              <w:rPr>
                <w:sz w:val="15"/>
              </w:rPr>
              <w:t xml:space="preserve">AUROC vs measured non-binders</w:t>
            </w:r>
          </w:p>
        </w:tc>
        <w:tc>
          <w:tcPr/>
          <w:p>
            <w:pPr>
              <w:pStyle w:val="Compact"/>
            </w:pPr>
            <w:r>
              <w:rPr>
                <w:sz w:val="15"/>
              </w:rPr>
              <w:t xml:space="preserve">0.88</w:t>
            </w:r>
          </w:p>
        </w:tc>
        <w:tc>
          <w:tcPr/>
          <w:p>
            <w:pPr>
              <w:pStyle w:val="Compact"/>
            </w:pPr>
            <w:r>
              <w:rPr>
                <w:sz w:val="15"/>
              </w:rPr>
              <w:t xml:space="preserve">True</w:t>
            </w:r>
          </w:p>
        </w:tc>
      </w:tr>
      <w:tr>
        <w:tc>
          <w:tcPr/>
          <w:p>
            <w:pPr>
              <w:pStyle w:val="Compact"/>
            </w:pPr>
            <w:r>
              <w:rPr>
                <w:sz w:val="15"/>
              </w:rPr>
              <w:t xml:space="preserve">LRRK2_binder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4470</w:t>
            </w:r>
          </w:p>
        </w:tc>
        <w:tc>
          <w:tcPr/>
          <w:p>
            <w:pPr>
              <w:pStyle w:val="Compact"/>
            </w:pPr>
            <w:r>
              <w:rPr>
                <w:sz w:val="15"/>
              </w:rPr>
              <w:t xml:space="preserve">AUROC vs measured non-binders</w:t>
            </w:r>
          </w:p>
        </w:tc>
        <w:tc>
          <w:tcPr/>
          <w:p>
            <w:pPr>
              <w:pStyle w:val="Compact"/>
            </w:pPr>
            <w:r>
              <w:rPr>
                <w:sz w:val="15"/>
              </w:rPr>
              <w:t xml:space="preserve">0.968</w:t>
            </w:r>
          </w:p>
        </w:tc>
        <w:tc>
          <w:tcPr/>
          <w:p>
            <w:pPr>
              <w:pStyle w:val="Compact"/>
            </w:pPr>
            <w:r>
              <w:rPr>
                <w:sz w:val="15"/>
              </w:rPr>
              <w:t xml:space="preserve">True</w:t>
            </w:r>
          </w:p>
        </w:tc>
      </w:tr>
      <w:tr>
        <w:tc>
          <w:tcPr/>
          <w:p>
            <w:pPr>
              <w:pStyle w:val="Compact"/>
            </w:pPr>
            <w:r>
              <w:rPr>
                <w:sz w:val="15"/>
              </w:rPr>
              <w:t xml:space="preserve">MT1_binder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2670</w:t>
            </w:r>
          </w:p>
        </w:tc>
        <w:tc>
          <w:tcPr/>
          <w:p>
            <w:pPr>
              <w:pStyle w:val="Compact"/>
            </w:pPr>
            <w:r>
              <w:rPr>
                <w:sz w:val="15"/>
              </w:rPr>
              <w:t xml:space="preserve">AUROC vs measured non-binders</w:t>
            </w:r>
          </w:p>
        </w:tc>
        <w:tc>
          <w:tcPr/>
          <w:p>
            <w:pPr>
              <w:pStyle w:val="Compact"/>
            </w:pPr>
            <w:r>
              <w:rPr>
                <w:sz w:val="15"/>
              </w:rPr>
              <w:t xml:space="preserve">0.896</w:t>
            </w:r>
          </w:p>
        </w:tc>
        <w:tc>
          <w:tcPr/>
          <w:p>
            <w:pPr>
              <w:pStyle w:val="Compact"/>
            </w:pPr>
            <w:r>
              <w:rPr>
                <w:sz w:val="15"/>
              </w:rPr>
              <w:t xml:space="preserve">True</w:t>
            </w:r>
          </w:p>
        </w:tc>
      </w:tr>
      <w:tr>
        <w:tc>
          <w:tcPr/>
          <w:p>
            <w:pPr>
              <w:pStyle w:val="Compact"/>
            </w:pPr>
            <w:r>
              <w:rPr>
                <w:sz w:val="15"/>
              </w:rPr>
              <w:t xml:space="preserve">NET_binder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5933</w:t>
            </w:r>
          </w:p>
        </w:tc>
        <w:tc>
          <w:tcPr/>
          <w:p>
            <w:pPr>
              <w:pStyle w:val="Compact"/>
            </w:pPr>
            <w:r>
              <w:rPr>
                <w:sz w:val="15"/>
              </w:rPr>
              <w:t xml:space="preserve">AUROC vs measured non-binders</w:t>
            </w:r>
          </w:p>
        </w:tc>
        <w:tc>
          <w:tcPr/>
          <w:p>
            <w:pPr>
              <w:pStyle w:val="Compact"/>
            </w:pPr>
            <w:r>
              <w:rPr>
                <w:sz w:val="15"/>
              </w:rPr>
              <w:t xml:space="preserve">0.92</w:t>
            </w:r>
          </w:p>
        </w:tc>
        <w:tc>
          <w:tcPr/>
          <w:p>
            <w:pPr>
              <w:pStyle w:val="Compact"/>
            </w:pPr>
            <w:r>
              <w:rPr>
                <w:sz w:val="15"/>
              </w:rPr>
              <w:t xml:space="preserve">True</w:t>
            </w:r>
          </w:p>
        </w:tc>
      </w:tr>
      <w:tr>
        <w:tc>
          <w:tcPr/>
          <w:p>
            <w:pPr>
              <w:pStyle w:val="Compact"/>
            </w:pPr>
            <w:r>
              <w:rPr>
                <w:sz w:val="15"/>
              </w:rPr>
              <w:t xml:space="preserve">NFKB1_binder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102</w:t>
            </w:r>
          </w:p>
        </w:tc>
        <w:tc>
          <w:tcPr/>
          <w:p>
            <w:pPr>
              <w:pStyle w:val="Compact"/>
            </w:pPr>
            <w:r>
              <w:rPr>
                <w:sz w:val="15"/>
              </w:rPr>
              <w:t xml:space="preserve">AUROC vs measured non-binders</w:t>
            </w:r>
          </w:p>
        </w:tc>
        <w:tc>
          <w:tcPr/>
          <w:p>
            <w:pPr>
              <w:pStyle w:val="Compact"/>
            </w:pPr>
            <w:r>
              <w:rPr>
                <w:sz w:val="15"/>
              </w:rPr>
              <w:t xml:space="preserve">0.459</w:t>
            </w:r>
          </w:p>
        </w:tc>
        <w:tc>
          <w:tcPr/>
          <w:p>
            <w:pPr>
              <w:pStyle w:val="Compact"/>
            </w:pPr>
            <w:r>
              <w:rPr>
                <w:sz w:val="15"/>
              </w:rPr>
              <w:t xml:space="preserve">False</w:t>
            </w:r>
          </w:p>
        </w:tc>
      </w:tr>
      <w:tr>
        <w:tc>
          <w:tcPr/>
          <w:p>
            <w:pPr>
              <w:pStyle w:val="Compact"/>
            </w:pPr>
            <w:r>
              <w:rPr>
                <w:sz w:val="15"/>
              </w:rPr>
              <w:t xml:space="preserve">NLRP3_binder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843</w:t>
            </w:r>
          </w:p>
        </w:tc>
        <w:tc>
          <w:tcPr/>
          <w:p>
            <w:pPr>
              <w:pStyle w:val="Compact"/>
            </w:pPr>
            <w:r>
              <w:rPr>
                <w:sz w:val="15"/>
              </w:rPr>
              <w:t xml:space="preserve">AUROC vs measured non-binders</w:t>
            </w:r>
          </w:p>
        </w:tc>
        <w:tc>
          <w:tcPr/>
          <w:p>
            <w:pPr>
              <w:pStyle w:val="Compact"/>
            </w:pPr>
            <w:r>
              <w:rPr>
                <w:sz w:val="15"/>
              </w:rPr>
              <w:t xml:space="preserve">0.93</w:t>
            </w:r>
          </w:p>
        </w:tc>
        <w:tc>
          <w:tcPr/>
          <w:p>
            <w:pPr>
              <w:pStyle w:val="Compact"/>
            </w:pPr>
            <w:r>
              <w:rPr>
                <w:sz w:val="15"/>
              </w:rPr>
              <w:t xml:space="preserve">True</w:t>
            </w:r>
          </w:p>
        </w:tc>
      </w:tr>
      <w:tr>
        <w:tc>
          <w:tcPr/>
          <w:p>
            <w:pPr>
              <w:pStyle w:val="Compact"/>
            </w:pPr>
            <w:r>
              <w:rPr>
                <w:sz w:val="15"/>
              </w:rPr>
              <w:t xml:space="preserve">NR3C1_binder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37</w:t>
            </w:r>
          </w:p>
        </w:tc>
        <w:tc>
          <w:tcPr/>
          <w:p>
            <w:pPr>
              <w:pStyle w:val="Compact"/>
            </w:pPr>
            <w:r>
              <w:rPr>
                <w:sz w:val="15"/>
              </w:rPr>
              <w:t xml:space="preserve">AUROC vs measured non-binders</w:t>
            </w:r>
          </w:p>
        </w:tc>
        <w:tc>
          <w:tcPr/>
          <w:p>
            <w:pPr>
              <w:pStyle w:val="Compact"/>
            </w:pPr>
            <w:r>
              <w:rPr>
                <w:sz w:val="15"/>
              </w:rPr>
              <w:t xml:space="preserve">0.41</w:t>
            </w:r>
          </w:p>
        </w:tc>
        <w:tc>
          <w:tcPr/>
          <w:p>
            <w:pPr>
              <w:pStyle w:val="Compact"/>
            </w:pPr>
            <w:r>
              <w:rPr>
                <w:sz w:val="15"/>
              </w:rPr>
              <w:t xml:space="preserve">False</w:t>
            </w:r>
          </w:p>
        </w:tc>
      </w:tr>
      <w:tr>
        <w:tc>
          <w:tcPr/>
          <w:p>
            <w:pPr>
              <w:pStyle w:val="Compact"/>
            </w:pPr>
            <w:r>
              <w:rPr>
                <w:sz w:val="15"/>
              </w:rPr>
              <w:t xml:space="preserve">NRF2_binder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285</w:t>
            </w:r>
          </w:p>
        </w:tc>
        <w:tc>
          <w:tcPr/>
          <w:p>
            <w:pPr>
              <w:pStyle w:val="Compact"/>
            </w:pPr>
            <w:r>
              <w:rPr>
                <w:sz w:val="15"/>
              </w:rPr>
              <w:t xml:space="preserve">AUROC vs measured non-binders</w:t>
            </w:r>
          </w:p>
        </w:tc>
        <w:tc>
          <w:tcPr/>
          <w:p>
            <w:pPr>
              <w:pStyle w:val="Compact"/>
            </w:pPr>
            <w:r>
              <w:rPr>
                <w:sz w:val="15"/>
              </w:rPr>
              <w:t xml:space="preserve">0.789</w:t>
            </w:r>
          </w:p>
        </w:tc>
        <w:tc>
          <w:tcPr/>
          <w:p>
            <w:pPr>
              <w:pStyle w:val="Compact"/>
            </w:pPr>
            <w:r>
              <w:rPr>
                <w:sz w:val="15"/>
              </w:rPr>
              <w:t xml:space="preserve">False</w:t>
            </w:r>
          </w:p>
        </w:tc>
      </w:tr>
      <w:tr>
        <w:tc>
          <w:tcPr/>
          <w:p>
            <w:pPr>
              <w:pStyle w:val="Compact"/>
            </w:pPr>
            <w:r>
              <w:rPr>
                <w:sz w:val="15"/>
              </w:rPr>
              <w:t xml:space="preserve">Nav1_1_binder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227</w:t>
            </w:r>
          </w:p>
        </w:tc>
        <w:tc>
          <w:tcPr/>
          <w:p>
            <w:pPr>
              <w:pStyle w:val="Compact"/>
            </w:pPr>
            <w:r>
              <w:rPr>
                <w:sz w:val="15"/>
              </w:rPr>
              <w:t xml:space="preserve">AUROC vs measured non-binders</w:t>
            </w:r>
          </w:p>
        </w:tc>
        <w:tc>
          <w:tcPr/>
          <w:p>
            <w:pPr>
              <w:pStyle w:val="Compact"/>
            </w:pPr>
            <w:r>
              <w:rPr>
                <w:sz w:val="15"/>
              </w:rPr>
              <w:t xml:space="preserve">0.952</w:t>
            </w:r>
          </w:p>
        </w:tc>
        <w:tc>
          <w:tcPr/>
          <w:p>
            <w:pPr>
              <w:pStyle w:val="Compact"/>
            </w:pPr>
            <w:r>
              <w:rPr>
                <w:sz w:val="15"/>
              </w:rPr>
              <w:t xml:space="preserve">False</w:t>
            </w:r>
          </w:p>
        </w:tc>
      </w:tr>
      <w:tr>
        <w:tc>
          <w:tcPr/>
          <w:p>
            <w:pPr>
              <w:pStyle w:val="Compact"/>
            </w:pPr>
            <w:r>
              <w:rPr>
                <w:sz w:val="15"/>
              </w:rPr>
              <w:t xml:space="preserve">Nav1_5_binder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870</w:t>
            </w:r>
          </w:p>
        </w:tc>
        <w:tc>
          <w:tcPr/>
          <w:p>
            <w:pPr>
              <w:pStyle w:val="Compact"/>
            </w:pPr>
            <w:r>
              <w:rPr>
                <w:sz w:val="15"/>
              </w:rPr>
              <w:t xml:space="preserve">AUROC vs measured non-binders</w:t>
            </w:r>
          </w:p>
        </w:tc>
        <w:tc>
          <w:tcPr/>
          <w:p>
            <w:pPr>
              <w:pStyle w:val="Compact"/>
            </w:pPr>
            <w:r>
              <w:rPr>
                <w:sz w:val="15"/>
              </w:rPr>
              <w:t xml:space="preserve">0.921</w:t>
            </w:r>
          </w:p>
        </w:tc>
        <w:tc>
          <w:tcPr/>
          <w:p>
            <w:pPr>
              <w:pStyle w:val="Compact"/>
            </w:pPr>
            <w:r>
              <w:rPr>
                <w:sz w:val="15"/>
              </w:rPr>
              <w:t xml:space="preserve">True</w:t>
            </w:r>
          </w:p>
        </w:tc>
      </w:tr>
      <w:tr>
        <w:tc>
          <w:tcPr/>
          <w:p>
            <w:pPr>
              <w:pStyle w:val="Compact"/>
            </w:pPr>
            <w:r>
              <w:rPr>
                <w:sz w:val="15"/>
              </w:rPr>
              <w:t xml:space="preserve">Nav1_6_binder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1027</w:t>
            </w:r>
          </w:p>
        </w:tc>
        <w:tc>
          <w:tcPr/>
          <w:p>
            <w:pPr>
              <w:pStyle w:val="Compact"/>
            </w:pPr>
            <w:r>
              <w:rPr>
                <w:sz w:val="15"/>
              </w:rPr>
              <w:t xml:space="preserve">AUROC vs measured non-binders</w:t>
            </w:r>
          </w:p>
        </w:tc>
        <w:tc>
          <w:tcPr/>
          <w:p>
            <w:pPr>
              <w:pStyle w:val="Compact"/>
            </w:pPr>
            <w:r>
              <w:rPr>
                <w:sz w:val="15"/>
              </w:rPr>
              <w:t xml:space="preserve">0.862</w:t>
            </w:r>
          </w:p>
        </w:tc>
        <w:tc>
          <w:tcPr/>
          <w:p>
            <w:pPr>
              <w:pStyle w:val="Compact"/>
            </w:pPr>
            <w:r>
              <w:rPr>
                <w:sz w:val="15"/>
              </w:rPr>
              <w:t xml:space="preserve">True</w:t>
            </w:r>
          </w:p>
        </w:tc>
      </w:tr>
      <w:tr>
        <w:tc>
          <w:tcPr/>
          <w:p>
            <w:pPr>
              <w:pStyle w:val="Compact"/>
            </w:pPr>
            <w:r>
              <w:rPr>
                <w:sz w:val="15"/>
              </w:rPr>
              <w:t xml:space="preserve">Nav1_7_binder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10397</w:t>
            </w:r>
          </w:p>
        </w:tc>
        <w:tc>
          <w:tcPr/>
          <w:p>
            <w:pPr>
              <w:pStyle w:val="Compact"/>
            </w:pPr>
            <w:r>
              <w:rPr>
                <w:sz w:val="15"/>
              </w:rPr>
              <w:t xml:space="preserve">AUROC vs measured non-binders</w:t>
            </w:r>
          </w:p>
        </w:tc>
        <w:tc>
          <w:tcPr/>
          <w:p>
            <w:pPr>
              <w:pStyle w:val="Compact"/>
            </w:pPr>
            <w:r>
              <w:rPr>
                <w:sz w:val="15"/>
              </w:rPr>
              <w:t xml:space="preserve">0.957</w:t>
            </w:r>
          </w:p>
        </w:tc>
        <w:tc>
          <w:tcPr/>
          <w:p>
            <w:pPr>
              <w:pStyle w:val="Compact"/>
            </w:pPr>
            <w:r>
              <w:rPr>
                <w:sz w:val="15"/>
              </w:rPr>
              <w:t xml:space="preserve">True</w:t>
            </w:r>
          </w:p>
        </w:tc>
      </w:tr>
      <w:tr>
        <w:tc>
          <w:tcPr/>
          <w:p>
            <w:pPr>
              <w:pStyle w:val="Compact"/>
            </w:pPr>
            <w:r>
              <w:rPr>
                <w:sz w:val="15"/>
              </w:rPr>
              <w:t xml:space="preserve">Nav1_8_binder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1030</w:t>
            </w:r>
          </w:p>
        </w:tc>
        <w:tc>
          <w:tcPr/>
          <w:p>
            <w:pPr>
              <w:pStyle w:val="Compact"/>
            </w:pPr>
            <w:r>
              <w:rPr>
                <w:sz w:val="15"/>
              </w:rPr>
              <w:t xml:space="preserve">AUROC vs measured non-binders</w:t>
            </w:r>
          </w:p>
        </w:tc>
        <w:tc>
          <w:tcPr/>
          <w:p>
            <w:pPr>
              <w:pStyle w:val="Compact"/>
            </w:pPr>
            <w:r>
              <w:rPr>
                <w:sz w:val="15"/>
              </w:rPr>
              <w:t xml:space="preserve">0.956</w:t>
            </w:r>
          </w:p>
        </w:tc>
        <w:tc>
          <w:tcPr/>
          <w:p>
            <w:pPr>
              <w:pStyle w:val="Compact"/>
            </w:pPr>
            <w:r>
              <w:rPr>
                <w:sz w:val="15"/>
              </w:rPr>
              <w:t xml:space="preserve">True</w:t>
            </w:r>
          </w:p>
        </w:tc>
      </w:tr>
      <w:tr>
        <w:tc>
          <w:tcPr/>
          <w:p>
            <w:pPr>
              <w:pStyle w:val="Compact"/>
            </w:pPr>
            <w:r>
              <w:rPr>
                <w:sz w:val="15"/>
              </w:rPr>
              <w:t xml:space="preserve">OPRK1_binder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11642</w:t>
            </w:r>
          </w:p>
        </w:tc>
        <w:tc>
          <w:tcPr/>
          <w:p>
            <w:pPr>
              <w:pStyle w:val="Compact"/>
            </w:pPr>
            <w:r>
              <w:rPr>
                <w:sz w:val="15"/>
              </w:rPr>
              <w:t xml:space="preserve">AUROC vs measured non-binders</w:t>
            </w:r>
          </w:p>
        </w:tc>
        <w:tc>
          <w:tcPr/>
          <w:p>
            <w:pPr>
              <w:pStyle w:val="Compact"/>
            </w:pPr>
            <w:r>
              <w:rPr>
                <w:sz w:val="15"/>
              </w:rPr>
              <w:t xml:space="preserve">0.945</w:t>
            </w:r>
          </w:p>
        </w:tc>
        <w:tc>
          <w:tcPr/>
          <w:p>
            <w:pPr>
              <w:pStyle w:val="Compact"/>
            </w:pPr>
            <w:r>
              <w:rPr>
                <w:sz w:val="15"/>
              </w:rPr>
              <w:t xml:space="preserve">True</w:t>
            </w:r>
          </w:p>
        </w:tc>
      </w:tr>
      <w:tr>
        <w:tc>
          <w:tcPr/>
          <w:p>
            <w:pPr>
              <w:pStyle w:val="Compact"/>
            </w:pPr>
            <w:r>
              <w:rPr>
                <w:sz w:val="15"/>
              </w:rPr>
              <w:t xml:space="preserve">OPRM1_binder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14058</w:t>
            </w:r>
          </w:p>
        </w:tc>
        <w:tc>
          <w:tcPr/>
          <w:p>
            <w:pPr>
              <w:pStyle w:val="Compact"/>
            </w:pPr>
            <w:r>
              <w:rPr>
                <w:sz w:val="15"/>
              </w:rPr>
              <w:t xml:space="preserve">AUROC vs measured non-binders</w:t>
            </w:r>
          </w:p>
        </w:tc>
        <w:tc>
          <w:tcPr/>
          <w:p>
            <w:pPr>
              <w:pStyle w:val="Compact"/>
            </w:pPr>
            <w:r>
              <w:rPr>
                <w:sz w:val="15"/>
              </w:rPr>
              <w:t xml:space="preserve">0.954</w:t>
            </w:r>
          </w:p>
        </w:tc>
        <w:tc>
          <w:tcPr/>
          <w:p>
            <w:pPr>
              <w:pStyle w:val="Compact"/>
            </w:pPr>
            <w:r>
              <w:rPr>
                <w:sz w:val="15"/>
              </w:rPr>
              <w:t xml:space="preserve">True</w:t>
            </w:r>
          </w:p>
        </w:tc>
      </w:tr>
      <w:tr>
        <w:tc>
          <w:tcPr/>
          <w:p>
            <w:pPr>
              <w:pStyle w:val="Compact"/>
            </w:pPr>
            <w:r>
              <w:rPr>
                <w:sz w:val="15"/>
              </w:rPr>
              <w:t xml:space="preserve">OX1_binder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12724</w:t>
            </w:r>
          </w:p>
        </w:tc>
        <w:tc>
          <w:tcPr/>
          <w:p>
            <w:pPr>
              <w:pStyle w:val="Compact"/>
            </w:pPr>
            <w:r>
              <w:rPr>
                <w:sz w:val="15"/>
              </w:rPr>
              <w:t xml:space="preserve">AUROC vs measured non-binders</w:t>
            </w:r>
          </w:p>
        </w:tc>
        <w:tc>
          <w:tcPr/>
          <w:p>
            <w:pPr>
              <w:pStyle w:val="Compact"/>
            </w:pPr>
            <w:r>
              <w:rPr>
                <w:sz w:val="15"/>
              </w:rPr>
              <w:t xml:space="preserve">0.964</w:t>
            </w:r>
          </w:p>
        </w:tc>
        <w:tc>
          <w:tcPr/>
          <w:p>
            <w:pPr>
              <w:pStyle w:val="Compact"/>
            </w:pPr>
            <w:r>
              <w:rPr>
                <w:sz w:val="15"/>
              </w:rPr>
              <w:t xml:space="preserve">True</w:t>
            </w:r>
          </w:p>
        </w:tc>
      </w:tr>
      <w:tr>
        <w:tc>
          <w:tcPr/>
          <w:p>
            <w:pPr>
              <w:pStyle w:val="Compact"/>
            </w:pPr>
            <w:r>
              <w:rPr>
                <w:sz w:val="15"/>
              </w:rPr>
              <w:t xml:space="preserve">OX2_binder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14679</w:t>
            </w:r>
          </w:p>
        </w:tc>
        <w:tc>
          <w:tcPr/>
          <w:p>
            <w:pPr>
              <w:pStyle w:val="Compact"/>
            </w:pPr>
            <w:r>
              <w:rPr>
                <w:sz w:val="15"/>
              </w:rPr>
              <w:t xml:space="preserve">AUROC vs measured non-binders</w:t>
            </w:r>
          </w:p>
        </w:tc>
        <w:tc>
          <w:tcPr/>
          <w:p>
            <w:pPr>
              <w:pStyle w:val="Compact"/>
            </w:pPr>
            <w:r>
              <w:rPr>
                <w:sz w:val="15"/>
              </w:rPr>
              <w:t xml:space="preserve">0.964</w:t>
            </w:r>
          </w:p>
        </w:tc>
        <w:tc>
          <w:tcPr/>
          <w:p>
            <w:pPr>
              <w:pStyle w:val="Compact"/>
            </w:pPr>
            <w:r>
              <w:rPr>
                <w:sz w:val="15"/>
              </w:rPr>
              <w:t xml:space="preserve">True</w:t>
            </w:r>
          </w:p>
        </w:tc>
      </w:tr>
      <w:tr>
        <w:tc>
          <w:tcPr/>
          <w:p>
            <w:pPr>
              <w:pStyle w:val="Compact"/>
            </w:pPr>
            <w:r>
              <w:rPr>
                <w:sz w:val="15"/>
              </w:rPr>
              <w:t xml:space="preserve">P2X7_binder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11122</w:t>
            </w:r>
          </w:p>
        </w:tc>
        <w:tc>
          <w:tcPr/>
          <w:p>
            <w:pPr>
              <w:pStyle w:val="Compact"/>
            </w:pPr>
            <w:r>
              <w:rPr>
                <w:sz w:val="15"/>
              </w:rPr>
              <w:t xml:space="preserve">AUROC vs measured non-binders</w:t>
            </w:r>
          </w:p>
        </w:tc>
        <w:tc>
          <w:tcPr/>
          <w:p>
            <w:pPr>
              <w:pStyle w:val="Compact"/>
            </w:pPr>
            <w:r>
              <w:rPr>
                <w:sz w:val="15"/>
              </w:rPr>
              <w:t xml:space="preserve">0.813</w:t>
            </w:r>
          </w:p>
        </w:tc>
        <w:tc>
          <w:tcPr/>
          <w:p>
            <w:pPr>
              <w:pStyle w:val="Compact"/>
            </w:pPr>
            <w:r>
              <w:rPr>
                <w:sz w:val="15"/>
              </w:rPr>
              <w:t xml:space="preserve">True</w:t>
            </w:r>
          </w:p>
        </w:tc>
      </w:tr>
      <w:tr>
        <w:tc>
          <w:tcPr/>
          <w:p>
            <w:pPr>
              <w:pStyle w:val="Compact"/>
            </w:pPr>
            <w:r>
              <w:rPr>
                <w:sz w:val="15"/>
              </w:rPr>
              <w:t xml:space="preserve">PDE10A_binder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15463</w:t>
            </w:r>
          </w:p>
        </w:tc>
        <w:tc>
          <w:tcPr/>
          <w:p>
            <w:pPr>
              <w:pStyle w:val="Compact"/>
            </w:pPr>
            <w:r>
              <w:rPr>
                <w:sz w:val="15"/>
              </w:rPr>
              <w:t xml:space="preserve">AUROC vs measured non-binders</w:t>
            </w:r>
          </w:p>
        </w:tc>
        <w:tc>
          <w:tcPr/>
          <w:p>
            <w:pPr>
              <w:pStyle w:val="Compact"/>
            </w:pPr>
            <w:r>
              <w:rPr>
                <w:sz w:val="15"/>
              </w:rPr>
              <w:t xml:space="preserve">0.962</w:t>
            </w:r>
          </w:p>
        </w:tc>
        <w:tc>
          <w:tcPr/>
          <w:p>
            <w:pPr>
              <w:pStyle w:val="Compact"/>
            </w:pPr>
            <w:r>
              <w:rPr>
                <w:sz w:val="15"/>
              </w:rPr>
              <w:t xml:space="preserve">True</w:t>
            </w:r>
          </w:p>
        </w:tc>
      </w:tr>
      <w:tr>
        <w:tc>
          <w:tcPr/>
          <w:p>
            <w:pPr>
              <w:pStyle w:val="Compact"/>
            </w:pPr>
            <w:r>
              <w:rPr>
                <w:sz w:val="15"/>
              </w:rPr>
              <w:t xml:space="preserve">PDE4B_binder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4332</w:t>
            </w:r>
          </w:p>
        </w:tc>
        <w:tc>
          <w:tcPr/>
          <w:p>
            <w:pPr>
              <w:pStyle w:val="Compact"/>
            </w:pPr>
            <w:r>
              <w:rPr>
                <w:sz w:val="15"/>
              </w:rPr>
              <w:t xml:space="preserve">AUROC vs measured non-binders</w:t>
            </w:r>
          </w:p>
        </w:tc>
        <w:tc>
          <w:tcPr/>
          <w:p>
            <w:pPr>
              <w:pStyle w:val="Compact"/>
            </w:pPr>
            <w:r>
              <w:rPr>
                <w:sz w:val="15"/>
              </w:rPr>
              <w:t xml:space="preserve">0.966</w:t>
            </w:r>
          </w:p>
        </w:tc>
        <w:tc>
          <w:tcPr/>
          <w:p>
            <w:pPr>
              <w:pStyle w:val="Compact"/>
            </w:pPr>
            <w:r>
              <w:rPr>
                <w:sz w:val="15"/>
              </w:rPr>
              <w:t xml:space="preserve">True</w:t>
            </w:r>
          </w:p>
        </w:tc>
      </w:tr>
      <w:tr>
        <w:tc>
          <w:tcPr/>
          <w:p>
            <w:pPr>
              <w:pStyle w:val="Compact"/>
            </w:pPr>
            <w:r>
              <w:rPr>
                <w:sz w:val="15"/>
              </w:rPr>
              <w:t xml:space="preserve">RIPK1_binder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5619</w:t>
            </w:r>
          </w:p>
        </w:tc>
        <w:tc>
          <w:tcPr/>
          <w:p>
            <w:pPr>
              <w:pStyle w:val="Compact"/>
            </w:pPr>
            <w:r>
              <w:rPr>
                <w:sz w:val="15"/>
              </w:rPr>
              <w:t xml:space="preserve">AUROC vs measured non-binders</w:t>
            </w:r>
          </w:p>
        </w:tc>
        <w:tc>
          <w:tcPr/>
          <w:p>
            <w:pPr>
              <w:pStyle w:val="Compact"/>
            </w:pPr>
            <w:r>
              <w:rPr>
                <w:sz w:val="15"/>
              </w:rPr>
              <w:t xml:space="preserve">0.966</w:t>
            </w:r>
          </w:p>
        </w:tc>
        <w:tc>
          <w:tcPr/>
          <w:p>
            <w:pPr>
              <w:pStyle w:val="Compact"/>
            </w:pPr>
            <w:r>
              <w:rPr>
                <w:sz w:val="15"/>
              </w:rPr>
              <w:t xml:space="preserve">True</w:t>
            </w:r>
          </w:p>
        </w:tc>
      </w:tr>
      <w:tr>
        <w:tc>
          <w:tcPr/>
          <w:p>
            <w:pPr>
              <w:pStyle w:val="Compact"/>
            </w:pPr>
            <w:r>
              <w:rPr>
                <w:sz w:val="15"/>
              </w:rPr>
              <w:t xml:space="preserve">SERT_binder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11429</w:t>
            </w:r>
          </w:p>
        </w:tc>
        <w:tc>
          <w:tcPr/>
          <w:p>
            <w:pPr>
              <w:pStyle w:val="Compact"/>
            </w:pPr>
            <w:r>
              <w:rPr>
                <w:sz w:val="15"/>
              </w:rPr>
              <w:t xml:space="preserve">AUROC vs measured non-binders</w:t>
            </w:r>
          </w:p>
        </w:tc>
        <w:tc>
          <w:tcPr/>
          <w:p>
            <w:pPr>
              <w:pStyle w:val="Compact"/>
            </w:pPr>
            <w:r>
              <w:rPr>
                <w:sz w:val="15"/>
              </w:rPr>
              <w:t xml:space="preserve">0.945</w:t>
            </w:r>
          </w:p>
        </w:tc>
        <w:tc>
          <w:tcPr/>
          <w:p>
            <w:pPr>
              <w:pStyle w:val="Compact"/>
            </w:pPr>
            <w:r>
              <w:rPr>
                <w:sz w:val="15"/>
              </w:rPr>
              <w:t xml:space="preserve">True</w:t>
            </w:r>
          </w:p>
        </w:tc>
      </w:tr>
      <w:tr>
        <w:tc>
          <w:tcPr/>
          <w:p>
            <w:pPr>
              <w:pStyle w:val="Compact"/>
            </w:pPr>
            <w:r>
              <w:rPr>
                <w:sz w:val="15"/>
              </w:rPr>
              <w:t xml:space="preserve">SIRT1_binder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276</w:t>
            </w:r>
          </w:p>
        </w:tc>
        <w:tc>
          <w:tcPr/>
          <w:p>
            <w:pPr>
              <w:pStyle w:val="Compact"/>
            </w:pPr>
            <w:r>
              <w:rPr>
                <w:sz w:val="15"/>
              </w:rPr>
              <w:t xml:space="preserve">AUROC vs measured non-binders</w:t>
            </w:r>
          </w:p>
        </w:tc>
        <w:tc>
          <w:tcPr/>
          <w:p>
            <w:pPr>
              <w:pStyle w:val="Compact"/>
            </w:pPr>
            <w:r>
              <w:rPr>
                <w:sz w:val="15"/>
              </w:rPr>
              <w:t xml:space="preserve">0.792</w:t>
            </w:r>
          </w:p>
        </w:tc>
        <w:tc>
          <w:tcPr/>
          <w:p>
            <w:pPr>
              <w:pStyle w:val="Compact"/>
            </w:pPr>
            <w:r>
              <w:rPr>
                <w:sz w:val="15"/>
              </w:rPr>
              <w:t xml:space="preserve">True</w:t>
            </w:r>
          </w:p>
        </w:tc>
      </w:tr>
      <w:tr>
        <w:tc>
          <w:tcPr/>
          <w:p>
            <w:pPr>
              <w:pStyle w:val="Compact"/>
            </w:pPr>
            <w:r>
              <w:rPr>
                <w:sz w:val="15"/>
              </w:rPr>
              <w:t xml:space="preserve">Sigma1_binder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7427</w:t>
            </w:r>
          </w:p>
        </w:tc>
        <w:tc>
          <w:tcPr/>
          <w:p>
            <w:pPr>
              <w:pStyle w:val="Compact"/>
            </w:pPr>
            <w:r>
              <w:rPr>
                <w:sz w:val="15"/>
              </w:rPr>
              <w:t xml:space="preserve">AUROC vs measured non-binders</w:t>
            </w:r>
          </w:p>
        </w:tc>
        <w:tc>
          <w:tcPr/>
          <w:p>
            <w:pPr>
              <w:pStyle w:val="Compact"/>
            </w:pPr>
            <w:r>
              <w:rPr>
                <w:sz w:val="15"/>
              </w:rPr>
              <w:t xml:space="preserve">0.881</w:t>
            </w:r>
          </w:p>
        </w:tc>
        <w:tc>
          <w:tcPr/>
          <w:p>
            <w:pPr>
              <w:pStyle w:val="Compact"/>
            </w:pPr>
            <w:r>
              <w:rPr>
                <w:sz w:val="15"/>
              </w:rPr>
              <w:t xml:space="preserve">True</w:t>
            </w:r>
          </w:p>
        </w:tc>
      </w:tr>
      <w:tr>
        <w:tc>
          <w:tcPr/>
          <w:p>
            <w:pPr>
              <w:pStyle w:val="Compact"/>
            </w:pPr>
            <w:r>
              <w:rPr>
                <w:sz w:val="15"/>
              </w:rPr>
              <w:t xml:space="preserve">TAAR1_binder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82</w:t>
            </w:r>
          </w:p>
        </w:tc>
        <w:tc>
          <w:tcPr/>
          <w:p>
            <w:pPr>
              <w:pStyle w:val="Compact"/>
            </w:pPr>
            <w:r>
              <w:rPr>
                <w:sz w:val="15"/>
              </w:rPr>
              <w:t xml:space="preserve">AUROC vs measured non-binders</w:t>
            </w:r>
          </w:p>
        </w:tc>
        <w:tc>
          <w:tcPr/>
          <w:p>
            <w:pPr>
              <w:pStyle w:val="Compact"/>
            </w:pPr>
            <w:r>
              <w:rPr>
                <w:sz w:val="15"/>
              </w:rPr>
              <w:t xml:space="preserve">0.78</w:t>
            </w:r>
          </w:p>
        </w:tc>
        <w:tc>
          <w:tcPr/>
          <w:p>
            <w:pPr>
              <w:pStyle w:val="Compact"/>
            </w:pPr>
            <w:r>
              <w:rPr>
                <w:sz w:val="15"/>
              </w:rPr>
              <w:t xml:space="preserve">True</w:t>
            </w:r>
          </w:p>
        </w:tc>
      </w:tr>
      <w:tr>
        <w:tc>
          <w:tcPr/>
          <w:p>
            <w:pPr>
              <w:pStyle w:val="Compact"/>
            </w:pPr>
            <w:r>
              <w:rPr>
                <w:sz w:val="15"/>
              </w:rPr>
              <w:t xml:space="preserve">a3b4nAChR_binder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760</w:t>
            </w:r>
          </w:p>
        </w:tc>
        <w:tc>
          <w:tcPr/>
          <w:p>
            <w:pPr>
              <w:pStyle w:val="Compact"/>
            </w:pPr>
            <w:r>
              <w:rPr>
                <w:sz w:val="15"/>
              </w:rPr>
              <w:t xml:space="preserve">AUROC vs measured non-binders</w:t>
            </w:r>
          </w:p>
        </w:tc>
        <w:tc>
          <w:tcPr/>
          <w:p>
            <w:pPr>
              <w:pStyle w:val="Compact"/>
            </w:pPr>
            <w:r>
              <w:rPr>
                <w:sz w:val="15"/>
              </w:rPr>
              <w:t xml:space="preserve">0.974</w:t>
            </w:r>
          </w:p>
        </w:tc>
        <w:tc>
          <w:tcPr/>
          <w:p>
            <w:pPr>
              <w:pStyle w:val="Compact"/>
            </w:pPr>
            <w:r>
              <w:rPr>
                <w:sz w:val="15"/>
              </w:rPr>
              <w:t xml:space="preserve">True</w:t>
            </w:r>
          </w:p>
        </w:tc>
      </w:tr>
      <w:tr>
        <w:tc>
          <w:tcPr/>
          <w:p>
            <w:pPr>
              <w:pStyle w:val="Compact"/>
            </w:pPr>
            <w:r>
              <w:rPr>
                <w:sz w:val="15"/>
              </w:rPr>
              <w:t xml:space="preserve">a4b2nAChR_binder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1835</w:t>
            </w:r>
          </w:p>
        </w:tc>
        <w:tc>
          <w:tcPr/>
          <w:p>
            <w:pPr>
              <w:pStyle w:val="Compact"/>
            </w:pPr>
            <w:r>
              <w:rPr>
                <w:sz w:val="15"/>
              </w:rPr>
              <w:t xml:space="preserve">AUROC vs measured non-binders</w:t>
            </w:r>
          </w:p>
        </w:tc>
        <w:tc>
          <w:tcPr/>
          <w:p>
            <w:pPr>
              <w:pStyle w:val="Compact"/>
            </w:pPr>
            <w:r>
              <w:rPr>
                <w:sz w:val="15"/>
              </w:rPr>
              <w:t xml:space="preserve">0.923</w:t>
            </w:r>
          </w:p>
        </w:tc>
        <w:tc>
          <w:tcPr/>
          <w:p>
            <w:pPr>
              <w:pStyle w:val="Compact"/>
            </w:pPr>
            <w:r>
              <w:rPr>
                <w:sz w:val="15"/>
              </w:rPr>
              <w:t xml:space="preserve">True</w:t>
            </w:r>
          </w:p>
        </w:tc>
      </w:tr>
      <w:tr>
        <w:tc>
          <w:tcPr/>
          <w:p>
            <w:pPr>
              <w:pStyle w:val="Compact"/>
            </w:pPr>
            <w:r>
              <w:rPr>
                <w:sz w:val="15"/>
              </w:rPr>
              <w:t xml:space="preserve">a7nAChR_binder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1285</w:t>
            </w:r>
          </w:p>
        </w:tc>
        <w:tc>
          <w:tcPr/>
          <w:p>
            <w:pPr>
              <w:pStyle w:val="Compact"/>
            </w:pPr>
            <w:r>
              <w:rPr>
                <w:sz w:val="15"/>
              </w:rPr>
              <w:t xml:space="preserve">AUROC vs measured non-binders</w:t>
            </w:r>
          </w:p>
        </w:tc>
        <w:tc>
          <w:tcPr/>
          <w:p>
            <w:pPr>
              <w:pStyle w:val="Compact"/>
            </w:pPr>
            <w:r>
              <w:rPr>
                <w:sz w:val="15"/>
              </w:rPr>
              <w:t xml:space="preserve">0.763</w:t>
            </w:r>
          </w:p>
        </w:tc>
        <w:tc>
          <w:tcPr/>
          <w:p>
            <w:pPr>
              <w:pStyle w:val="Compact"/>
            </w:pPr>
            <w:r>
              <w:rPr>
                <w:sz w:val="15"/>
              </w:rPr>
              <w:t xml:space="preserve">True</w:t>
            </w:r>
          </w:p>
        </w:tc>
      </w:tr>
      <w:tr>
        <w:tc>
          <w:tcPr/>
          <w:p>
            <w:pPr>
              <w:pStyle w:val="Compact"/>
            </w:pPr>
            <w:r>
              <w:rPr>
                <w:sz w:val="15"/>
              </w:rPr>
              <w:t xml:space="preserve">mGluR5_binder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4511</w:t>
            </w:r>
          </w:p>
        </w:tc>
        <w:tc>
          <w:tcPr/>
          <w:p>
            <w:pPr>
              <w:pStyle w:val="Compact"/>
            </w:pPr>
            <w:r>
              <w:rPr>
                <w:sz w:val="15"/>
              </w:rPr>
              <w:t xml:space="preserve">AUROC vs measured non-binders</w:t>
            </w:r>
          </w:p>
        </w:tc>
        <w:tc>
          <w:tcPr/>
          <w:p>
            <w:pPr>
              <w:pStyle w:val="Compact"/>
            </w:pPr>
            <w:r>
              <w:rPr>
                <w:sz w:val="15"/>
              </w:rPr>
              <w:t xml:space="preserve">0.893</w:t>
            </w:r>
          </w:p>
        </w:tc>
        <w:tc>
          <w:tcPr/>
          <w:p>
            <w:pPr>
              <w:pStyle w:val="Compact"/>
            </w:pPr>
            <w:r>
              <w:rPr>
                <w:sz w:val="15"/>
              </w:rPr>
              <w:t xml:space="preserve">True</w:t>
            </w:r>
          </w:p>
        </w:tc>
      </w:tr>
      <w:tr>
        <w:tc>
          <w:tcPr/>
          <w:p>
            <w:pPr>
              <w:pStyle w:val="Compact"/>
            </w:pPr>
            <w:r>
              <w:rPr>
                <w:sz w:val="15"/>
              </w:rPr>
              <w:t xml:space="preserve">mTOR_binder</w:t>
            </w:r>
          </w:p>
        </w:tc>
        <w:tc>
          <w:tcPr/>
          <w:p>
            <w:pPr>
              <w:pStyle w:val="Compact"/>
            </w:pPr>
            <w:r>
              <w:rPr>
                <w:sz w:val="15"/>
              </w:rPr>
              <w:t xml:space="preserve">binder</w:t>
            </w:r>
          </w:p>
        </w:tc>
        <w:tc>
          <w:tcPr/>
          <w:p>
            <w:pPr>
              <w:pStyle w:val="Compact"/>
            </w:pPr>
            <w:r>
              <w:rPr>
                <w:sz w:val="15"/>
              </w:rPr>
              <w:t xml:space="preserve">probability this compound binds this target</w:t>
            </w:r>
          </w:p>
        </w:tc>
        <w:tc>
          <w:tcPr/>
          <w:p>
            <w:pPr>
              <w:pStyle w:val="Compact"/>
            </w:pPr>
            <w:r>
              <w:rPr>
                <w:sz w:val="15"/>
              </w:rPr>
              <w:t xml:space="preserve">11510</w:t>
            </w:r>
          </w:p>
        </w:tc>
        <w:tc>
          <w:tcPr/>
          <w:p>
            <w:pPr>
              <w:pStyle w:val="Compact"/>
            </w:pPr>
            <w:r>
              <w:rPr>
                <w:sz w:val="15"/>
              </w:rPr>
              <w:t xml:space="preserve">AUROC vs measured non-binders</w:t>
            </w:r>
          </w:p>
        </w:tc>
        <w:tc>
          <w:tcPr/>
          <w:p>
            <w:pPr>
              <w:pStyle w:val="Compact"/>
            </w:pPr>
            <w:r>
              <w:rPr>
                <w:sz w:val="15"/>
              </w:rPr>
              <w:t xml:space="preserve">0.983</w:t>
            </w:r>
          </w:p>
        </w:tc>
        <w:tc>
          <w:tcPr/>
          <w:p>
            <w:pPr>
              <w:pStyle w:val="Compact"/>
            </w:pPr>
            <w:r>
              <w:rPr>
                <w:sz w:val="15"/>
              </w:rPr>
              <w:t xml:space="preserve">True</w:t>
            </w:r>
          </w:p>
        </w:tc>
      </w:tr>
      <w:tr>
        <w:tc>
          <w:tcPr/>
          <w:p>
            <w:pPr>
              <w:pStyle w:val="Compact"/>
            </w:pPr>
            <w:r>
              <w:rPr>
                <w:sz w:val="15"/>
              </w:rPr>
              <w:t xml:space="preserve">adme_caco2_permeability</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897</w:t>
            </w:r>
          </w:p>
        </w:tc>
        <w:tc>
          <w:tcPr/>
          <w:p>
            <w:pPr>
              <w:pStyle w:val="Compact"/>
            </w:pPr>
            <w:r>
              <w:rPr>
                <w:sz w:val="15"/>
              </w:rPr>
              <w:t xml:space="preserve">R2</w:t>
            </w:r>
          </w:p>
        </w:tc>
        <w:tc>
          <w:tcPr/>
          <w:p>
            <w:pPr>
              <w:pStyle w:val="Compact"/>
            </w:pPr>
            <w:r>
              <w:rPr>
                <w:sz w:val="15"/>
              </w:rPr>
              <w:t xml:space="preserve">0.5818</w:t>
            </w:r>
          </w:p>
        </w:tc>
        <w:tc>
          <w:tcPr/>
          <w:p>
            <w:pPr>
              <w:pStyle w:val="Compact"/>
            </w:pPr>
            <w:r>
              <w:rPr>
                <w:sz w:val="15"/>
              </w:rPr>
              <w:t xml:space="preserve">True</w:t>
            </w:r>
          </w:p>
        </w:tc>
      </w:tr>
      <w:tr>
        <w:tc>
          <w:tcPr/>
          <w:p>
            <w:pPr>
              <w:pStyle w:val="Compact"/>
            </w:pPr>
            <w:r>
              <w:rPr>
                <w:sz w:val="15"/>
              </w:rPr>
              <w:t xml:space="preserve">adme_clearance_hepatocyte</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1020</w:t>
            </w:r>
          </w:p>
        </w:tc>
        <w:tc>
          <w:tcPr/>
          <w:p>
            <w:pPr>
              <w:pStyle w:val="Compact"/>
            </w:pPr>
            <w:r>
              <w:rPr>
                <w:sz w:val="15"/>
              </w:rPr>
              <w:t xml:space="preserve">R2</w:t>
            </w:r>
          </w:p>
        </w:tc>
        <w:tc>
          <w:tcPr/>
          <w:p>
            <w:pPr>
              <w:pStyle w:val="Compact"/>
            </w:pPr>
            <w:r>
              <w:rPr>
                <w:sz w:val="15"/>
              </w:rPr>
              <w:t xml:space="preserve">0.2062</w:t>
            </w:r>
          </w:p>
        </w:tc>
        <w:tc>
          <w:tcPr/>
          <w:p>
            <w:pPr>
              <w:pStyle w:val="Compact"/>
            </w:pPr>
            <w:r>
              <w:rPr>
                <w:sz w:val="15"/>
              </w:rPr>
              <w:t xml:space="preserve">True</w:t>
            </w:r>
          </w:p>
        </w:tc>
      </w:tr>
      <w:tr>
        <w:tc>
          <w:tcPr/>
          <w:p>
            <w:pPr>
              <w:pStyle w:val="Compact"/>
            </w:pPr>
            <w:r>
              <w:rPr>
                <w:sz w:val="15"/>
              </w:rPr>
              <w:t xml:space="preserve">adme_kpuu</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566</w:t>
            </w:r>
          </w:p>
        </w:tc>
        <w:tc>
          <w:tcPr/>
          <w:p>
            <w:pPr>
              <w:pStyle w:val="Compact"/>
            </w:pPr>
            <w:r>
              <w:rPr>
                <w:sz w:val="15"/>
              </w:rPr>
              <w:t xml:space="preserve">R2</w:t>
            </w:r>
          </w:p>
        </w:tc>
        <w:tc>
          <w:tcPr/>
          <w:p>
            <w:pPr>
              <w:pStyle w:val="Compact"/>
            </w:pPr>
            <w:r>
              <w:rPr>
                <w:sz w:val="15"/>
              </w:rPr>
              <w:t xml:space="preserve">0.3523</w:t>
            </w:r>
          </w:p>
        </w:tc>
        <w:tc>
          <w:tcPr/>
          <w:p>
            <w:pPr>
              <w:pStyle w:val="Compact"/>
            </w:pPr>
            <w:r>
              <w:rPr>
                <w:sz w:val="15"/>
              </w:rPr>
              <w:t xml:space="preserve">True</w:t>
            </w:r>
          </w:p>
        </w:tc>
      </w:tr>
      <w:tr>
        <w:tc>
          <w:tcPr/>
          <w:p>
            <w:pPr>
              <w:pStyle w:val="Compact"/>
            </w:pPr>
            <w:r>
              <w:rPr>
                <w:sz w:val="15"/>
              </w:rPr>
              <w:t xml:space="preserve">adme_lipophilicity</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4200</w:t>
            </w:r>
          </w:p>
        </w:tc>
        <w:tc>
          <w:tcPr/>
          <w:p>
            <w:pPr>
              <w:pStyle w:val="Compact"/>
            </w:pPr>
            <w:r>
              <w:rPr>
                <w:sz w:val="15"/>
              </w:rPr>
              <w:t xml:space="preserve">R2</w:t>
            </w:r>
          </w:p>
        </w:tc>
        <w:tc>
          <w:tcPr/>
          <w:p>
            <w:pPr>
              <w:pStyle w:val="Compact"/>
            </w:pPr>
            <w:r>
              <w:rPr>
                <w:sz w:val="15"/>
              </w:rPr>
              <w:t xml:space="preserve">0.5659</w:t>
            </w:r>
          </w:p>
        </w:tc>
        <w:tc>
          <w:tcPr/>
          <w:p>
            <w:pPr>
              <w:pStyle w:val="Compact"/>
            </w:pPr>
            <w:r>
              <w:rPr>
                <w:sz w:val="15"/>
              </w:rPr>
              <w:t xml:space="preserve">True</w:t>
            </w:r>
          </w:p>
        </w:tc>
      </w:tr>
      <w:tr>
        <w:tc>
          <w:tcPr/>
          <w:p>
            <w:pPr>
              <w:pStyle w:val="Compact"/>
            </w:pPr>
            <w:r>
              <w:rPr>
                <w:sz w:val="15"/>
              </w:rPr>
              <w:t xml:space="preserve">adme_logbb</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1058</w:t>
            </w:r>
          </w:p>
        </w:tc>
        <w:tc>
          <w:tcPr/>
          <w:p>
            <w:pPr>
              <w:pStyle w:val="Compact"/>
            </w:pPr>
            <w:r>
              <w:rPr>
                <w:sz w:val="15"/>
              </w:rPr>
              <w:t xml:space="preserve">R2</w:t>
            </w:r>
          </w:p>
        </w:tc>
        <w:tc>
          <w:tcPr/>
          <w:p>
            <w:pPr>
              <w:pStyle w:val="Compact"/>
            </w:pPr>
            <w:r>
              <w:rPr>
                <w:sz w:val="15"/>
              </w:rPr>
              <w:t xml:space="preserve">0.4131</w:t>
            </w:r>
          </w:p>
        </w:tc>
        <w:tc>
          <w:tcPr/>
          <w:p>
            <w:pPr>
              <w:pStyle w:val="Compact"/>
            </w:pPr>
            <w:r>
              <w:rPr>
                <w:sz w:val="15"/>
              </w:rPr>
              <w:t xml:space="preserve">True</w:t>
            </w:r>
          </w:p>
        </w:tc>
      </w:tr>
      <w:tr>
        <w:tc>
          <w:tcPr/>
          <w:p>
            <w:pPr>
              <w:pStyle w:val="Compact"/>
            </w:pPr>
            <w:r>
              <w:rPr>
                <w:sz w:val="15"/>
              </w:rPr>
              <w:t xml:space="preserve">adme_pgp_inhibition</w:t>
            </w:r>
          </w:p>
        </w:tc>
        <w:tc>
          <w:tcPr/>
          <w:p>
            <w:pPr>
              <w:pStyle w:val="Compact"/>
            </w:pPr>
            <w:r>
              <w:rPr>
                <w:sz w:val="15"/>
              </w:rPr>
              <w:t xml:space="preserve">exposure</w:t>
            </w:r>
          </w:p>
        </w:tc>
        <w:tc>
          <w:tcPr/>
          <w:p>
            <w:pPr>
              <w:pStyle w:val="Compact"/>
            </w:pPr>
            <w:r>
              <w:rPr>
                <w:sz w:val="15"/>
              </w:rPr>
              <w:t xml:space="preserve">probability</w:t>
            </w:r>
          </w:p>
        </w:tc>
        <w:tc>
          <w:tcPr/>
          <w:p>
            <w:pPr>
              <w:pStyle w:val="Compact"/>
            </w:pPr>
            <w:r>
              <w:rPr>
                <w:sz w:val="15"/>
              </w:rPr>
              <w:t xml:space="preserve">1212</w:t>
            </w:r>
          </w:p>
        </w:tc>
        <w:tc>
          <w:tcPr/>
          <w:p>
            <w:pPr>
              <w:pStyle w:val="Compact"/>
            </w:pPr>
            <w:r>
              <w:rPr>
                <w:sz w:val="15"/>
              </w:rPr>
              <w:t xml:space="preserve">AUROC</w:t>
            </w:r>
          </w:p>
        </w:tc>
        <w:tc>
          <w:tcPr/>
          <w:p>
            <w:pPr>
              <w:pStyle w:val="Compact"/>
            </w:pPr>
            <w:r>
              <w:rPr>
                <w:sz w:val="15"/>
              </w:rPr>
              <w:t xml:space="preserve">0.9346</w:t>
            </w:r>
          </w:p>
        </w:tc>
        <w:tc>
          <w:tcPr/>
          <w:p>
            <w:pPr>
              <w:pStyle w:val="Compact"/>
            </w:pPr>
            <w:r>
              <w:rPr>
                <w:sz w:val="15"/>
              </w:rPr>
              <w:t xml:space="preserve">True</w:t>
            </w:r>
          </w:p>
        </w:tc>
      </w:tr>
      <w:tr>
        <w:tc>
          <w:tcPr/>
          <w:p>
            <w:pPr>
              <w:pStyle w:val="Compact"/>
            </w:pPr>
            <w:r>
              <w:rPr>
                <w:sz w:val="15"/>
              </w:rPr>
              <w:t xml:space="preserve">adme_pgp_substrate</w:t>
            </w:r>
          </w:p>
        </w:tc>
        <w:tc>
          <w:tcPr/>
          <w:p>
            <w:pPr>
              <w:pStyle w:val="Compact"/>
            </w:pPr>
            <w:r>
              <w:rPr>
                <w:sz w:val="15"/>
              </w:rPr>
              <w:t xml:space="preserve">exposure</w:t>
            </w:r>
          </w:p>
        </w:tc>
        <w:tc>
          <w:tcPr/>
          <w:p>
            <w:pPr>
              <w:pStyle w:val="Compact"/>
            </w:pPr>
            <w:r>
              <w:rPr>
                <w:sz w:val="15"/>
              </w:rPr>
              <w:t xml:space="preserve">probability</w:t>
            </w:r>
          </w:p>
        </w:tc>
        <w:tc>
          <w:tcPr/>
          <w:p>
            <w:pPr>
              <w:pStyle w:val="Compact"/>
            </w:pPr>
            <w:r>
              <w:rPr>
                <w:sz w:val="15"/>
              </w:rPr>
              <w:t xml:space="preserve">1371</w:t>
            </w:r>
          </w:p>
        </w:tc>
        <w:tc>
          <w:tcPr/>
          <w:p>
            <w:pPr>
              <w:pStyle w:val="Compact"/>
            </w:pPr>
            <w:r>
              <w:rPr>
                <w:sz w:val="15"/>
              </w:rPr>
              <w:t xml:space="preserve">AUROC</w:t>
            </w:r>
          </w:p>
        </w:tc>
        <w:tc>
          <w:tcPr/>
          <w:p>
            <w:pPr>
              <w:pStyle w:val="Compact"/>
            </w:pPr>
            <w:r>
              <w:rPr>
                <w:sz w:val="15"/>
              </w:rPr>
              <w:t xml:space="preserve">0.807</w:t>
            </w:r>
          </w:p>
        </w:tc>
        <w:tc>
          <w:tcPr/>
          <w:p>
            <w:pPr>
              <w:pStyle w:val="Compact"/>
            </w:pPr>
            <w:r>
              <w:rPr>
                <w:sz w:val="15"/>
              </w:rPr>
              <w:t xml:space="preserve">True</w:t>
            </w:r>
          </w:p>
        </w:tc>
      </w:tr>
      <w:tr>
        <w:tc>
          <w:tcPr/>
          <w:p>
            <w:pPr>
              <w:pStyle w:val="Compact"/>
            </w:pPr>
            <w:r>
              <w:rPr>
                <w:sz w:val="15"/>
              </w:rPr>
              <w:t xml:space="preserve">adme_plasma_protein_binding</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1797</w:t>
            </w:r>
          </w:p>
        </w:tc>
        <w:tc>
          <w:tcPr/>
          <w:p>
            <w:pPr>
              <w:pStyle w:val="Compact"/>
            </w:pPr>
            <w:r>
              <w:rPr>
                <w:sz w:val="15"/>
              </w:rPr>
              <w:t xml:space="preserve">R2</w:t>
            </w:r>
          </w:p>
        </w:tc>
        <w:tc>
          <w:tcPr/>
          <w:p>
            <w:pPr>
              <w:pStyle w:val="Compact"/>
            </w:pPr>
            <w:r>
              <w:rPr>
                <w:sz w:val="15"/>
              </w:rPr>
              <w:t xml:space="preserve">0.3645</w:t>
            </w:r>
          </w:p>
        </w:tc>
        <w:tc>
          <w:tcPr/>
          <w:p>
            <w:pPr>
              <w:pStyle w:val="Compact"/>
            </w:pPr>
            <w:r>
              <w:rPr>
                <w:sz w:val="15"/>
              </w:rPr>
              <w:t xml:space="preserve">True</w:t>
            </w:r>
          </w:p>
        </w:tc>
      </w:tr>
      <w:tr>
        <w:tc>
          <w:tcPr/>
          <w:p>
            <w:pPr>
              <w:pStyle w:val="Compact"/>
            </w:pPr>
            <w:r>
              <w:rPr>
                <w:sz w:val="15"/>
              </w:rPr>
              <w:t xml:space="preserve">adme_solubility</w:t>
            </w:r>
          </w:p>
        </w:tc>
        <w:tc>
          <w:tcPr/>
          <w:p>
            <w:pPr>
              <w:pStyle w:val="Compact"/>
            </w:pPr>
            <w:r>
              <w:rPr>
                <w:sz w:val="15"/>
              </w:rPr>
              <w:t xml:space="preserve">exposure</w:t>
            </w:r>
          </w:p>
        </w:tc>
        <w:tc>
          <w:tcPr/>
          <w:p>
            <w:pPr>
              <w:pStyle w:val="Compact"/>
            </w:pPr>
            <w:r>
              <w:rPr>
                <w:sz w:val="15"/>
              </w:rPr>
              <w:t xml:space="preserve">measured value</w:t>
            </w:r>
          </w:p>
        </w:tc>
        <w:tc>
          <w:tcPr/>
          <w:p>
            <w:pPr>
              <w:pStyle w:val="Compact"/>
            </w:pPr>
            <w:r>
              <w:rPr>
                <w:sz w:val="15"/>
              </w:rPr>
              <w:t xml:space="preserve">9573</w:t>
            </w:r>
          </w:p>
        </w:tc>
        <w:tc>
          <w:tcPr/>
          <w:p>
            <w:pPr>
              <w:pStyle w:val="Compact"/>
            </w:pPr>
            <w:r>
              <w:rPr>
                <w:sz w:val="15"/>
              </w:rPr>
              <w:t xml:space="preserve">R2</w:t>
            </w:r>
          </w:p>
        </w:tc>
        <w:tc>
          <w:tcPr/>
          <w:p>
            <w:pPr>
              <w:pStyle w:val="Compact"/>
            </w:pPr>
            <w:r>
              <w:rPr>
                <w:sz w:val="15"/>
              </w:rPr>
              <w:t xml:space="preserve">0.7263</w:t>
            </w:r>
          </w:p>
        </w:tc>
        <w:tc>
          <w:tcPr/>
          <w:p>
            <w:pPr>
              <w:pStyle w:val="Compact"/>
            </w:pPr>
            <w:r>
              <w:rPr>
                <w:sz w:val="15"/>
              </w:rPr>
              <w:t xml:space="preserve">True</w:t>
            </w:r>
          </w:p>
        </w:tc>
      </w:tr>
    </w:tbl>
    <w:bookmarkEnd w:id="13"/>
    <w:bookmarkStart w:id="14" w:name="where-the-measurements-came-from"/>
    <w:p>
      <w:pPr>
        <w:pStyle w:val="Heading3"/>
      </w:pPr>
      <w:r>
        <w:t xml:space="preserve">2.2 Where the measurements came from</w:t>
      </w:r>
    </w:p>
    <w:p>
      <w:pPr>
        <w:pStyle w:val="FirstParagraph"/>
      </w:pPr>
      <w:r>
        <w:t xml:space="preserve">Every endpoint is trained on its own measured set. No value is imputed, no qualitative annotation is</w:t>
      </w:r>
      <w:r>
        <w:t xml:space="preserve"> </w:t>
      </w:r>
      <w:r>
        <w:t xml:space="preserve">used as a label, and nothing is shared between endpoints except the featurisation.</w:t>
      </w:r>
    </w:p>
    <w:p>
      <w:pPr>
        <w:pStyle w:val="BodyText"/>
      </w:pPr>
      <w:r>
        <w:t xml:space="preserve">Per-endpoint data provenance (click to expand)</w:t>
      </w:r>
    </w:p>
    <w:tbl>
      <w:tblPr>
        <w:tblStyle w:val="Table"/>
        <w:tblW w:type="pct" w:w="5000"/>
        <w:jc w:val="center"/>
        <w:tblLayout w:type="autofit"/>
        <w:tblLook w:firstRow="1" w:lastRow="0" w:firstColumn="0" w:lastColumn="0" w:noHBand="0" w:noVBand="0" w:val="0020"/>
        <w:tblLayout w:type="autofit"/>
      </w:tblPr>
      <w:tblGrid>
        <w:gridCol w:w="1584"/>
        <w:gridCol w:w="1584"/>
        <w:gridCol w:w="1584"/>
        <w:gridCol w:w="1584"/>
        <w:gridCol w:w="1584"/>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compounds</w:t>
            </w:r>
          </w:p>
        </w:tc>
        <w:tc>
          <w:tcPr>
            <w:shd w:val="clear" w:fill="EAF0F7"/>
          </w:tcPr>
          <w:p>
            <w:pPr>
              <w:pStyle w:val="Compact"/>
            </w:pPr>
            <w:r>
              <w:rPr>
                <w:b/>
                <w:sz w:val="17"/>
              </w:rPr>
              <w:t xml:space="preserve">actives</w:t>
            </w:r>
          </w:p>
        </w:tc>
        <w:tc>
          <w:tcPr>
            <w:shd w:val="clear" w:fill="EAF0F7"/>
          </w:tcPr>
          <w:p>
            <w:pPr>
              <w:pStyle w:val="Compact"/>
            </w:pPr>
            <w:r>
              <w:rPr>
                <w:b/>
                <w:sz w:val="17"/>
              </w:rPr>
              <w:t xml:space="preserve">inactives</w:t>
            </w:r>
          </w:p>
        </w:tc>
        <w:tc>
          <w:tcPr>
            <w:shd w:val="clear" w:fill="EAF0F7"/>
          </w:tcPr>
          <w:p>
            <w:pPr>
              <w:pStyle w:val="Compact"/>
            </w:pPr>
            <w:r>
              <w:rPr>
                <w:b/>
                <w:sz w:val="17"/>
              </w:rPr>
              <w:t xml:space="preserve">sources</w:t>
            </w:r>
          </w:p>
        </w:tc>
      </w:tr>
      <w:tr>
        <w:tc>
          <w:tcPr/>
          <w:p>
            <w:pPr>
              <w:pStyle w:val="Compact"/>
            </w:pPr>
            <w:r>
              <w:t xml:space="preserve">A1</w:t>
            </w:r>
          </w:p>
        </w:tc>
        <w:tc>
          <w:tcPr/>
          <w:p>
            <w:pPr>
              <w:pStyle w:val="Compact"/>
            </w:pPr>
            <w:r>
              <w:t xml:space="preserve">4508</w:t>
            </w:r>
          </w:p>
        </w:tc>
        <w:tc>
          <w:tcPr/>
          <w:p>
            <w:pPr>
              <w:pStyle w:val="Compact"/>
            </w:pPr>
            <w:r>
              <w:t xml:space="preserve">3788</w:t>
            </w:r>
          </w:p>
        </w:tc>
        <w:tc>
          <w:tcPr/>
          <w:p>
            <w:pPr>
              <w:pStyle w:val="Compact"/>
            </w:pPr>
            <w:r>
              <w:t xml:space="preserve">720</w:t>
            </w:r>
          </w:p>
        </w:tc>
        <w:tc>
          <w:tcPr/>
          <w:p>
            <w:pPr>
              <w:pStyle w:val="Compact"/>
            </w:pPr>
            <w:r>
              <w:t xml:space="preserve">ChEMBL (4,007), ChEMBL_inactive (501)</w:t>
            </w:r>
          </w:p>
        </w:tc>
      </w:tr>
      <w:tr>
        <w:tc>
          <w:tcPr/>
          <w:p>
            <w:pPr>
              <w:pStyle w:val="Compact"/>
            </w:pPr>
            <w:r>
              <w:t xml:space="preserve">A2A</w:t>
            </w:r>
          </w:p>
        </w:tc>
        <w:tc>
          <w:tcPr/>
          <w:p>
            <w:pPr>
              <w:pStyle w:val="Compact"/>
            </w:pPr>
            <w:r>
              <w:t xml:space="preserve">7001</w:t>
            </w:r>
          </w:p>
        </w:tc>
        <w:tc>
          <w:tcPr/>
          <w:p>
            <w:pPr>
              <w:pStyle w:val="Compact"/>
            </w:pPr>
            <w:r>
              <w:t xml:space="preserve">6190</w:t>
            </w:r>
          </w:p>
        </w:tc>
        <w:tc>
          <w:tcPr/>
          <w:p>
            <w:pPr>
              <w:pStyle w:val="Compact"/>
            </w:pPr>
            <w:r>
              <w:t xml:space="preserve">811</w:t>
            </w:r>
          </w:p>
        </w:tc>
        <w:tc>
          <w:tcPr/>
          <w:p>
            <w:pPr>
              <w:pStyle w:val="Compact"/>
            </w:pPr>
            <w:r>
              <w:t xml:space="preserve">ChEMBL (3,126), BindingDB+ChEMBL (2,420), BindingDB (875), ChEMBL_inactive (580)</w:t>
            </w:r>
          </w:p>
        </w:tc>
      </w:tr>
      <w:tr>
        <w:tc>
          <w:tcPr/>
          <w:p>
            <w:pPr>
              <w:pStyle w:val="Compact"/>
            </w:pPr>
            <w:r>
              <w:t xml:space="preserve">AChE</w:t>
            </w:r>
          </w:p>
        </w:tc>
        <w:tc>
          <w:tcPr/>
          <w:p>
            <w:pPr>
              <w:pStyle w:val="Compact"/>
            </w:pPr>
            <w:r>
              <w:t xml:space="preserve">5318</w:t>
            </w:r>
          </w:p>
        </w:tc>
        <w:tc>
          <w:tcPr/>
          <w:p>
            <w:pPr>
              <w:pStyle w:val="Compact"/>
            </w:pPr>
            <w:r>
              <w:t xml:space="preserve">3169</w:t>
            </w:r>
          </w:p>
        </w:tc>
        <w:tc>
          <w:tcPr/>
          <w:p>
            <w:pPr>
              <w:pStyle w:val="Compact"/>
            </w:pPr>
            <w:r>
              <w:t xml:space="preserve">2149</w:t>
            </w:r>
          </w:p>
        </w:tc>
        <w:tc>
          <w:tcPr/>
          <w:p>
            <w:pPr>
              <w:pStyle w:val="Compact"/>
            </w:pPr>
            <w:r>
              <w:t xml:space="preserve">ChEMBL (2,924), BindingDB+ChEMBL (1,318), ChEMBL_inactive (938), BindingDB (138)</w:t>
            </w:r>
          </w:p>
        </w:tc>
      </w:tr>
      <w:tr>
        <w:tc>
          <w:tcPr/>
          <w:p>
            <w:pPr>
              <w:pStyle w:val="Compact"/>
            </w:pPr>
            <w:r>
              <w:t xml:space="preserve">BACE1</w:t>
            </w:r>
          </w:p>
        </w:tc>
        <w:tc>
          <w:tcPr/>
          <w:p>
            <w:pPr>
              <w:pStyle w:val="Compact"/>
            </w:pPr>
            <w:r>
              <w:t xml:space="preserve">8962</w:t>
            </w:r>
          </w:p>
        </w:tc>
        <w:tc>
          <w:tcPr/>
          <w:p>
            <w:pPr>
              <w:pStyle w:val="Compact"/>
            </w:pPr>
            <w:r>
              <w:t xml:space="preserve">7726</w:t>
            </w:r>
          </w:p>
        </w:tc>
        <w:tc>
          <w:tcPr/>
          <w:p>
            <w:pPr>
              <w:pStyle w:val="Compact"/>
            </w:pPr>
            <w:r>
              <w:t xml:space="preserve">1236</w:t>
            </w:r>
          </w:p>
        </w:tc>
        <w:tc>
          <w:tcPr/>
          <w:p>
            <w:pPr>
              <w:pStyle w:val="Compact"/>
            </w:pPr>
            <w:r>
              <w:t xml:space="preserve">ChEMBL (4,459), BindingDB+ChEMBL (3,642), ChEMBL_inactive (473), BindingDB (388)</w:t>
            </w:r>
          </w:p>
        </w:tc>
      </w:tr>
      <w:tr>
        <w:tc>
          <w:tcPr/>
          <w:p>
            <w:pPr>
              <w:pStyle w:val="Compact"/>
            </w:pPr>
            <w:r>
              <w:t xml:space="preserve">BBB</w:t>
            </w:r>
          </w:p>
        </w:tc>
        <w:tc>
          <w:tcPr/>
          <w:p>
            <w:pPr>
              <w:pStyle w:val="Compact"/>
            </w:pPr>
            <w:r>
              <w:t xml:space="preserve">7807</w:t>
            </w:r>
          </w:p>
        </w:tc>
        <w:tc>
          <w:tcPr/>
          <w:p>
            <w:pPr>
              <w:pStyle w:val="Compact"/>
            </w:pPr>
            <w:r>
              <w:t xml:space="preserve">4956</w:t>
            </w:r>
          </w:p>
        </w:tc>
        <w:tc>
          <w:tcPr/>
          <w:p>
            <w:pPr>
              <w:pStyle w:val="Compact"/>
            </w:pPr>
            <w:r>
              <w:t xml:space="preserve">2851</w:t>
            </w:r>
          </w:p>
        </w:tc>
        <w:tc>
          <w:tcPr/>
          <w:p>
            <w:pPr>
              <w:pStyle w:val="Compact"/>
            </w:pPr>
          </w:p>
        </w:tc>
      </w:tr>
      <w:tr>
        <w:tc>
          <w:tcPr/>
          <w:p>
            <w:pPr>
              <w:pStyle w:val="Compact"/>
            </w:pPr>
            <w:r>
              <w:t xml:space="preserve">BChE</w:t>
            </w:r>
          </w:p>
        </w:tc>
        <w:tc>
          <w:tcPr/>
          <w:p>
            <w:pPr>
              <w:pStyle w:val="Compact"/>
            </w:pPr>
            <w:r>
              <w:t xml:space="preserve">3386</w:t>
            </w:r>
          </w:p>
        </w:tc>
        <w:tc>
          <w:tcPr/>
          <w:p>
            <w:pPr>
              <w:pStyle w:val="Compact"/>
            </w:pPr>
            <w:r>
              <w:t xml:space="preserve">1840</w:t>
            </w:r>
          </w:p>
        </w:tc>
        <w:tc>
          <w:tcPr/>
          <w:p>
            <w:pPr>
              <w:pStyle w:val="Compact"/>
            </w:pPr>
            <w:r>
              <w:t xml:space="preserve">1546</w:t>
            </w:r>
          </w:p>
        </w:tc>
        <w:tc>
          <w:tcPr/>
          <w:p>
            <w:pPr>
              <w:pStyle w:val="Compact"/>
            </w:pPr>
            <w:r>
              <w:t xml:space="preserve">ChEMBL (1,744), BindingDB+ChEMBL (798), ChEMBL_inactive (771), BindingDB (73)</w:t>
            </w:r>
          </w:p>
        </w:tc>
      </w:tr>
      <w:tr>
        <w:tc>
          <w:tcPr/>
          <w:p>
            <w:pPr>
              <w:pStyle w:val="Compact"/>
            </w:pPr>
            <w:r>
              <w:t xml:space="preserve">CB1</w:t>
            </w:r>
          </w:p>
        </w:tc>
        <w:tc>
          <w:tcPr/>
          <w:p>
            <w:pPr>
              <w:pStyle w:val="Compact"/>
            </w:pPr>
            <w:r>
              <w:t xml:space="preserve">7635</w:t>
            </w:r>
          </w:p>
        </w:tc>
        <w:tc>
          <w:tcPr/>
          <w:p>
            <w:pPr>
              <w:pStyle w:val="Compact"/>
            </w:pPr>
            <w:r>
              <w:t xml:space="preserve">4404</w:t>
            </w:r>
          </w:p>
        </w:tc>
        <w:tc>
          <w:tcPr/>
          <w:p>
            <w:pPr>
              <w:pStyle w:val="Compact"/>
            </w:pPr>
            <w:r>
              <w:t xml:space="preserve">3231</w:t>
            </w:r>
          </w:p>
        </w:tc>
        <w:tc>
          <w:tcPr/>
          <w:p>
            <w:pPr>
              <w:pStyle w:val="Compact"/>
            </w:pPr>
            <w:r>
              <w:t xml:space="preserve">ChEMBL (4,613), ChEMBL_inactive (3,022)</w:t>
            </w:r>
          </w:p>
        </w:tc>
      </w:tr>
      <w:tr>
        <w:tc>
          <w:tcPr/>
          <w:p>
            <w:pPr>
              <w:pStyle w:val="Compact"/>
            </w:pPr>
            <w:r>
              <w:t xml:space="preserve">CGRP</w:t>
            </w:r>
          </w:p>
        </w:tc>
        <w:tc>
          <w:tcPr/>
          <w:p>
            <w:pPr>
              <w:pStyle w:val="Compact"/>
            </w:pPr>
            <w:r>
              <w:t xml:space="preserve">806</w:t>
            </w:r>
          </w:p>
        </w:tc>
        <w:tc>
          <w:tcPr/>
          <w:p>
            <w:pPr>
              <w:pStyle w:val="Compact"/>
            </w:pPr>
            <w:r>
              <w:t xml:space="preserve">761</w:t>
            </w:r>
          </w:p>
        </w:tc>
        <w:tc>
          <w:tcPr/>
          <w:p>
            <w:pPr>
              <w:pStyle w:val="Compact"/>
            </w:pPr>
            <w:r>
              <w:t xml:space="preserve">45</w:t>
            </w:r>
          </w:p>
        </w:tc>
        <w:tc>
          <w:tcPr/>
          <w:p>
            <w:pPr>
              <w:pStyle w:val="Compact"/>
            </w:pPr>
            <w:r>
              <w:t xml:space="preserve">ChEMBL (787), ChEMBL_inactive (19)</w:t>
            </w:r>
          </w:p>
        </w:tc>
      </w:tr>
      <w:tr>
        <w:tc>
          <w:tcPr/>
          <w:p>
            <w:pPr>
              <w:pStyle w:val="Compact"/>
            </w:pPr>
            <w:r>
              <w:t xml:space="preserve">COX2</w:t>
            </w:r>
          </w:p>
        </w:tc>
        <w:tc>
          <w:tcPr/>
          <w:p>
            <w:pPr>
              <w:pStyle w:val="Compact"/>
            </w:pPr>
            <w:r>
              <w:t xml:space="preserve">4031</w:t>
            </w:r>
          </w:p>
        </w:tc>
        <w:tc>
          <w:tcPr/>
          <w:p>
            <w:pPr>
              <w:pStyle w:val="Compact"/>
            </w:pPr>
            <w:r>
              <w:t xml:space="preserve">2492</w:t>
            </w:r>
          </w:p>
        </w:tc>
        <w:tc>
          <w:tcPr/>
          <w:p>
            <w:pPr>
              <w:pStyle w:val="Compact"/>
            </w:pPr>
            <w:r>
              <w:t xml:space="preserve">1539</w:t>
            </w:r>
          </w:p>
        </w:tc>
        <w:tc>
          <w:tcPr/>
          <w:p>
            <w:pPr>
              <w:pStyle w:val="Compact"/>
            </w:pPr>
            <w:r>
              <w:t xml:space="preserve">ChEMBL (3,185), ChEMBL_inactive (846)</w:t>
            </w:r>
          </w:p>
        </w:tc>
      </w:tr>
      <w:tr>
        <w:tc>
          <w:tcPr/>
          <w:p>
            <w:pPr>
              <w:pStyle w:val="Compact"/>
            </w:pPr>
            <w:r>
              <w:t xml:space="preserve">CSF1R</w:t>
            </w:r>
          </w:p>
        </w:tc>
        <w:tc>
          <w:tcPr/>
          <w:p>
            <w:pPr>
              <w:pStyle w:val="Compact"/>
            </w:pPr>
            <w:r>
              <w:t xml:space="preserve">2598</w:t>
            </w:r>
          </w:p>
        </w:tc>
        <w:tc>
          <w:tcPr/>
          <w:p>
            <w:pPr>
              <w:pStyle w:val="Compact"/>
            </w:pPr>
            <w:r>
              <w:t xml:space="preserve">2396</w:t>
            </w:r>
          </w:p>
        </w:tc>
        <w:tc>
          <w:tcPr/>
          <w:p>
            <w:pPr>
              <w:pStyle w:val="Compact"/>
            </w:pPr>
            <w:r>
              <w:t xml:space="preserve">202</w:t>
            </w:r>
          </w:p>
        </w:tc>
        <w:tc>
          <w:tcPr/>
          <w:p>
            <w:pPr>
              <w:pStyle w:val="Compact"/>
            </w:pPr>
            <w:r>
              <w:t xml:space="preserve">ChEMBL (2,432), ChEMBL_inactive (166)</w:t>
            </w:r>
          </w:p>
        </w:tc>
      </w:tr>
      <w:tr>
        <w:tc>
          <w:tcPr/>
          <w:p>
            <w:pPr>
              <w:pStyle w:val="Compact"/>
            </w:pPr>
            <w:r>
              <w:t xml:space="preserve">Cav3_2</w:t>
            </w:r>
          </w:p>
        </w:tc>
        <w:tc>
          <w:tcPr/>
          <w:p>
            <w:pPr>
              <w:pStyle w:val="Compact"/>
            </w:pPr>
            <w:r>
              <w:t xml:space="preserve">772</w:t>
            </w:r>
          </w:p>
        </w:tc>
        <w:tc>
          <w:tcPr/>
          <w:p>
            <w:pPr>
              <w:pStyle w:val="Compact"/>
            </w:pPr>
            <w:r>
              <w:t xml:space="preserve">633</w:t>
            </w:r>
          </w:p>
        </w:tc>
        <w:tc>
          <w:tcPr/>
          <w:p>
            <w:pPr>
              <w:pStyle w:val="Compact"/>
            </w:pPr>
            <w:r>
              <w:t xml:space="preserve">139</w:t>
            </w:r>
          </w:p>
        </w:tc>
        <w:tc>
          <w:tcPr/>
          <w:p>
            <w:pPr>
              <w:pStyle w:val="Compact"/>
            </w:pPr>
            <w:r>
              <w:t xml:space="preserve">ChEMBL (666), ChEMBL_inactive (106)</w:t>
            </w:r>
          </w:p>
        </w:tc>
      </w:tr>
      <w:tr>
        <w:tc>
          <w:tcPr/>
          <w:p>
            <w:pPr>
              <w:pStyle w:val="Compact"/>
            </w:pPr>
            <w:r>
              <w:t xml:space="preserve">D2</w:t>
            </w:r>
          </w:p>
        </w:tc>
        <w:tc>
          <w:tcPr/>
          <w:p>
            <w:pPr>
              <w:pStyle w:val="Compact"/>
            </w:pPr>
            <w:r>
              <w:t xml:space="preserve">8548</w:t>
            </w:r>
          </w:p>
        </w:tc>
        <w:tc>
          <w:tcPr/>
          <w:p>
            <w:pPr>
              <w:pStyle w:val="Compact"/>
            </w:pPr>
            <w:r>
              <w:t xml:space="preserve">7405</w:t>
            </w:r>
          </w:p>
        </w:tc>
        <w:tc>
          <w:tcPr/>
          <w:p>
            <w:pPr>
              <w:pStyle w:val="Compact"/>
            </w:pPr>
            <w:r>
              <w:t xml:space="preserve">1143</w:t>
            </w:r>
          </w:p>
        </w:tc>
        <w:tc>
          <w:tcPr/>
          <w:p>
            <w:pPr>
              <w:pStyle w:val="Compact"/>
            </w:pPr>
            <w:r>
              <w:t xml:space="preserve">ChEMBL (4,080), BindingDB+ChEMBL (3,419), ChEMBL_inactive (877), BindingDB (172)</w:t>
            </w:r>
          </w:p>
        </w:tc>
      </w:tr>
      <w:tr>
        <w:tc>
          <w:tcPr/>
          <w:p>
            <w:pPr>
              <w:pStyle w:val="Compact"/>
            </w:pPr>
            <w:r>
              <w:t xml:space="preserve">D3</w:t>
            </w:r>
          </w:p>
        </w:tc>
        <w:tc>
          <w:tcPr/>
          <w:p>
            <w:pPr>
              <w:pStyle w:val="Compact"/>
            </w:pPr>
            <w:r>
              <w:t xml:space="preserve">5894</w:t>
            </w:r>
          </w:p>
        </w:tc>
        <w:tc>
          <w:tcPr/>
          <w:p>
            <w:pPr>
              <w:pStyle w:val="Compact"/>
            </w:pPr>
            <w:r>
              <w:t xml:space="preserve">5462</w:t>
            </w:r>
          </w:p>
        </w:tc>
        <w:tc>
          <w:tcPr/>
          <w:p>
            <w:pPr>
              <w:pStyle w:val="Compact"/>
            </w:pPr>
            <w:r>
              <w:t xml:space="preserve">432</w:t>
            </w:r>
          </w:p>
        </w:tc>
        <w:tc>
          <w:tcPr/>
          <w:p>
            <w:pPr>
              <w:pStyle w:val="Compact"/>
            </w:pPr>
            <w:r>
              <w:t xml:space="preserve">ChEMBL (5,647), ChEMBL_inactive (247)</w:t>
            </w:r>
          </w:p>
        </w:tc>
      </w:tr>
      <w:tr>
        <w:tc>
          <w:tcPr/>
          <w:p>
            <w:pPr>
              <w:pStyle w:val="Compact"/>
            </w:pPr>
            <w:r>
              <w:t xml:space="preserve">DAT</w:t>
            </w:r>
          </w:p>
        </w:tc>
        <w:tc>
          <w:tcPr/>
          <w:p>
            <w:pPr>
              <w:pStyle w:val="Compact"/>
            </w:pPr>
            <w:r>
              <w:t xml:space="preserve">3173</w:t>
            </w:r>
          </w:p>
        </w:tc>
        <w:tc>
          <w:tcPr/>
          <w:p>
            <w:pPr>
              <w:pStyle w:val="Compact"/>
            </w:pPr>
            <w:r>
              <w:t xml:space="preserve">2380</w:t>
            </w:r>
          </w:p>
        </w:tc>
        <w:tc>
          <w:tcPr/>
          <w:p>
            <w:pPr>
              <w:pStyle w:val="Compact"/>
            </w:pPr>
            <w:r>
              <w:t xml:space="preserve">793</w:t>
            </w:r>
          </w:p>
        </w:tc>
        <w:tc>
          <w:tcPr/>
          <w:p>
            <w:pPr>
              <w:pStyle w:val="Compact"/>
            </w:pPr>
            <w:r>
              <w:t xml:space="preserve">ChEMBL (2,692), ChEMBL_inactive (481)</w:t>
            </w:r>
          </w:p>
        </w:tc>
      </w:tr>
      <w:tr>
        <w:tc>
          <w:tcPr/>
          <w:p>
            <w:pPr>
              <w:pStyle w:val="Compact"/>
            </w:pPr>
            <w:r>
              <w:t xml:space="preserve">DHODH</w:t>
            </w:r>
          </w:p>
        </w:tc>
        <w:tc>
          <w:tcPr/>
          <w:p>
            <w:pPr>
              <w:pStyle w:val="Compact"/>
            </w:pPr>
            <w:r>
              <w:t xml:space="preserve">2079</w:t>
            </w:r>
          </w:p>
        </w:tc>
        <w:tc>
          <w:tcPr/>
          <w:p>
            <w:pPr>
              <w:pStyle w:val="Compact"/>
            </w:pPr>
            <w:r>
              <w:t xml:space="preserve">1421</w:t>
            </w:r>
          </w:p>
        </w:tc>
        <w:tc>
          <w:tcPr/>
          <w:p>
            <w:pPr>
              <w:pStyle w:val="Compact"/>
            </w:pPr>
            <w:r>
              <w:t xml:space="preserve">658</w:t>
            </w:r>
          </w:p>
        </w:tc>
        <w:tc>
          <w:tcPr/>
          <w:p>
            <w:pPr>
              <w:pStyle w:val="Compact"/>
            </w:pPr>
            <w:r>
              <w:t xml:space="preserve">ChEMBL (1,566), ChEMBL_inactive (513)</w:t>
            </w:r>
          </w:p>
        </w:tc>
      </w:tr>
      <w:tr>
        <w:tc>
          <w:tcPr/>
          <w:p>
            <w:pPr>
              <w:pStyle w:val="Compact"/>
            </w:pPr>
            <w:r>
              <w:t xml:space="preserve">GABAA_a5</w:t>
            </w:r>
          </w:p>
        </w:tc>
        <w:tc>
          <w:tcPr/>
          <w:p>
            <w:pPr>
              <w:pStyle w:val="Compact"/>
            </w:pPr>
            <w:r>
              <w:t xml:space="preserve">684</w:t>
            </w:r>
          </w:p>
        </w:tc>
        <w:tc>
          <w:tcPr/>
          <w:p>
            <w:pPr>
              <w:pStyle w:val="Compact"/>
            </w:pPr>
            <w:r>
              <w:t xml:space="preserve">672</w:t>
            </w:r>
          </w:p>
        </w:tc>
        <w:tc>
          <w:tcPr/>
          <w:p>
            <w:pPr>
              <w:pStyle w:val="Compact"/>
            </w:pPr>
            <w:r>
              <w:t xml:space="preserve">12</w:t>
            </w:r>
          </w:p>
        </w:tc>
        <w:tc>
          <w:tcPr/>
          <w:p>
            <w:pPr>
              <w:pStyle w:val="Compact"/>
            </w:pPr>
            <w:r>
              <w:t xml:space="preserve">ChEMBL (676), ChEMBL_inactive (8)</w:t>
            </w:r>
          </w:p>
        </w:tc>
      </w:tr>
      <w:tr>
        <w:tc>
          <w:tcPr/>
          <w:p>
            <w:pPr>
              <w:pStyle w:val="Compact"/>
            </w:pPr>
            <w:r>
              <w:t xml:space="preserve">GABA_A</w:t>
            </w:r>
          </w:p>
        </w:tc>
        <w:tc>
          <w:tcPr/>
          <w:p>
            <w:pPr>
              <w:pStyle w:val="Compact"/>
            </w:pPr>
            <w:r>
              <w:t xml:space="preserve">399</w:t>
            </w:r>
          </w:p>
        </w:tc>
        <w:tc>
          <w:tcPr/>
          <w:p>
            <w:pPr>
              <w:pStyle w:val="Compact"/>
            </w:pPr>
            <w:r>
              <w:t xml:space="preserve">326</w:t>
            </w:r>
          </w:p>
        </w:tc>
        <w:tc>
          <w:tcPr/>
          <w:p>
            <w:pPr>
              <w:pStyle w:val="Compact"/>
            </w:pPr>
            <w:r>
              <w:t xml:space="preserve">73</w:t>
            </w:r>
          </w:p>
        </w:tc>
        <w:tc>
          <w:tcPr/>
          <w:p>
            <w:pPr>
              <w:pStyle w:val="Compact"/>
            </w:pPr>
            <w:r>
              <w:t xml:space="preserve">ChEMBL (348), ChEMBL_inactive (51)</w:t>
            </w:r>
          </w:p>
        </w:tc>
      </w:tr>
      <w:tr>
        <w:tc>
          <w:tcPr/>
          <w:p>
            <w:pPr>
              <w:pStyle w:val="Compact"/>
            </w:pPr>
            <w:r>
              <w:t xml:space="preserve">GBA1</w:t>
            </w:r>
          </w:p>
        </w:tc>
        <w:tc>
          <w:tcPr/>
          <w:p>
            <w:pPr>
              <w:pStyle w:val="Compact"/>
            </w:pPr>
            <w:r>
              <w:t xml:space="preserve">772</w:t>
            </w:r>
          </w:p>
        </w:tc>
        <w:tc>
          <w:tcPr/>
          <w:p>
            <w:pPr>
              <w:pStyle w:val="Compact"/>
            </w:pPr>
            <w:r>
              <w:t xml:space="preserve">292</w:t>
            </w:r>
          </w:p>
        </w:tc>
        <w:tc>
          <w:tcPr/>
          <w:p>
            <w:pPr>
              <w:pStyle w:val="Compact"/>
            </w:pPr>
            <w:r>
              <w:t xml:space="preserve">480</w:t>
            </w:r>
          </w:p>
        </w:tc>
        <w:tc>
          <w:tcPr/>
          <w:p>
            <w:pPr>
              <w:pStyle w:val="Compact"/>
            </w:pPr>
            <w:r>
              <w:t xml:space="preserve">ChEMBL (554), ChEMBL_inactive (218)</w:t>
            </w:r>
          </w:p>
        </w:tc>
      </w:tr>
      <w:tr>
        <w:tc>
          <w:tcPr/>
          <w:p>
            <w:pPr>
              <w:pStyle w:val="Compact"/>
            </w:pPr>
            <w:r>
              <w:t xml:space="preserve">GSK3B</w:t>
            </w:r>
          </w:p>
        </w:tc>
        <w:tc>
          <w:tcPr/>
          <w:p>
            <w:pPr>
              <w:pStyle w:val="Compact"/>
            </w:pPr>
            <w:r>
              <w:t xml:space="preserve">5640</w:t>
            </w:r>
          </w:p>
        </w:tc>
        <w:tc>
          <w:tcPr/>
          <w:p>
            <w:pPr>
              <w:pStyle w:val="Compact"/>
            </w:pPr>
            <w:r>
              <w:t xml:space="preserve">4232</w:t>
            </w:r>
          </w:p>
        </w:tc>
        <w:tc>
          <w:tcPr/>
          <w:p>
            <w:pPr>
              <w:pStyle w:val="Compact"/>
            </w:pPr>
            <w:r>
              <w:t xml:space="preserve">1408</w:t>
            </w:r>
          </w:p>
        </w:tc>
        <w:tc>
          <w:tcPr/>
          <w:p>
            <w:pPr>
              <w:pStyle w:val="Compact"/>
            </w:pPr>
            <w:r>
              <w:t xml:space="preserve">ChEMBL (2,545), BindingDB+ChEMBL (1,505), ChEMBL_inactive (1,063), BindingDB (527)</w:t>
            </w:r>
          </w:p>
        </w:tc>
      </w:tr>
      <w:tr>
        <w:tc>
          <w:tcPr/>
          <w:p>
            <w:pPr>
              <w:pStyle w:val="Compact"/>
            </w:pPr>
            <w:r>
              <w:t xml:space="preserve">GluA2</w:t>
            </w:r>
          </w:p>
        </w:tc>
        <w:tc>
          <w:tcPr/>
          <w:p>
            <w:pPr>
              <w:pStyle w:val="Compact"/>
            </w:pPr>
            <w:r>
              <w:t xml:space="preserve">234</w:t>
            </w:r>
          </w:p>
        </w:tc>
        <w:tc>
          <w:tcPr/>
          <w:p>
            <w:pPr>
              <w:pStyle w:val="Compact"/>
            </w:pPr>
            <w:r>
              <w:t xml:space="preserve">97</w:t>
            </w:r>
          </w:p>
        </w:tc>
        <w:tc>
          <w:tcPr/>
          <w:p>
            <w:pPr>
              <w:pStyle w:val="Compact"/>
            </w:pPr>
            <w:r>
              <w:t xml:space="preserve">137</w:t>
            </w:r>
          </w:p>
        </w:tc>
        <w:tc>
          <w:tcPr/>
          <w:p>
            <w:pPr>
              <w:pStyle w:val="Compact"/>
            </w:pPr>
            <w:r>
              <w:t xml:space="preserve">ChEMBL (183), ChEMBL_inactive (51)</w:t>
            </w:r>
          </w:p>
        </w:tc>
      </w:tr>
      <w:tr>
        <w:tc>
          <w:tcPr/>
          <w:p>
            <w:pPr>
              <w:pStyle w:val="Compact"/>
            </w:pPr>
            <w:r>
              <w:t xml:space="preserve">GluN2B</w:t>
            </w:r>
          </w:p>
        </w:tc>
        <w:tc>
          <w:tcPr/>
          <w:p>
            <w:pPr>
              <w:pStyle w:val="Compact"/>
            </w:pPr>
            <w:r>
              <w:t xml:space="preserve">1615</w:t>
            </w:r>
          </w:p>
        </w:tc>
        <w:tc>
          <w:tcPr/>
          <w:p>
            <w:pPr>
              <w:pStyle w:val="Compact"/>
            </w:pPr>
            <w:r>
              <w:t xml:space="preserve">1548</w:t>
            </w:r>
          </w:p>
        </w:tc>
        <w:tc>
          <w:tcPr/>
          <w:p>
            <w:pPr>
              <w:pStyle w:val="Compact"/>
            </w:pPr>
            <w:r>
              <w:t xml:space="preserve">67</w:t>
            </w:r>
          </w:p>
        </w:tc>
        <w:tc>
          <w:tcPr/>
          <w:p>
            <w:pPr>
              <w:pStyle w:val="Compact"/>
            </w:pPr>
            <w:r>
              <w:t xml:space="preserve">ChEMBL (1,580), ChEMBL_inactive (35)</w:t>
            </w:r>
          </w:p>
        </w:tc>
      </w:tr>
      <w:tr>
        <w:tc>
          <w:tcPr/>
          <w:p>
            <w:pPr>
              <w:pStyle w:val="Compact"/>
            </w:pPr>
            <w:r>
              <w:t xml:space="preserve">H3</w:t>
            </w:r>
          </w:p>
        </w:tc>
        <w:tc>
          <w:tcPr/>
          <w:p>
            <w:pPr>
              <w:pStyle w:val="Compact"/>
            </w:pPr>
            <w:r>
              <w:t xml:space="preserve">4405</w:t>
            </w:r>
          </w:p>
        </w:tc>
        <w:tc>
          <w:tcPr/>
          <w:p>
            <w:pPr>
              <w:pStyle w:val="Compact"/>
            </w:pPr>
            <w:r>
              <w:t xml:space="preserve">4022</w:t>
            </w:r>
          </w:p>
        </w:tc>
        <w:tc>
          <w:tcPr/>
          <w:p>
            <w:pPr>
              <w:pStyle w:val="Compact"/>
            </w:pPr>
            <w:r>
              <w:t xml:space="preserve">383</w:t>
            </w:r>
          </w:p>
        </w:tc>
        <w:tc>
          <w:tcPr/>
          <w:p>
            <w:pPr>
              <w:pStyle w:val="Compact"/>
            </w:pPr>
            <w:r>
              <w:t xml:space="preserve">ChEMBL (4,198), ChEMBL_inactive (207)</w:t>
            </w:r>
          </w:p>
        </w:tc>
      </w:tr>
      <w:tr>
        <w:tc>
          <w:tcPr/>
          <w:p>
            <w:pPr>
              <w:pStyle w:val="Compact"/>
            </w:pPr>
            <w:r>
              <w:t xml:space="preserve">HDAC1</w:t>
            </w:r>
          </w:p>
        </w:tc>
        <w:tc>
          <w:tcPr/>
          <w:p>
            <w:pPr>
              <w:pStyle w:val="Compact"/>
            </w:pPr>
            <w:r>
              <w:t xml:space="preserve">7415</w:t>
            </w:r>
          </w:p>
        </w:tc>
        <w:tc>
          <w:tcPr/>
          <w:p>
            <w:pPr>
              <w:pStyle w:val="Compact"/>
            </w:pPr>
            <w:r>
              <w:t xml:space="preserve">5796</w:t>
            </w:r>
          </w:p>
        </w:tc>
        <w:tc>
          <w:tcPr/>
          <w:p>
            <w:pPr>
              <w:pStyle w:val="Compact"/>
            </w:pPr>
            <w:r>
              <w:t xml:space="preserve">1619</w:t>
            </w:r>
          </w:p>
        </w:tc>
        <w:tc>
          <w:tcPr/>
          <w:p>
            <w:pPr>
              <w:pStyle w:val="Compact"/>
            </w:pPr>
            <w:r>
              <w:t xml:space="preserve">ChEMBL (6,367), ChEMBL_inactive (1,048)</w:t>
            </w:r>
          </w:p>
        </w:tc>
      </w:tr>
      <w:tr>
        <w:tc>
          <w:tcPr/>
          <w:p>
            <w:pPr>
              <w:pStyle w:val="Compact"/>
            </w:pPr>
            <w:r>
              <w:t xml:space="preserve">HDAC6</w:t>
            </w:r>
          </w:p>
        </w:tc>
        <w:tc>
          <w:tcPr/>
          <w:p>
            <w:pPr>
              <w:pStyle w:val="Compact"/>
            </w:pPr>
            <w:r>
              <w:t xml:space="preserve">6501</w:t>
            </w:r>
          </w:p>
        </w:tc>
        <w:tc>
          <w:tcPr/>
          <w:p>
            <w:pPr>
              <w:pStyle w:val="Compact"/>
            </w:pPr>
            <w:r>
              <w:t xml:space="preserve">5366</w:t>
            </w:r>
          </w:p>
        </w:tc>
        <w:tc>
          <w:tcPr/>
          <w:p>
            <w:pPr>
              <w:pStyle w:val="Compact"/>
            </w:pPr>
            <w:r>
              <w:t xml:space="preserve">1135</w:t>
            </w:r>
          </w:p>
        </w:tc>
        <w:tc>
          <w:tcPr/>
          <w:p>
            <w:pPr>
              <w:pStyle w:val="Compact"/>
            </w:pPr>
            <w:r>
              <w:t xml:space="preserve">ChEMBL (5,612), ChEMBL_inactive (889)</w:t>
            </w:r>
          </w:p>
        </w:tc>
      </w:tr>
      <w:tr>
        <w:tc>
          <w:tcPr/>
          <w:p>
            <w:pPr>
              <w:pStyle w:val="Compact"/>
            </w:pPr>
            <w:r>
              <w:t xml:space="preserve">HT1A</w:t>
            </w:r>
          </w:p>
        </w:tc>
        <w:tc>
          <w:tcPr/>
          <w:p>
            <w:pPr>
              <w:pStyle w:val="Compact"/>
            </w:pPr>
            <w:r>
              <w:t xml:space="preserve">5742</w:t>
            </w:r>
          </w:p>
        </w:tc>
        <w:tc>
          <w:tcPr/>
          <w:p>
            <w:pPr>
              <w:pStyle w:val="Compact"/>
            </w:pPr>
            <w:r>
              <w:t xml:space="preserve">5220</w:t>
            </w:r>
          </w:p>
        </w:tc>
        <w:tc>
          <w:tcPr/>
          <w:p>
            <w:pPr>
              <w:pStyle w:val="Compact"/>
            </w:pPr>
            <w:r>
              <w:t xml:space="preserve">522</w:t>
            </w:r>
          </w:p>
        </w:tc>
        <w:tc>
          <w:tcPr/>
          <w:p>
            <w:pPr>
              <w:pStyle w:val="Compact"/>
            </w:pPr>
            <w:r>
              <w:t xml:space="preserve">ChEMBL (5,414), ChEMBL_inactive (328)</w:t>
            </w:r>
          </w:p>
        </w:tc>
      </w:tr>
      <w:tr>
        <w:tc>
          <w:tcPr/>
          <w:p>
            <w:pPr>
              <w:pStyle w:val="Compact"/>
            </w:pPr>
            <w:r>
              <w:t xml:space="preserve">HT2A</w:t>
            </w:r>
          </w:p>
        </w:tc>
        <w:tc>
          <w:tcPr/>
          <w:p>
            <w:pPr>
              <w:pStyle w:val="Compact"/>
            </w:pPr>
            <w:r>
              <w:t xml:space="preserve">6393</w:t>
            </w:r>
          </w:p>
        </w:tc>
        <w:tc>
          <w:tcPr/>
          <w:p>
            <w:pPr>
              <w:pStyle w:val="Compact"/>
            </w:pPr>
            <w:r>
              <w:t xml:space="preserve">5755</w:t>
            </w:r>
          </w:p>
        </w:tc>
        <w:tc>
          <w:tcPr/>
          <w:p>
            <w:pPr>
              <w:pStyle w:val="Compact"/>
            </w:pPr>
            <w:r>
              <w:t xml:space="preserve">638</w:t>
            </w:r>
          </w:p>
        </w:tc>
        <w:tc>
          <w:tcPr/>
          <w:p>
            <w:pPr>
              <w:pStyle w:val="Compact"/>
            </w:pPr>
            <w:r>
              <w:t xml:space="preserve">ChEMBL (2,854), BindingDB+ChEMBL (2,359), BindingDB (623), ChEMBL_inactive (557)</w:t>
            </w:r>
          </w:p>
        </w:tc>
      </w:tr>
      <w:tr>
        <w:tc>
          <w:tcPr/>
          <w:p>
            <w:pPr>
              <w:pStyle w:val="Compact"/>
            </w:pPr>
            <w:r>
              <w:t xml:space="preserve">HT6</w:t>
            </w:r>
          </w:p>
        </w:tc>
        <w:tc>
          <w:tcPr/>
          <w:p>
            <w:pPr>
              <w:pStyle w:val="Compact"/>
            </w:pPr>
            <w:r>
              <w:t xml:space="preserve">3979</w:t>
            </w:r>
          </w:p>
        </w:tc>
        <w:tc>
          <w:tcPr/>
          <w:p>
            <w:pPr>
              <w:pStyle w:val="Compact"/>
            </w:pPr>
            <w:r>
              <w:t xml:space="preserve">3766</w:t>
            </w:r>
          </w:p>
        </w:tc>
        <w:tc>
          <w:tcPr/>
          <w:p>
            <w:pPr>
              <w:pStyle w:val="Compact"/>
            </w:pPr>
            <w:r>
              <w:t xml:space="preserve">213</w:t>
            </w:r>
          </w:p>
        </w:tc>
        <w:tc>
          <w:tcPr/>
          <w:p>
            <w:pPr>
              <w:pStyle w:val="Compact"/>
            </w:pPr>
            <w:r>
              <w:t xml:space="preserve">ChEMBL (3,823), ChEMBL_inactive (156)</w:t>
            </w:r>
          </w:p>
        </w:tc>
      </w:tr>
      <w:tr>
        <w:tc>
          <w:tcPr/>
          <w:p>
            <w:pPr>
              <w:pStyle w:val="Compact"/>
            </w:pPr>
            <w:r>
              <w:t xml:space="preserve">HT7</w:t>
            </w:r>
          </w:p>
        </w:tc>
        <w:tc>
          <w:tcPr/>
          <w:p>
            <w:pPr>
              <w:pStyle w:val="Compact"/>
            </w:pPr>
            <w:r>
              <w:t xml:space="preserve">2741</w:t>
            </w:r>
          </w:p>
        </w:tc>
        <w:tc>
          <w:tcPr/>
          <w:p>
            <w:pPr>
              <w:pStyle w:val="Compact"/>
            </w:pPr>
            <w:r>
              <w:t xml:space="preserve">2441</w:t>
            </w:r>
          </w:p>
        </w:tc>
        <w:tc>
          <w:tcPr/>
          <w:p>
            <w:pPr>
              <w:pStyle w:val="Compact"/>
            </w:pPr>
            <w:r>
              <w:t xml:space="preserve">300</w:t>
            </w:r>
          </w:p>
        </w:tc>
        <w:tc>
          <w:tcPr/>
          <w:p>
            <w:pPr>
              <w:pStyle w:val="Compact"/>
            </w:pPr>
            <w:r>
              <w:t xml:space="preserve">ChEMBL (2,556), ChEMBL_inactive (185)</w:t>
            </w:r>
          </w:p>
        </w:tc>
      </w:tr>
      <w:tr>
        <w:tc>
          <w:tcPr/>
          <w:p>
            <w:pPr>
              <w:pStyle w:val="Compact"/>
            </w:pPr>
            <w:r>
              <w:t xml:space="preserve">KEAP1</w:t>
            </w:r>
          </w:p>
        </w:tc>
        <w:tc>
          <w:tcPr/>
          <w:p>
            <w:pPr>
              <w:pStyle w:val="Compact"/>
            </w:pPr>
            <w:r>
              <w:t xml:space="preserve">387</w:t>
            </w:r>
          </w:p>
        </w:tc>
        <w:tc>
          <w:tcPr/>
          <w:p>
            <w:pPr>
              <w:pStyle w:val="Compact"/>
            </w:pPr>
            <w:r>
              <w:t xml:space="preserve">216</w:t>
            </w:r>
          </w:p>
        </w:tc>
        <w:tc>
          <w:tcPr/>
          <w:p>
            <w:pPr>
              <w:pStyle w:val="Compact"/>
            </w:pPr>
            <w:r>
              <w:t xml:space="preserve">171</w:t>
            </w:r>
          </w:p>
        </w:tc>
        <w:tc>
          <w:tcPr/>
          <w:p>
            <w:pPr>
              <w:pStyle w:val="Compact"/>
            </w:pPr>
            <w:r>
              <w:t xml:space="preserve">ChEMBL (323), ChEMBL_inactive (64)</w:t>
            </w:r>
          </w:p>
        </w:tc>
      </w:tr>
      <w:tr>
        <w:tc>
          <w:tcPr/>
          <w:p>
            <w:pPr>
              <w:pStyle w:val="Compact"/>
            </w:pPr>
            <w:r>
              <w:t xml:space="preserve">LRRK2</w:t>
            </w:r>
          </w:p>
        </w:tc>
        <w:tc>
          <w:tcPr/>
          <w:p>
            <w:pPr>
              <w:pStyle w:val="Compact"/>
            </w:pPr>
            <w:r>
              <w:t xml:space="preserve">1570</w:t>
            </w:r>
          </w:p>
        </w:tc>
        <w:tc>
          <w:tcPr/>
          <w:p>
            <w:pPr>
              <w:pStyle w:val="Compact"/>
            </w:pPr>
            <w:r>
              <w:t xml:space="preserve">1460</w:t>
            </w:r>
          </w:p>
        </w:tc>
        <w:tc>
          <w:tcPr/>
          <w:p>
            <w:pPr>
              <w:pStyle w:val="Compact"/>
            </w:pPr>
            <w:r>
              <w:t xml:space="preserve">110</w:t>
            </w:r>
          </w:p>
        </w:tc>
        <w:tc>
          <w:tcPr/>
          <w:p>
            <w:pPr>
              <w:pStyle w:val="Compact"/>
            </w:pPr>
            <w:r>
              <w:t xml:space="preserve">ChEMBL (1,478), ChEMBL_inactive (92)</w:t>
            </w:r>
          </w:p>
        </w:tc>
      </w:tr>
      <w:tr>
        <w:tc>
          <w:tcPr/>
          <w:p>
            <w:pPr>
              <w:pStyle w:val="Compact"/>
            </w:pPr>
            <w:r>
              <w:t xml:space="preserve">MAO_A</w:t>
            </w:r>
          </w:p>
        </w:tc>
        <w:tc>
          <w:tcPr/>
          <w:p>
            <w:pPr>
              <w:pStyle w:val="Compact"/>
            </w:pPr>
            <w:r>
              <w:t xml:space="preserve">3789</w:t>
            </w:r>
          </w:p>
        </w:tc>
        <w:tc>
          <w:tcPr/>
          <w:p>
            <w:pPr>
              <w:pStyle w:val="Compact"/>
            </w:pPr>
            <w:r>
              <w:t xml:space="preserve">903</w:t>
            </w:r>
          </w:p>
        </w:tc>
        <w:tc>
          <w:tcPr/>
          <w:p>
            <w:pPr>
              <w:pStyle w:val="Compact"/>
            </w:pPr>
            <w:r>
              <w:t xml:space="preserve">2886</w:t>
            </w:r>
          </w:p>
        </w:tc>
        <w:tc>
          <w:tcPr/>
          <w:p>
            <w:pPr>
              <w:pStyle w:val="Compact"/>
            </w:pPr>
            <w:r>
              <w:t xml:space="preserve">ChEMBL (1,787), ChEMBL_inactive (1,565), BindingDB+ChEMBL (339), BindingDB (98)</w:t>
            </w:r>
          </w:p>
        </w:tc>
      </w:tr>
      <w:tr>
        <w:tc>
          <w:tcPr/>
          <w:p>
            <w:pPr>
              <w:pStyle w:val="Compact"/>
            </w:pPr>
            <w:r>
              <w:t xml:space="preserve">MAO_B</w:t>
            </w:r>
          </w:p>
        </w:tc>
        <w:tc>
          <w:tcPr/>
          <w:p>
            <w:pPr>
              <w:pStyle w:val="Compact"/>
            </w:pPr>
            <w:r>
              <w:t xml:space="preserve">4806</w:t>
            </w:r>
          </w:p>
        </w:tc>
        <w:tc>
          <w:tcPr/>
          <w:p>
            <w:pPr>
              <w:pStyle w:val="Compact"/>
            </w:pPr>
            <w:r>
              <w:t xml:space="preserve">2425</w:t>
            </w:r>
          </w:p>
        </w:tc>
        <w:tc>
          <w:tcPr/>
          <w:p>
            <w:pPr>
              <w:pStyle w:val="Compact"/>
            </w:pPr>
            <w:r>
              <w:t xml:space="preserve">2381</w:t>
            </w:r>
          </w:p>
        </w:tc>
        <w:tc>
          <w:tcPr/>
          <w:p>
            <w:pPr>
              <w:pStyle w:val="Compact"/>
            </w:pPr>
            <w:r>
              <w:t xml:space="preserve">ChEMBL (2,511), ChEMBL_inactive (1,190), BindingDB+ChEMBL (941), BindingDB (164)</w:t>
            </w:r>
          </w:p>
        </w:tc>
      </w:tr>
      <w:tr>
        <w:tc>
          <w:tcPr/>
          <w:p>
            <w:pPr>
              <w:pStyle w:val="Compact"/>
            </w:pPr>
            <w:r>
              <w:t xml:space="preserve">MT1</w:t>
            </w:r>
          </w:p>
        </w:tc>
        <w:tc>
          <w:tcPr/>
          <w:p>
            <w:pPr>
              <w:pStyle w:val="Compact"/>
            </w:pPr>
            <w:r>
              <w:t xml:space="preserve">1020</w:t>
            </w:r>
          </w:p>
        </w:tc>
        <w:tc>
          <w:tcPr/>
          <w:p>
            <w:pPr>
              <w:pStyle w:val="Compact"/>
            </w:pPr>
            <w:r>
              <w:t xml:space="preserve">939</w:t>
            </w:r>
          </w:p>
        </w:tc>
        <w:tc>
          <w:tcPr/>
          <w:p>
            <w:pPr>
              <w:pStyle w:val="Compact"/>
            </w:pPr>
            <w:r>
              <w:t xml:space="preserve">81</w:t>
            </w:r>
          </w:p>
        </w:tc>
        <w:tc>
          <w:tcPr/>
          <w:p>
            <w:pPr>
              <w:pStyle w:val="Compact"/>
            </w:pPr>
            <w:r>
              <w:t xml:space="preserve">ChEMBL (969), ChEMBL_inactive (51)</w:t>
            </w:r>
          </w:p>
        </w:tc>
      </w:tr>
      <w:tr>
        <w:tc>
          <w:tcPr/>
          <w:p>
            <w:pPr>
              <w:pStyle w:val="Compact"/>
            </w:pPr>
            <w:r>
              <w:t xml:space="preserve">NET</w:t>
            </w:r>
          </w:p>
        </w:tc>
        <w:tc>
          <w:tcPr/>
          <w:p>
            <w:pPr>
              <w:pStyle w:val="Compact"/>
            </w:pPr>
            <w:r>
              <w:t xml:space="preserve">3315</w:t>
            </w:r>
          </w:p>
        </w:tc>
        <w:tc>
          <w:tcPr/>
          <w:p>
            <w:pPr>
              <w:pStyle w:val="Compact"/>
            </w:pPr>
            <w:r>
              <w:t xml:space="preserve">2801</w:t>
            </w:r>
          </w:p>
        </w:tc>
        <w:tc>
          <w:tcPr/>
          <w:p>
            <w:pPr>
              <w:pStyle w:val="Compact"/>
            </w:pPr>
            <w:r>
              <w:t xml:space="preserve">514</w:t>
            </w:r>
          </w:p>
        </w:tc>
        <w:tc>
          <w:tcPr/>
          <w:p>
            <w:pPr>
              <w:pStyle w:val="Compact"/>
            </w:pPr>
            <w:r>
              <w:t xml:space="preserve">ChEMBL (3,067), ChEMBL_inactive (248)</w:t>
            </w:r>
          </w:p>
        </w:tc>
      </w:tr>
      <w:tr>
        <w:tc>
          <w:tcPr/>
          <w:p>
            <w:pPr>
              <w:pStyle w:val="Compact"/>
            </w:pPr>
            <w:r>
              <w:t xml:space="preserve">NFKB1</w:t>
            </w:r>
          </w:p>
        </w:tc>
        <w:tc>
          <w:tcPr/>
          <w:p>
            <w:pPr>
              <w:pStyle w:val="Compact"/>
            </w:pPr>
            <w:r>
              <w:t xml:space="preserve">263</w:t>
            </w:r>
          </w:p>
        </w:tc>
        <w:tc>
          <w:tcPr/>
          <w:p>
            <w:pPr>
              <w:pStyle w:val="Compact"/>
            </w:pPr>
            <w:r>
              <w:t xml:space="preserve">58</w:t>
            </w:r>
          </w:p>
        </w:tc>
        <w:tc>
          <w:tcPr/>
          <w:p>
            <w:pPr>
              <w:pStyle w:val="Compact"/>
            </w:pPr>
            <w:r>
              <w:t xml:space="preserve">205</w:t>
            </w:r>
          </w:p>
        </w:tc>
        <w:tc>
          <w:tcPr/>
          <w:p>
            <w:pPr>
              <w:pStyle w:val="Compact"/>
            </w:pPr>
            <w:r>
              <w:t xml:space="preserve">NPASS3.0 (263)</w:t>
            </w:r>
          </w:p>
        </w:tc>
      </w:tr>
      <w:tr>
        <w:tc>
          <w:tcPr/>
          <w:p>
            <w:pPr>
              <w:pStyle w:val="Compact"/>
            </w:pPr>
            <w:r>
              <w:t xml:space="preserve">NLRP3</w:t>
            </w:r>
          </w:p>
        </w:tc>
        <w:tc>
          <w:tcPr/>
          <w:p>
            <w:pPr>
              <w:pStyle w:val="Compact"/>
            </w:pPr>
            <w:r>
              <w:t xml:space="preserve">660</w:t>
            </w:r>
          </w:p>
        </w:tc>
        <w:tc>
          <w:tcPr/>
          <w:p>
            <w:pPr>
              <w:pStyle w:val="Compact"/>
            </w:pPr>
            <w:r>
              <w:t xml:space="preserve">428</w:t>
            </w:r>
          </w:p>
        </w:tc>
        <w:tc>
          <w:tcPr/>
          <w:p>
            <w:pPr>
              <w:pStyle w:val="Compact"/>
            </w:pPr>
            <w:r>
              <w:t xml:space="preserve">232</w:t>
            </w:r>
          </w:p>
        </w:tc>
        <w:tc>
          <w:tcPr/>
          <w:p>
            <w:pPr>
              <w:pStyle w:val="Compact"/>
            </w:pPr>
            <w:r>
              <w:t xml:space="preserve">ChEMBL (487), ChEMBL_inactive (173)</w:t>
            </w:r>
          </w:p>
        </w:tc>
      </w:tr>
      <w:tr>
        <w:tc>
          <w:tcPr/>
          <w:p>
            <w:pPr>
              <w:pStyle w:val="Compact"/>
            </w:pPr>
            <w:r>
              <w:t xml:space="preserve">NR3C1</w:t>
            </w:r>
          </w:p>
        </w:tc>
        <w:tc>
          <w:tcPr/>
          <w:p>
            <w:pPr>
              <w:pStyle w:val="Compact"/>
            </w:pPr>
            <w:r>
              <w:t xml:space="preserve">140</w:t>
            </w:r>
          </w:p>
        </w:tc>
        <w:tc>
          <w:tcPr/>
          <w:p>
            <w:pPr>
              <w:pStyle w:val="Compact"/>
            </w:pPr>
            <w:r>
              <w:t xml:space="preserve">66</w:t>
            </w:r>
          </w:p>
        </w:tc>
        <w:tc>
          <w:tcPr/>
          <w:p>
            <w:pPr>
              <w:pStyle w:val="Compact"/>
            </w:pPr>
            <w:r>
              <w:t xml:space="preserve">74</w:t>
            </w:r>
          </w:p>
        </w:tc>
        <w:tc>
          <w:tcPr/>
          <w:p>
            <w:pPr>
              <w:pStyle w:val="Compact"/>
            </w:pPr>
            <w:r>
              <w:t xml:space="preserve">NPASS3.0 (140)</w:t>
            </w:r>
          </w:p>
        </w:tc>
      </w:tr>
      <w:tr>
        <w:tc>
          <w:tcPr/>
          <w:p>
            <w:pPr>
              <w:pStyle w:val="Compact"/>
            </w:pPr>
            <w:r>
              <w:t xml:space="preserve">NRF2</w:t>
            </w:r>
          </w:p>
        </w:tc>
        <w:tc>
          <w:tcPr/>
          <w:p>
            <w:pPr>
              <w:pStyle w:val="Compact"/>
            </w:pPr>
            <w:r>
              <w:t xml:space="preserve">651</w:t>
            </w:r>
          </w:p>
        </w:tc>
        <w:tc>
          <w:tcPr/>
          <w:p>
            <w:pPr>
              <w:pStyle w:val="Compact"/>
            </w:pPr>
            <w:r>
              <w:t xml:space="preserve">81</w:t>
            </w:r>
          </w:p>
        </w:tc>
        <w:tc>
          <w:tcPr/>
          <w:p>
            <w:pPr>
              <w:pStyle w:val="Compact"/>
            </w:pPr>
            <w:r>
              <w:t xml:space="preserve">570</w:t>
            </w:r>
          </w:p>
        </w:tc>
        <w:tc>
          <w:tcPr/>
          <w:p>
            <w:pPr>
              <w:pStyle w:val="Compact"/>
            </w:pPr>
            <w:r>
              <w:t xml:space="preserve">NPASS3.0 (651)</w:t>
            </w:r>
          </w:p>
        </w:tc>
      </w:tr>
      <w:tr>
        <w:tc>
          <w:tcPr/>
          <w:p>
            <w:pPr>
              <w:pStyle w:val="Compact"/>
            </w:pPr>
            <w:r>
              <w:t xml:space="preserve">Nav1_1</w:t>
            </w:r>
          </w:p>
        </w:tc>
        <w:tc>
          <w:tcPr/>
          <w:p>
            <w:pPr>
              <w:pStyle w:val="Compact"/>
            </w:pPr>
            <w:r>
              <w:t xml:space="preserve">519</w:t>
            </w:r>
          </w:p>
        </w:tc>
        <w:tc>
          <w:tcPr/>
          <w:p>
            <w:pPr>
              <w:pStyle w:val="Compact"/>
            </w:pPr>
            <w:r>
              <w:t xml:space="preserve">65</w:t>
            </w:r>
          </w:p>
        </w:tc>
        <w:tc>
          <w:tcPr/>
          <w:p>
            <w:pPr>
              <w:pStyle w:val="Compact"/>
            </w:pPr>
            <w:r>
              <w:t xml:space="preserve">454</w:t>
            </w:r>
          </w:p>
        </w:tc>
        <w:tc>
          <w:tcPr/>
          <w:p>
            <w:pPr>
              <w:pStyle w:val="Compact"/>
            </w:pPr>
            <w:r>
              <w:t xml:space="preserve">ChEMBL (425), ChEMBL_inactive (94)</w:t>
            </w:r>
          </w:p>
        </w:tc>
      </w:tr>
      <w:tr>
        <w:tc>
          <w:tcPr/>
          <w:p>
            <w:pPr>
              <w:pStyle w:val="Compact"/>
            </w:pPr>
            <w:r>
              <w:t xml:space="preserve">Nav1_5</w:t>
            </w:r>
          </w:p>
        </w:tc>
        <w:tc>
          <w:tcPr/>
          <w:p>
            <w:pPr>
              <w:pStyle w:val="Compact"/>
            </w:pPr>
            <w:r>
              <w:t xml:space="preserve">1983</w:t>
            </w:r>
          </w:p>
        </w:tc>
        <w:tc>
          <w:tcPr/>
          <w:p>
            <w:pPr>
              <w:pStyle w:val="Compact"/>
            </w:pPr>
            <w:r>
              <w:t xml:space="preserve">242</w:t>
            </w:r>
          </w:p>
        </w:tc>
        <w:tc>
          <w:tcPr/>
          <w:p>
            <w:pPr>
              <w:pStyle w:val="Compact"/>
            </w:pPr>
            <w:r>
              <w:t xml:space="preserve">1741</w:t>
            </w:r>
          </w:p>
        </w:tc>
        <w:tc>
          <w:tcPr/>
          <w:p>
            <w:pPr>
              <w:pStyle w:val="Compact"/>
            </w:pPr>
            <w:r>
              <w:t xml:space="preserve">ChEMBL_inactive (1,150), ChEMBL (833)</w:t>
            </w:r>
          </w:p>
        </w:tc>
      </w:tr>
      <w:tr>
        <w:tc>
          <w:tcPr/>
          <w:p>
            <w:pPr>
              <w:pStyle w:val="Compact"/>
            </w:pPr>
            <w:r>
              <w:t xml:space="preserve">Nav1_6</w:t>
            </w:r>
          </w:p>
        </w:tc>
        <w:tc>
          <w:tcPr/>
          <w:p>
            <w:pPr>
              <w:pStyle w:val="Compact"/>
            </w:pPr>
            <w:r>
              <w:t xml:space="preserve">785</w:t>
            </w:r>
          </w:p>
        </w:tc>
        <w:tc>
          <w:tcPr/>
          <w:p>
            <w:pPr>
              <w:pStyle w:val="Compact"/>
            </w:pPr>
            <w:r>
              <w:t xml:space="preserve">681</w:t>
            </w:r>
          </w:p>
        </w:tc>
        <w:tc>
          <w:tcPr/>
          <w:p>
            <w:pPr>
              <w:pStyle w:val="Compact"/>
            </w:pPr>
            <w:r>
              <w:t xml:space="preserve">104</w:t>
            </w:r>
          </w:p>
        </w:tc>
        <w:tc>
          <w:tcPr/>
          <w:p>
            <w:pPr>
              <w:pStyle w:val="Compact"/>
            </w:pPr>
            <w:r>
              <w:t xml:space="preserve">ChEMBL (726), ChEMBL_inactive (59)</w:t>
            </w:r>
          </w:p>
        </w:tc>
      </w:tr>
      <w:tr>
        <w:tc>
          <w:tcPr/>
          <w:p>
            <w:pPr>
              <w:pStyle w:val="Compact"/>
            </w:pPr>
            <w:r>
              <w:t xml:space="preserve">Nav1_7</w:t>
            </w:r>
          </w:p>
        </w:tc>
        <w:tc>
          <w:tcPr/>
          <w:p>
            <w:pPr>
              <w:pStyle w:val="Compact"/>
            </w:pPr>
            <w:r>
              <w:t xml:space="preserve">6153</w:t>
            </w:r>
          </w:p>
        </w:tc>
        <w:tc>
          <w:tcPr/>
          <w:p>
            <w:pPr>
              <w:pStyle w:val="Compact"/>
            </w:pPr>
            <w:r>
              <w:t xml:space="preserve">5415</w:t>
            </w:r>
          </w:p>
        </w:tc>
        <w:tc>
          <w:tcPr/>
          <w:p>
            <w:pPr>
              <w:pStyle w:val="Compact"/>
            </w:pPr>
            <w:r>
              <w:t xml:space="preserve">738</w:t>
            </w:r>
          </w:p>
        </w:tc>
        <w:tc>
          <w:tcPr/>
          <w:p>
            <w:pPr>
              <w:pStyle w:val="Compact"/>
            </w:pPr>
            <w:r>
              <w:t xml:space="preserve">ChEMBL (5,752), ChEMBL_inactive (401)</w:t>
            </w:r>
          </w:p>
        </w:tc>
      </w:tr>
      <w:tr>
        <w:tc>
          <w:tcPr/>
          <w:p>
            <w:pPr>
              <w:pStyle w:val="Compact"/>
            </w:pPr>
            <w:r>
              <w:t xml:space="preserve">Nav1_8</w:t>
            </w:r>
          </w:p>
        </w:tc>
        <w:tc>
          <w:tcPr/>
          <w:p>
            <w:pPr>
              <w:pStyle w:val="Compact"/>
            </w:pPr>
            <w:r>
              <w:t xml:space="preserve">567</w:t>
            </w:r>
          </w:p>
        </w:tc>
        <w:tc>
          <w:tcPr/>
          <w:p>
            <w:pPr>
              <w:pStyle w:val="Compact"/>
            </w:pPr>
            <w:r>
              <w:t xml:space="preserve">501</w:t>
            </w:r>
          </w:p>
        </w:tc>
        <w:tc>
          <w:tcPr/>
          <w:p>
            <w:pPr>
              <w:pStyle w:val="Compact"/>
            </w:pPr>
            <w:r>
              <w:t xml:space="preserve">66</w:t>
            </w:r>
          </w:p>
        </w:tc>
        <w:tc>
          <w:tcPr/>
          <w:p>
            <w:pPr>
              <w:pStyle w:val="Compact"/>
            </w:pPr>
            <w:r>
              <w:t xml:space="preserve">ChEMBL (540), ChEMBL_inactive (27)</w:t>
            </w:r>
          </w:p>
        </w:tc>
      </w:tr>
      <w:tr>
        <w:tc>
          <w:tcPr/>
          <w:p>
            <w:pPr>
              <w:pStyle w:val="Compact"/>
            </w:pPr>
            <w:r>
              <w:t xml:space="preserve">OPRK1</w:t>
            </w:r>
          </w:p>
        </w:tc>
        <w:tc>
          <w:tcPr/>
          <w:p>
            <w:pPr>
              <w:pStyle w:val="Compact"/>
            </w:pPr>
            <w:r>
              <w:t xml:space="preserve">5855</w:t>
            </w:r>
          </w:p>
        </w:tc>
        <w:tc>
          <w:tcPr/>
          <w:p>
            <w:pPr>
              <w:pStyle w:val="Compact"/>
            </w:pPr>
            <w:r>
              <w:t xml:space="preserve">4857</w:t>
            </w:r>
          </w:p>
        </w:tc>
        <w:tc>
          <w:tcPr/>
          <w:p>
            <w:pPr>
              <w:pStyle w:val="Compact"/>
            </w:pPr>
            <w:r>
              <w:t xml:space="preserve">998</w:t>
            </w:r>
          </w:p>
        </w:tc>
        <w:tc>
          <w:tcPr/>
          <w:p>
            <w:pPr>
              <w:pStyle w:val="Compact"/>
            </w:pPr>
            <w:r>
              <w:t xml:space="preserve">ChEMBL (5,167), ChEMBL_inactive (688)</w:t>
            </w:r>
          </w:p>
        </w:tc>
      </w:tr>
      <w:tr>
        <w:tc>
          <w:tcPr/>
          <w:p>
            <w:pPr>
              <w:pStyle w:val="Compact"/>
            </w:pPr>
            <w:r>
              <w:t xml:space="preserve">OPRM1</w:t>
            </w:r>
          </w:p>
        </w:tc>
        <w:tc>
          <w:tcPr/>
          <w:p>
            <w:pPr>
              <w:pStyle w:val="Compact"/>
            </w:pPr>
            <w:r>
              <w:t xml:space="preserve">7086</w:t>
            </w:r>
          </w:p>
        </w:tc>
        <w:tc>
          <w:tcPr/>
          <w:p>
            <w:pPr>
              <w:pStyle w:val="Compact"/>
            </w:pPr>
            <w:r>
              <w:t xml:space="preserve">5743</w:t>
            </w:r>
          </w:p>
        </w:tc>
        <w:tc>
          <w:tcPr/>
          <w:p>
            <w:pPr>
              <w:pStyle w:val="Compact"/>
            </w:pPr>
            <w:r>
              <w:t xml:space="preserve">1343</w:t>
            </w:r>
          </w:p>
        </w:tc>
        <w:tc>
          <w:tcPr/>
          <w:p>
            <w:pPr>
              <w:pStyle w:val="Compact"/>
            </w:pPr>
            <w:r>
              <w:t xml:space="preserve">ChEMBL (6,109), ChEMBL_inactive (977)</w:t>
            </w:r>
          </w:p>
        </w:tc>
      </w:tr>
      <w:tr>
        <w:tc>
          <w:tcPr/>
          <w:p>
            <w:pPr>
              <w:pStyle w:val="Compact"/>
            </w:pPr>
            <w:r>
              <w:t xml:space="preserve">OX1.chembl_only</w:t>
            </w:r>
          </w:p>
        </w:tc>
        <w:tc>
          <w:tcPr/>
          <w:p>
            <w:pPr>
              <w:pStyle w:val="Compact"/>
            </w:pPr>
            <w:r>
              <w:t xml:space="preserve">5240</w:t>
            </w:r>
          </w:p>
        </w:tc>
        <w:tc>
          <w:tcPr/>
          <w:p>
            <w:pPr>
              <w:pStyle w:val="Compact"/>
            </w:pPr>
            <w:r>
              <w:t xml:space="preserve">5159</w:t>
            </w:r>
          </w:p>
        </w:tc>
        <w:tc>
          <w:tcPr/>
          <w:p>
            <w:pPr>
              <w:pStyle w:val="Compact"/>
            </w:pPr>
            <w:r>
              <w:t xml:space="preserve">81</w:t>
            </w:r>
          </w:p>
        </w:tc>
        <w:tc>
          <w:tcPr/>
          <w:p>
            <w:pPr>
              <w:pStyle w:val="Compact"/>
            </w:pPr>
            <w:r>
              <w:t xml:space="preserve">ChEMBL (5,240)</w:t>
            </w:r>
          </w:p>
        </w:tc>
      </w:tr>
      <w:tr>
        <w:tc>
          <w:tcPr/>
          <w:p>
            <w:pPr>
              <w:pStyle w:val="Compact"/>
            </w:pPr>
            <w:r>
              <w:t xml:space="preserve">OX1</w:t>
            </w:r>
          </w:p>
        </w:tc>
        <w:tc>
          <w:tcPr/>
          <w:p>
            <w:pPr>
              <w:pStyle w:val="Compact"/>
            </w:pPr>
            <w:r>
              <w:t xml:space="preserve">5735</w:t>
            </w:r>
          </w:p>
        </w:tc>
        <w:tc>
          <w:tcPr/>
          <w:p>
            <w:pPr>
              <w:pStyle w:val="Compact"/>
            </w:pPr>
            <w:r>
              <w:t xml:space="preserve">5159</w:t>
            </w:r>
          </w:p>
        </w:tc>
        <w:tc>
          <w:tcPr/>
          <w:p>
            <w:pPr>
              <w:pStyle w:val="Compact"/>
            </w:pPr>
            <w:r>
              <w:t xml:space="preserve">576</w:t>
            </w:r>
          </w:p>
        </w:tc>
        <w:tc>
          <w:tcPr/>
          <w:p>
            <w:pPr>
              <w:pStyle w:val="Compact"/>
            </w:pPr>
            <w:r>
              <w:t xml:space="preserve">ChEMBL (5,240), ChEMBL_inactive (462), PubChem_HTS (33)</w:t>
            </w:r>
          </w:p>
        </w:tc>
      </w:tr>
      <w:tr>
        <w:tc>
          <w:tcPr/>
          <w:p>
            <w:pPr>
              <w:pStyle w:val="Compact"/>
            </w:pPr>
            <w:r>
              <w:t xml:space="preserve">OX2.chembl_only</w:t>
            </w:r>
          </w:p>
        </w:tc>
        <w:tc>
          <w:tcPr/>
          <w:p>
            <w:pPr>
              <w:pStyle w:val="Compact"/>
            </w:pPr>
            <w:r>
              <w:t xml:space="preserve">6227</w:t>
            </w:r>
          </w:p>
        </w:tc>
        <w:tc>
          <w:tcPr/>
          <w:p>
            <w:pPr>
              <w:pStyle w:val="Compact"/>
            </w:pPr>
            <w:r>
              <w:t xml:space="preserve">6207</w:t>
            </w:r>
          </w:p>
        </w:tc>
        <w:tc>
          <w:tcPr/>
          <w:p>
            <w:pPr>
              <w:pStyle w:val="Compact"/>
            </w:pPr>
            <w:r>
              <w:t xml:space="preserve">20</w:t>
            </w:r>
          </w:p>
        </w:tc>
        <w:tc>
          <w:tcPr/>
          <w:p>
            <w:pPr>
              <w:pStyle w:val="Compact"/>
            </w:pPr>
            <w:r>
              <w:t xml:space="preserve">ChEMBL (6,227)</w:t>
            </w:r>
          </w:p>
        </w:tc>
      </w:tr>
      <w:tr>
        <w:tc>
          <w:tcPr/>
          <w:p>
            <w:pPr>
              <w:pStyle w:val="Compact"/>
            </w:pPr>
            <w:r>
              <w:t xml:space="preserve">OX2</w:t>
            </w:r>
          </w:p>
        </w:tc>
        <w:tc>
          <w:tcPr/>
          <w:p>
            <w:pPr>
              <w:pStyle w:val="Compact"/>
            </w:pPr>
            <w:r>
              <w:t xml:space="preserve">6894</w:t>
            </w:r>
          </w:p>
        </w:tc>
        <w:tc>
          <w:tcPr/>
          <w:p>
            <w:pPr>
              <w:pStyle w:val="Compact"/>
            </w:pPr>
            <w:r>
              <w:t xml:space="preserve">6207</w:t>
            </w:r>
          </w:p>
        </w:tc>
        <w:tc>
          <w:tcPr/>
          <w:p>
            <w:pPr>
              <w:pStyle w:val="Compact"/>
            </w:pPr>
            <w:r>
              <w:t xml:space="preserve">687</w:t>
            </w:r>
          </w:p>
        </w:tc>
        <w:tc>
          <w:tcPr/>
          <w:p>
            <w:pPr>
              <w:pStyle w:val="Compact"/>
            </w:pPr>
            <w:r>
              <w:t xml:space="preserve">ChEMBL (6,227), ChEMBL_inactive (663), PubChem_HTS (4)</w:t>
            </w:r>
          </w:p>
        </w:tc>
      </w:tr>
      <w:tr>
        <w:tc>
          <w:tcPr/>
          <w:p>
            <w:pPr>
              <w:pStyle w:val="Compact"/>
            </w:pPr>
            <w:r>
              <w:t xml:space="preserve">P2X7</w:t>
            </w:r>
          </w:p>
        </w:tc>
        <w:tc>
          <w:tcPr/>
          <w:p>
            <w:pPr>
              <w:pStyle w:val="Compact"/>
            </w:pPr>
            <w:r>
              <w:t xml:space="preserve">4528</w:t>
            </w:r>
          </w:p>
        </w:tc>
        <w:tc>
          <w:tcPr/>
          <w:p>
            <w:pPr>
              <w:pStyle w:val="Compact"/>
            </w:pPr>
            <w:r>
              <w:t xml:space="preserve">4358</w:t>
            </w:r>
          </w:p>
        </w:tc>
        <w:tc>
          <w:tcPr/>
          <w:p>
            <w:pPr>
              <w:pStyle w:val="Compact"/>
            </w:pPr>
            <w:r>
              <w:t xml:space="preserve">170</w:t>
            </w:r>
          </w:p>
        </w:tc>
        <w:tc>
          <w:tcPr/>
          <w:p>
            <w:pPr>
              <w:pStyle w:val="Compact"/>
            </w:pPr>
            <w:r>
              <w:t xml:space="preserve">ChEMBL (4,401), ChEMBL_inactive (127)</w:t>
            </w:r>
          </w:p>
        </w:tc>
      </w:tr>
      <w:tr>
        <w:tc>
          <w:tcPr/>
          <w:p>
            <w:pPr>
              <w:pStyle w:val="Compact"/>
            </w:pPr>
            <w:r>
              <w:t xml:space="preserve">PDE10A</w:t>
            </w:r>
          </w:p>
        </w:tc>
        <w:tc>
          <w:tcPr/>
          <w:p>
            <w:pPr>
              <w:pStyle w:val="Compact"/>
            </w:pPr>
            <w:r>
              <w:t xml:space="preserve">5295</w:t>
            </w:r>
          </w:p>
        </w:tc>
        <w:tc>
          <w:tcPr/>
          <w:p>
            <w:pPr>
              <w:pStyle w:val="Compact"/>
            </w:pPr>
            <w:r>
              <w:t xml:space="preserve">5052</w:t>
            </w:r>
          </w:p>
        </w:tc>
        <w:tc>
          <w:tcPr/>
          <w:p>
            <w:pPr>
              <w:pStyle w:val="Compact"/>
            </w:pPr>
            <w:r>
              <w:t xml:space="preserve">243</w:t>
            </w:r>
          </w:p>
        </w:tc>
        <w:tc>
          <w:tcPr/>
          <w:p>
            <w:pPr>
              <w:pStyle w:val="Compact"/>
            </w:pPr>
            <w:r>
              <w:t xml:space="preserve">ChEMBL (5,112), ChEMBL_inactive (183)</w:t>
            </w:r>
          </w:p>
        </w:tc>
      </w:tr>
      <w:tr>
        <w:tc>
          <w:tcPr/>
          <w:p>
            <w:pPr>
              <w:pStyle w:val="Compact"/>
            </w:pPr>
            <w:r>
              <w:t xml:space="preserve">PDE4B</w:t>
            </w:r>
          </w:p>
        </w:tc>
        <w:tc>
          <w:tcPr/>
          <w:p>
            <w:pPr>
              <w:pStyle w:val="Compact"/>
            </w:pPr>
            <w:r>
              <w:t xml:space="preserve">2044</w:t>
            </w:r>
          </w:p>
        </w:tc>
        <w:tc>
          <w:tcPr/>
          <w:p>
            <w:pPr>
              <w:pStyle w:val="Compact"/>
            </w:pPr>
            <w:r>
              <w:t xml:space="preserve">1712</w:t>
            </w:r>
          </w:p>
        </w:tc>
        <w:tc>
          <w:tcPr/>
          <w:p>
            <w:pPr>
              <w:pStyle w:val="Compact"/>
            </w:pPr>
            <w:r>
              <w:t xml:space="preserve">332</w:t>
            </w:r>
          </w:p>
        </w:tc>
        <w:tc>
          <w:tcPr/>
          <w:p>
            <w:pPr>
              <w:pStyle w:val="Compact"/>
            </w:pPr>
            <w:r>
              <w:t xml:space="preserve">ChEMBL (1,938), ChEMBL_inactive (106)</w:t>
            </w:r>
          </w:p>
        </w:tc>
      </w:tr>
      <w:tr>
        <w:tc>
          <w:tcPr/>
          <w:p>
            <w:pPr>
              <w:pStyle w:val="Compact"/>
            </w:pPr>
            <w:r>
              <w:t xml:space="preserve">RIPK1</w:t>
            </w:r>
          </w:p>
        </w:tc>
        <w:tc>
          <w:tcPr/>
          <w:p>
            <w:pPr>
              <w:pStyle w:val="Compact"/>
            </w:pPr>
            <w:r>
              <w:t xml:space="preserve">3251</w:t>
            </w:r>
          </w:p>
        </w:tc>
        <w:tc>
          <w:tcPr/>
          <w:p>
            <w:pPr>
              <w:pStyle w:val="Compact"/>
            </w:pPr>
            <w:r>
              <w:t xml:space="preserve">2349</w:t>
            </w:r>
          </w:p>
        </w:tc>
        <w:tc>
          <w:tcPr/>
          <w:p>
            <w:pPr>
              <w:pStyle w:val="Compact"/>
            </w:pPr>
            <w:r>
              <w:t xml:space="preserve">902</w:t>
            </w:r>
          </w:p>
        </w:tc>
        <w:tc>
          <w:tcPr/>
          <w:p>
            <w:pPr>
              <w:pStyle w:val="Compact"/>
            </w:pPr>
            <w:r>
              <w:t xml:space="preserve">ChEMBL (3,068), ChEMBL_inactive (183)</w:t>
            </w:r>
          </w:p>
        </w:tc>
      </w:tr>
      <w:tr>
        <w:tc>
          <w:tcPr/>
          <w:p>
            <w:pPr>
              <w:pStyle w:val="Compact"/>
            </w:pPr>
            <w:r>
              <w:t xml:space="preserve">SERT</w:t>
            </w:r>
          </w:p>
        </w:tc>
        <w:tc>
          <w:tcPr/>
          <w:p>
            <w:pPr>
              <w:pStyle w:val="Compact"/>
            </w:pPr>
            <w:r>
              <w:t xml:space="preserve">4924</w:t>
            </w:r>
          </w:p>
        </w:tc>
        <w:tc>
          <w:tcPr/>
          <w:p>
            <w:pPr>
              <w:pStyle w:val="Compact"/>
            </w:pPr>
            <w:r>
              <w:t xml:space="preserve">4362</w:t>
            </w:r>
          </w:p>
        </w:tc>
        <w:tc>
          <w:tcPr/>
          <w:p>
            <w:pPr>
              <w:pStyle w:val="Compact"/>
            </w:pPr>
            <w:r>
              <w:t xml:space="preserve">562</w:t>
            </w:r>
          </w:p>
        </w:tc>
        <w:tc>
          <w:tcPr/>
          <w:p>
            <w:pPr>
              <w:pStyle w:val="Compact"/>
            </w:pPr>
            <w:r>
              <w:t xml:space="preserve">ChEMBL (2,611), BindingDB+ChEMBL (1,811), ChEMBL_inactive (417), BindingDB (85)</w:t>
            </w:r>
          </w:p>
        </w:tc>
      </w:tr>
      <w:tr>
        <w:tc>
          <w:tcPr/>
          <w:p>
            <w:pPr>
              <w:pStyle w:val="Compact"/>
            </w:pPr>
            <w:r>
              <w:t xml:space="preserve">SIRT1</w:t>
            </w:r>
          </w:p>
        </w:tc>
        <w:tc>
          <w:tcPr/>
          <w:p>
            <w:pPr>
              <w:pStyle w:val="Compact"/>
            </w:pPr>
            <w:r>
              <w:t xml:space="preserve">715</w:t>
            </w:r>
          </w:p>
        </w:tc>
        <w:tc>
          <w:tcPr/>
          <w:p>
            <w:pPr>
              <w:pStyle w:val="Compact"/>
            </w:pPr>
            <w:r>
              <w:t xml:space="preserve">162</w:t>
            </w:r>
          </w:p>
        </w:tc>
        <w:tc>
          <w:tcPr/>
          <w:p>
            <w:pPr>
              <w:pStyle w:val="Compact"/>
            </w:pPr>
            <w:r>
              <w:t xml:space="preserve">553</w:t>
            </w:r>
          </w:p>
        </w:tc>
        <w:tc>
          <w:tcPr/>
          <w:p>
            <w:pPr>
              <w:pStyle w:val="Compact"/>
            </w:pPr>
            <w:r>
              <w:t xml:space="preserve">ChEMBL (515), ChEMBL_inactive (200)</w:t>
            </w:r>
          </w:p>
        </w:tc>
      </w:tr>
      <w:tr>
        <w:tc>
          <w:tcPr/>
          <w:p>
            <w:pPr>
              <w:pStyle w:val="Compact"/>
            </w:pPr>
            <w:r>
              <w:t xml:space="preserve">Sigma1</w:t>
            </w:r>
          </w:p>
        </w:tc>
        <w:tc>
          <w:tcPr/>
          <w:p>
            <w:pPr>
              <w:pStyle w:val="Compact"/>
            </w:pPr>
            <w:r>
              <w:t xml:space="preserve">2905</w:t>
            </w:r>
          </w:p>
        </w:tc>
        <w:tc>
          <w:tcPr/>
          <w:p>
            <w:pPr>
              <w:pStyle w:val="Compact"/>
            </w:pPr>
            <w:r>
              <w:t xml:space="preserve">2793</w:t>
            </w:r>
          </w:p>
        </w:tc>
        <w:tc>
          <w:tcPr/>
          <w:p>
            <w:pPr>
              <w:pStyle w:val="Compact"/>
            </w:pPr>
            <w:r>
              <w:t xml:space="preserve">112</w:t>
            </w:r>
          </w:p>
        </w:tc>
        <w:tc>
          <w:tcPr/>
          <w:p>
            <w:pPr>
              <w:pStyle w:val="Compact"/>
            </w:pPr>
            <w:r>
              <w:t xml:space="preserve">ChEMBL (2,838), ChEMBL_inactive (67)</w:t>
            </w:r>
          </w:p>
        </w:tc>
      </w:tr>
      <w:tr>
        <w:tc>
          <w:tcPr/>
          <w:p>
            <w:pPr>
              <w:pStyle w:val="Compact"/>
            </w:pPr>
            <w:r>
              <w:t xml:space="preserve">TAAR1</w:t>
            </w:r>
          </w:p>
        </w:tc>
        <w:tc>
          <w:tcPr/>
          <w:p>
            <w:pPr>
              <w:pStyle w:val="Compact"/>
            </w:pPr>
            <w:r>
              <w:t xml:space="preserve">403</w:t>
            </w:r>
          </w:p>
        </w:tc>
        <w:tc>
          <w:tcPr/>
          <w:p>
            <w:pPr>
              <w:pStyle w:val="Compact"/>
            </w:pPr>
            <w:r>
              <w:t xml:space="preserve">238</w:t>
            </w:r>
          </w:p>
        </w:tc>
        <w:tc>
          <w:tcPr/>
          <w:p>
            <w:pPr>
              <w:pStyle w:val="Compact"/>
            </w:pPr>
            <w:r>
              <w:t xml:space="preserve">165</w:t>
            </w:r>
          </w:p>
        </w:tc>
        <w:tc>
          <w:tcPr/>
          <w:p>
            <w:pPr>
              <w:pStyle w:val="Compact"/>
            </w:pPr>
            <w:r>
              <w:t xml:space="preserve">ChEMBL (303), ChEMBL_inactive (100)</w:t>
            </w:r>
          </w:p>
        </w:tc>
      </w:tr>
      <w:tr>
        <w:tc>
          <w:tcPr/>
          <w:p>
            <w:pPr>
              <w:pStyle w:val="Compact"/>
            </w:pPr>
            <w:r>
              <w:t xml:space="preserve">a3b4nAChR</w:t>
            </w:r>
          </w:p>
        </w:tc>
        <w:tc>
          <w:tcPr/>
          <w:p>
            <w:pPr>
              <w:pStyle w:val="Compact"/>
            </w:pPr>
            <w:r>
              <w:t xml:space="preserve">694</w:t>
            </w:r>
          </w:p>
        </w:tc>
        <w:tc>
          <w:tcPr/>
          <w:p>
            <w:pPr>
              <w:pStyle w:val="Compact"/>
            </w:pPr>
            <w:r>
              <w:t xml:space="preserve">398</w:t>
            </w:r>
          </w:p>
        </w:tc>
        <w:tc>
          <w:tcPr/>
          <w:p>
            <w:pPr>
              <w:pStyle w:val="Compact"/>
            </w:pPr>
            <w:r>
              <w:t xml:space="preserve">296</w:t>
            </w:r>
          </w:p>
        </w:tc>
        <w:tc>
          <w:tcPr/>
          <w:p>
            <w:pPr>
              <w:pStyle w:val="Compact"/>
            </w:pPr>
            <w:r>
              <w:t xml:space="preserve">ChEMBL (585), ChEMBL_inactive (109)</w:t>
            </w:r>
          </w:p>
        </w:tc>
      </w:tr>
      <w:tr>
        <w:tc>
          <w:tcPr/>
          <w:p>
            <w:pPr>
              <w:pStyle w:val="Compact"/>
            </w:pPr>
            <w:r>
              <w:t xml:space="preserve">a4b2nAChR</w:t>
            </w:r>
          </w:p>
        </w:tc>
        <w:tc>
          <w:tcPr/>
          <w:p>
            <w:pPr>
              <w:pStyle w:val="Compact"/>
            </w:pPr>
            <w:r>
              <w:t xml:space="preserve">1150</w:t>
            </w:r>
          </w:p>
        </w:tc>
        <w:tc>
          <w:tcPr/>
          <w:p>
            <w:pPr>
              <w:pStyle w:val="Compact"/>
            </w:pPr>
            <w:r>
              <w:t xml:space="preserve">796</w:t>
            </w:r>
          </w:p>
        </w:tc>
        <w:tc>
          <w:tcPr/>
          <w:p>
            <w:pPr>
              <w:pStyle w:val="Compact"/>
            </w:pPr>
            <w:r>
              <w:t xml:space="preserve">354</w:t>
            </w:r>
          </w:p>
        </w:tc>
        <w:tc>
          <w:tcPr/>
          <w:p>
            <w:pPr>
              <w:pStyle w:val="Compact"/>
            </w:pPr>
            <w:r>
              <w:t xml:space="preserve">ChEMBL (942), ChEMBL_inactive (208)</w:t>
            </w:r>
          </w:p>
        </w:tc>
      </w:tr>
      <w:tr>
        <w:tc>
          <w:tcPr/>
          <w:p>
            <w:pPr>
              <w:pStyle w:val="Compact"/>
            </w:pPr>
            <w:r>
              <w:t xml:space="preserve">a7nAChR</w:t>
            </w:r>
          </w:p>
        </w:tc>
        <w:tc>
          <w:tcPr/>
          <w:p>
            <w:pPr>
              <w:pStyle w:val="Compact"/>
            </w:pPr>
            <w:r>
              <w:t xml:space="preserve">1208</w:t>
            </w:r>
          </w:p>
        </w:tc>
        <w:tc>
          <w:tcPr/>
          <w:p>
            <w:pPr>
              <w:pStyle w:val="Compact"/>
            </w:pPr>
            <w:r>
              <w:t xml:space="preserve">823</w:t>
            </w:r>
          </w:p>
        </w:tc>
        <w:tc>
          <w:tcPr/>
          <w:p>
            <w:pPr>
              <w:pStyle w:val="Compact"/>
            </w:pPr>
            <w:r>
              <w:t xml:space="preserve">385</w:t>
            </w:r>
          </w:p>
        </w:tc>
        <w:tc>
          <w:tcPr/>
          <w:p>
            <w:pPr>
              <w:pStyle w:val="Compact"/>
            </w:pPr>
            <w:r>
              <w:t xml:space="preserve">ChEMBL (1,004), ChEMBL_inactive (204)</w:t>
            </w:r>
          </w:p>
        </w:tc>
      </w:tr>
      <w:tr>
        <w:tc>
          <w:tcPr/>
          <w:p>
            <w:pPr>
              <w:pStyle w:val="Compact"/>
            </w:pPr>
            <w:r>
              <w:t xml:space="preserve">hERG</w:t>
            </w:r>
          </w:p>
        </w:tc>
        <w:tc>
          <w:tcPr/>
          <w:p>
            <w:pPr>
              <w:pStyle w:val="Compact"/>
            </w:pPr>
            <w:r>
              <w:t xml:space="preserve">10276</w:t>
            </w:r>
          </w:p>
        </w:tc>
        <w:tc>
          <w:tcPr/>
          <w:p>
            <w:pPr>
              <w:pStyle w:val="Compact"/>
            </w:pPr>
            <w:r>
              <w:t xml:space="preserve">2428</w:t>
            </w:r>
          </w:p>
        </w:tc>
        <w:tc>
          <w:tcPr/>
          <w:p>
            <w:pPr>
              <w:pStyle w:val="Compact"/>
            </w:pPr>
            <w:r>
              <w:t xml:space="preserve">7848</w:t>
            </w:r>
          </w:p>
        </w:tc>
        <w:tc>
          <w:tcPr/>
          <w:p>
            <w:pPr>
              <w:pStyle w:val="Compact"/>
            </w:pPr>
            <w:r>
              <w:t xml:space="preserve">ChEMBL (5,875), ChEMBL_inactive (4,401)</w:t>
            </w:r>
          </w:p>
        </w:tc>
      </w:tr>
      <w:tr>
        <w:tc>
          <w:tcPr/>
          <w:p>
            <w:pPr>
              <w:pStyle w:val="Compact"/>
            </w:pPr>
            <w:r>
              <w:t xml:space="preserve">mGluR5</w:t>
            </w:r>
          </w:p>
        </w:tc>
        <w:tc>
          <w:tcPr/>
          <w:p>
            <w:pPr>
              <w:pStyle w:val="Compact"/>
            </w:pPr>
            <w:r>
              <w:t xml:space="preserve">2902</w:t>
            </w:r>
          </w:p>
        </w:tc>
        <w:tc>
          <w:tcPr/>
          <w:p>
            <w:pPr>
              <w:pStyle w:val="Compact"/>
            </w:pPr>
            <w:r>
              <w:t xml:space="preserve">2375</w:t>
            </w:r>
          </w:p>
        </w:tc>
        <w:tc>
          <w:tcPr/>
          <w:p>
            <w:pPr>
              <w:pStyle w:val="Compact"/>
            </w:pPr>
            <w:r>
              <w:t xml:space="preserve">527</w:t>
            </w:r>
          </w:p>
        </w:tc>
        <w:tc>
          <w:tcPr/>
          <w:p>
            <w:pPr>
              <w:pStyle w:val="Compact"/>
            </w:pPr>
            <w:r>
              <w:t xml:space="preserve">ChEMBL (2,434), ChEMBL_inactive (468)</w:t>
            </w:r>
          </w:p>
        </w:tc>
      </w:tr>
      <w:tr>
        <w:tc>
          <w:tcPr/>
          <w:p>
            <w:pPr>
              <w:pStyle w:val="Compact"/>
            </w:pPr>
            <w:r>
              <w:t xml:space="preserve">mTOR</w:t>
            </w:r>
          </w:p>
        </w:tc>
        <w:tc>
          <w:tcPr/>
          <w:p>
            <w:pPr>
              <w:pStyle w:val="Compact"/>
            </w:pPr>
            <w:r>
              <w:t xml:space="preserve">5222</w:t>
            </w:r>
          </w:p>
        </w:tc>
        <w:tc>
          <w:tcPr/>
          <w:p>
            <w:pPr>
              <w:pStyle w:val="Compact"/>
            </w:pPr>
            <w:r>
              <w:t xml:space="preserve">4108</w:t>
            </w:r>
          </w:p>
        </w:tc>
        <w:tc>
          <w:tcPr/>
          <w:p>
            <w:pPr>
              <w:pStyle w:val="Compact"/>
            </w:pPr>
            <w:r>
              <w:t xml:space="preserve">1114</w:t>
            </w:r>
          </w:p>
        </w:tc>
        <w:tc>
          <w:tcPr/>
          <w:p>
            <w:pPr>
              <w:pStyle w:val="Compact"/>
            </w:pPr>
            <w:r>
              <w:t xml:space="preserve">ChEMBL (4,484), ChEMBL_inactive (738)</w:t>
            </w:r>
          </w:p>
        </w:tc>
      </w:tr>
    </w:tbl>
    <w:p>
      <w:pPr>
        <w:pStyle w:val="BodyText"/>
      </w:pPr>
      <w:r>
        <w:rPr>
          <w:b/>
          <w:bCs/>
        </w:rPr>
        <w:t xml:space="preserve">Sources.</w:t>
      </w:r>
      <w:r>
        <w:t xml:space="preserve"> </w:t>
      </w:r>
      <w:r>
        <w:t xml:space="preserve">Protein-target activity is pooled at compound level from ChEMBL pChEMBL values and</w:t>
      </w:r>
      <w:r>
        <w:t xml:space="preserve"> </w:t>
      </w:r>
      <w:r>
        <w:t xml:space="preserve">BindingDB. Blood-brain-barrier labels come from B3DB augmented with FDA-curated approved drugs. The</w:t>
      </w:r>
      <w:r>
        <w:t xml:space="preserve"> </w:t>
      </w:r>
      <w:r>
        <w:t xml:space="preserve">ADME endpoints use measured sets from Therapeutics Data Commons, MoleculeNet, B3DB and ChEMBL.</w:t>
      </w:r>
    </w:p>
    <w:p>
      <w:pPr>
        <w:pStyle w:val="BodyText"/>
      </w:pPr>
      <w:r>
        <w:rPr>
          <w:b/>
          <w:bCs/>
        </w:rPr>
        <w:t xml:space="preserve">The negative class is recovered, not simulated.</w:t>
      </w:r>
      <w:r>
        <w:t xml:space="preserve"> </w:t>
      </w:r>
      <w:r>
        <w:t xml:space="preserve">A bioactivity record describes what was found to</w:t>
      </w:r>
      <w:r>
        <w:t xml:space="preserve"> </w:t>
      </w:r>
      <w:r>
        <w:t xml:space="preserve">bind. A compound assayed and found</w:t>
      </w:r>
      <w:r>
        <w:t xml:space="preserve"> </w:t>
      </w:r>
      <w:r>
        <w:rPr>
          <w:i/>
          <w:iCs/>
        </w:rPr>
        <w:t xml:space="preserve">inactive</w:t>
      </w:r>
      <w:r>
        <w:t xml:space="preserve"> </w:t>
      </w:r>
      <w:r>
        <w:t xml:space="preserve">is frequently deposited only as a censored bound,</w:t>
      </w:r>
      <w:r>
        <w:t xml:space="preserve"> </w:t>
      </w:r>
      <w:r>
        <w:rPr>
          <w:rStyle w:val="VerbatimChar"/>
        </w:rPr>
        <w:t xml:space="preserve">standard_relation</w:t>
      </w:r>
      <w:r>
        <w:t xml:space="preserve"> </w:t>
      </w:r>
      <w:r>
        <w:rPr>
          <w:rStyle w:val="VerbatimChar"/>
        </w:rPr>
        <w:t xml:space="preserve">&gt;</w:t>
      </w:r>
      <w:r>
        <w:t xml:space="preserve"> </w:t>
      </w:r>
      <w:r>
        <w:t xml:space="preserve">with no pChEMBL value, and the conventional query, which filters on pChEMBL,</w:t>
      </w:r>
      <w:r>
        <w:t xml:space="preserve"> </w:t>
      </w:r>
      <w:r>
        <w:t xml:space="preserve">discards exactly those rows. Training on what survives that filter gives a positive class drawn from</w:t>
      </w:r>
      <w:r>
        <w:t xml:space="preserve"> </w:t>
      </w:r>
      <w:r>
        <w:t xml:space="preserve">measurement and a negative class drawn from property-matched decoys.</w:t>
      </w:r>
    </w:p>
    <w:p>
      <w:pPr>
        <w:pStyle w:val="BodyText"/>
      </w:pPr>
      <w:r>
        <w:t xml:space="preserve">A censored bound settles a label whenever the entire interval it defines falls on one side of the</w:t>
      </w:r>
      <w:r>
        <w:t xml:space="preserve"> </w:t>
      </w:r>
      <w:r>
        <w:t xml:space="preserve">activity cut.</w:t>
      </w:r>
      <w:r>
        <w:t xml:space="preserve"> </w:t>
      </w:r>
      <w:r>
        <w:rPr>
          <w:rStyle w:val="VerbatimChar"/>
        </w:rPr>
        <w:t xml:space="preserve">IC50 &gt; 10 uM</w:t>
      </w:r>
      <w:r>
        <w:t xml:space="preserve"> </w:t>
      </w:r>
      <w:r>
        <w:t xml:space="preserve">places the true potency strictly below pChEMBL 5.0 and is a measured</w:t>
      </w:r>
      <w:r>
        <w:t xml:space="preserve"> </w:t>
      </w:r>
      <w:r>
        <w:t xml:space="preserve">non-binder.</w:t>
      </w:r>
      <w:r>
        <w:t xml:space="preserve"> </w:t>
      </w:r>
      <w:r>
        <w:rPr>
          <w:rStyle w:val="VerbatimChar"/>
        </w:rPr>
        <w:t xml:space="preserve">IC50 &gt; 100 nM</w:t>
      </w:r>
      <w:r>
        <w:t xml:space="preserve"> </w:t>
      </w:r>
      <w:r>
        <w:t xml:space="preserve">spans both classes and is discarded as undecidable rather than guessed</w:t>
      </w:r>
      <w:r>
        <w:t xml:space="preserve"> </w:t>
      </w:r>
      <w:r>
        <w:t xml:space="preserve">at. Recovering these added 29,751 measured non-binders across 57 endpoints.</w:t>
      </w:r>
    </w:p>
    <w:bookmarkEnd w:id="14"/>
    <w:bookmarkStart w:id="15" w:name="why-these-endpoints"/>
    <w:p>
      <w:pPr>
        <w:pStyle w:val="Heading3"/>
      </w:pPr>
      <w:r>
        <w:t xml:space="preserve">2.3 Why these endpoints</w:t>
      </w:r>
    </w:p>
    <w:p>
      <w:pPr>
        <w:pStyle w:val="FirstParagraph"/>
      </w:pPr>
      <w:r>
        <w:t xml:space="preserve">The panel is organised around the four questions in section 1, in the order a candidate must satisfy</w:t>
      </w:r>
      <w:r>
        <w:t xml:space="preserve"> </w:t>
      </w:r>
      <w:r>
        <w:t xml:space="preserve">them. Exposure is modelled first, because a molecule that reaches no free concentration in brain</w:t>
      </w:r>
      <w:r>
        <w:t xml:space="preserve"> </w:t>
      </w:r>
      <w:r>
        <w:t xml:space="preserve">tissue cannot act centrally however potent it is.</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Axis</w:t>
            </w:r>
          </w:p>
        </w:tc>
        <w:tc>
          <w:tcPr>
            <w:shd w:val="clear" w:fill="EAF0F7"/>
          </w:tcPr>
          <w:p>
            <w:pPr>
              <w:pStyle w:val="Compact"/>
            </w:pPr>
            <w:r>
              <w:rPr>
                <w:b/>
                <w:sz w:val="17"/>
              </w:rPr>
              <w:t xml:space="preserve">Targets</w:t>
            </w:r>
          </w:p>
        </w:tc>
        <w:tc>
          <w:tcPr>
            <w:shd w:val="clear" w:fill="EAF0F7"/>
          </w:tcPr>
          <w:p>
            <w:pPr>
              <w:pStyle w:val="Compact"/>
            </w:pPr>
            <w:r>
              <w:rPr>
                <w:b/>
                <w:sz w:val="17"/>
              </w:rPr>
              <w:t xml:space="preserve">Why it is in a CNS panel</w:t>
            </w:r>
          </w:p>
        </w:tc>
      </w:tr>
      <w:tr>
        <w:tc>
          <w:tcPr/>
          <w:p>
            <w:pPr>
              <w:pStyle w:val="Compact"/>
            </w:pPr>
            <w:r>
              <w:t xml:space="preserve">Cholinergic</w:t>
            </w:r>
          </w:p>
        </w:tc>
        <w:tc>
          <w:tcPr/>
          <w:p>
            <w:pPr>
              <w:pStyle w:val="Compact"/>
            </w:pPr>
            <w:r>
              <w:t xml:space="preserve">AChE, BChE, α7-nAChR, α4β2-nAChR, α3β4-nAChR, H3, 5-HT6, PDE4B</w:t>
            </w:r>
          </w:p>
        </w:tc>
        <w:tc>
          <w:tcPr/>
          <w:p>
            <w:pPr>
              <w:pStyle w:val="Compact"/>
            </w:pPr>
            <w:r>
              <w:t xml:space="preserve">Acetylcholinesterase inhibition remains the mainstay symptomatic treatment in Alzheimer’s disease</w:t>
            </w:r>
          </w:p>
        </w:tc>
      </w:tr>
      <w:tr>
        <w:tc>
          <w:tcPr/>
          <w:p>
            <w:pPr>
              <w:pStyle w:val="Compact"/>
            </w:pPr>
            <w:r>
              <w:t xml:space="preserve">Amyloid and tau</w:t>
            </w:r>
          </w:p>
        </w:tc>
        <w:tc>
          <w:tcPr/>
          <w:p>
            <w:pPr>
              <w:pStyle w:val="Compact"/>
            </w:pPr>
            <w:r>
              <w:t xml:space="preserve">BACE1, GSK-3β</w:t>
            </w:r>
          </w:p>
        </w:tc>
        <w:tc>
          <w:tcPr/>
          <w:p>
            <w:pPr>
              <w:pStyle w:val="Compact"/>
            </w:pPr>
            <w:r>
              <w:t xml:space="preserve">The two principal disease-modifying hypotheses, and the source of the field’s most expensive failures</w:t>
            </w:r>
          </w:p>
        </w:tc>
      </w:tr>
      <w:tr>
        <w:tc>
          <w:tcPr/>
          <w:p>
            <w:pPr>
              <w:pStyle w:val="Compact"/>
            </w:pPr>
            <w:r>
              <w:t xml:space="preserve">Parkinson’s</w:t>
            </w:r>
          </w:p>
        </w:tc>
        <w:tc>
          <w:tcPr/>
          <w:p>
            <w:pPr>
              <w:pStyle w:val="Compact"/>
            </w:pPr>
            <w:r>
              <w:t xml:space="preserve">MAO-B, LRRK2, GBA1, PDE10A</w:t>
            </w:r>
          </w:p>
        </w:tc>
        <w:tc>
          <w:tcPr/>
          <w:p>
            <w:pPr>
              <w:pStyle w:val="Compact"/>
            </w:pPr>
            <w:r>
              <w:t xml:space="preserve">MAO-B inhibition is established symptomatic therapy; LRRK2 and GBA1 are the commonest genetic risk loci</w:t>
            </w:r>
          </w:p>
        </w:tc>
      </w:tr>
      <w:tr>
        <w:tc>
          <w:tcPr/>
          <w:p>
            <w:pPr>
              <w:pStyle w:val="Compact"/>
            </w:pPr>
            <w:r>
              <w:t xml:space="preserve">Monoaminergic</w:t>
            </w:r>
          </w:p>
        </w:tc>
        <w:tc>
          <w:tcPr/>
          <w:p>
            <w:pPr>
              <w:pStyle w:val="Compact"/>
            </w:pPr>
            <w:r>
              <w:t xml:space="preserve">D2, D3, DAT, NET, SERT, 5-HT1A, 5-HT2A, 5-HT7, TAAR1</w:t>
            </w:r>
          </w:p>
        </w:tc>
        <w:tc>
          <w:tcPr/>
          <w:p>
            <w:pPr>
              <w:pStyle w:val="Compact"/>
            </w:pPr>
            <w:r>
              <w:t xml:space="preserve">Depression, psychosis and ADHD pharmacology is almost entirely monoaminergic</w:t>
            </w:r>
          </w:p>
        </w:tc>
      </w:tr>
      <w:tr>
        <w:tc>
          <w:tcPr/>
          <w:p>
            <w:pPr>
              <w:pStyle w:val="Compact"/>
            </w:pPr>
            <w:r>
              <w:t xml:space="preserve">Opioid, cannabinoid, sigma</w:t>
            </w:r>
          </w:p>
        </w:tc>
        <w:tc>
          <w:tcPr/>
          <w:p>
            <w:pPr>
              <w:pStyle w:val="Compact"/>
            </w:pPr>
            <w:r>
              <w:t xml:space="preserve">μ-opioid, κ-opioid, CB1, Sigma-1</w:t>
            </w:r>
          </w:p>
        </w:tc>
        <w:tc>
          <w:tcPr/>
          <w:p>
            <w:pPr>
              <w:pStyle w:val="Compact"/>
            </w:pPr>
            <w:r>
              <w:t xml:space="preserve">Analgesia and addiction liability</w:t>
            </w:r>
          </w:p>
        </w:tc>
      </w:tr>
      <w:tr>
        <w:tc>
          <w:tcPr/>
          <w:p>
            <w:pPr>
              <w:pStyle w:val="Compact"/>
            </w:pPr>
            <w:r>
              <w:t xml:space="preserve">Sleep and circadian</w:t>
            </w:r>
          </w:p>
        </w:tc>
        <w:tc>
          <w:tcPr/>
          <w:p>
            <w:pPr>
              <w:pStyle w:val="Compact"/>
            </w:pPr>
            <w:r>
              <w:t xml:space="preserve">OX1, OX2, MT1</w:t>
            </w:r>
          </w:p>
        </w:tc>
        <w:tc>
          <w:tcPr/>
          <w:p>
            <w:pPr>
              <w:pStyle w:val="Compact"/>
            </w:pPr>
            <w:r>
              <w:t xml:space="preserve">The orexin receptors are the target of the newest approved insomnia class</w:t>
            </w:r>
          </w:p>
        </w:tc>
      </w:tr>
      <w:tr>
        <w:tc>
          <w:tcPr/>
          <w:p>
            <w:pPr>
              <w:pStyle w:val="Compact"/>
            </w:pPr>
            <w:r>
              <w:t xml:space="preserve">Neuroinflammation</w:t>
            </w:r>
          </w:p>
        </w:tc>
        <w:tc>
          <w:tcPr/>
          <w:p>
            <w:pPr>
              <w:pStyle w:val="Compact"/>
            </w:pPr>
            <w:r>
              <w:t xml:space="preserve">NLRP3, P2X7, COX-2, CSF1R, RIPK1</w:t>
            </w:r>
          </w:p>
        </w:tc>
        <w:tc>
          <w:tcPr/>
          <w:p>
            <w:pPr>
              <w:pStyle w:val="Compact"/>
            </w:pPr>
            <w:r>
              <w:t xml:space="preserve">Implicated across several neurodegenerative conditions rather than tied to one</w:t>
            </w:r>
          </w:p>
        </w:tc>
      </w:tr>
      <w:tr>
        <w:tc>
          <w:tcPr/>
          <w:p>
            <w:pPr>
              <w:pStyle w:val="Compact"/>
            </w:pPr>
            <w:r>
              <w:t xml:space="preserve">Epigenetic, proteostasis</w:t>
            </w:r>
          </w:p>
        </w:tc>
        <w:tc>
          <w:tcPr/>
          <w:p>
            <w:pPr>
              <w:pStyle w:val="Compact"/>
            </w:pPr>
            <w:r>
              <w:t xml:space="preserve">HDAC1, HDAC6, SIRT1, mTOR, KEAP1</w:t>
            </w:r>
          </w:p>
        </w:tc>
        <w:tc>
          <w:tcPr/>
          <w:p>
            <w:pPr>
              <w:pStyle w:val="Compact"/>
            </w:pPr>
            <w:r>
              <w:t xml:space="preserve">HDAC removal modifies pathology in Huntington’s models; KEAP1-NRF2 is the antioxidant axis</w:t>
            </w:r>
          </w:p>
        </w:tc>
      </w:tr>
      <w:tr>
        <w:tc>
          <w:tcPr/>
          <w:p>
            <w:pPr>
              <w:pStyle w:val="Compact"/>
            </w:pPr>
            <w:r>
              <w:t xml:space="preserve">Glutamate, GABA</w:t>
            </w:r>
          </w:p>
        </w:tc>
        <w:tc>
          <w:tcPr/>
          <w:p>
            <w:pPr>
              <w:pStyle w:val="Compact"/>
            </w:pPr>
            <w:r>
              <w:t xml:space="preserve">GluN2B, mGluR5, GABA-A</w:t>
            </w:r>
          </w:p>
        </w:tc>
        <w:tc>
          <w:tcPr/>
          <w:p>
            <w:pPr>
              <w:pStyle w:val="Compact"/>
            </w:pPr>
            <w:r>
              <w:t xml:space="preserve">Excitotoxicity and seizure control</w:t>
            </w:r>
          </w:p>
        </w:tc>
      </w:tr>
      <w:tr>
        <w:tc>
          <w:tcPr/>
          <w:p>
            <w:pPr>
              <w:pStyle w:val="Compact"/>
            </w:pPr>
            <w:r>
              <w:t xml:space="preserve">Ion channels</w:t>
            </w:r>
          </w:p>
        </w:tc>
        <w:tc>
          <w:tcPr/>
          <w:p>
            <w:pPr>
              <w:pStyle w:val="Compact"/>
            </w:pPr>
            <w:r>
              <w:t xml:space="preserve">Nav1.5, Nav1.6, Nav1.7, Nav1.8, Cav3.2</w:t>
            </w:r>
          </w:p>
        </w:tc>
        <w:tc>
          <w:tcPr/>
          <w:p>
            <w:pPr>
              <w:pStyle w:val="Compact"/>
            </w:pPr>
            <w:r>
              <w:t xml:space="preserve">Pain-selective channels, plus Nav1.5 as a cardiac safety readout</w:t>
            </w:r>
          </w:p>
        </w:tc>
      </w:tr>
      <w:tr>
        <w:tc>
          <w:tcPr/>
          <w:p>
            <w:pPr>
              <w:pStyle w:val="Compact"/>
            </w:pPr>
            <w:r>
              <w:t xml:space="preserve">Migraine, MS</w:t>
            </w:r>
          </w:p>
        </w:tc>
        <w:tc>
          <w:tcPr/>
          <w:p>
            <w:pPr>
              <w:pStyle w:val="Compact"/>
            </w:pPr>
            <w:r>
              <w:t xml:space="preserve">CGRP receptor, DHODH</w:t>
            </w:r>
          </w:p>
        </w:tc>
        <w:tc>
          <w:tcPr/>
          <w:p>
            <w:pPr>
              <w:pStyle w:val="Compact"/>
            </w:pPr>
            <w:r>
              <w:t xml:space="preserve">Both have approved small-molecule agents acting on these targets</w:t>
            </w:r>
          </w:p>
        </w:tc>
      </w:tr>
      <w:tr>
        <w:tc>
          <w:tcPr/>
          <w:p>
            <w:pPr>
              <w:pStyle w:val="Compact"/>
            </w:pPr>
            <w:r>
              <w:t xml:space="preserve">Safety</w:t>
            </w:r>
          </w:p>
        </w:tc>
        <w:tc>
          <w:tcPr/>
          <w:p>
            <w:pPr>
              <w:pStyle w:val="Compact"/>
            </w:pPr>
            <w:r>
              <w:t xml:space="preserve">hERG</w:t>
            </w:r>
          </w:p>
        </w:tc>
        <w:tc>
          <w:tcPr/>
          <w:p>
            <w:pPr>
              <w:pStyle w:val="Compact"/>
            </w:pPr>
            <w:r>
              <w:t xml:space="preserve">A leading cause of late-stage cardiovascular attrition through QT prolongation</w:t>
            </w:r>
          </w:p>
        </w:tc>
      </w:tr>
    </w:tbl>
    <w:p>
      <w:pPr>
        <w:pStyle w:val="BodyText"/>
      </w:pPr>
      <w:r>
        <w:rPr>
          <w:b/>
          <w:bCs/>
        </w:rPr>
        <w:t xml:space="preserve">Correlation to drug discovery.</w:t>
      </w:r>
      <w:r>
        <w:t xml:space="preserve"> </w:t>
      </w:r>
      <w:r>
        <w:t xml:space="preserve">The panel answers the triage question a medicinal chemist asks</w:t>
      </w:r>
      <w:r>
        <w:t xml:space="preserve"> </w:t>
      </w:r>
      <w:r>
        <w:t xml:space="preserve">before committing bench time: of a set of compounds, which are worth making. That question is not</w:t>
      </w:r>
      <w:r>
        <w:t xml:space="preserve"> </w:t>
      </w:r>
      <w:r>
        <w:t xml:space="preserve">“what is the affinity”</w:t>
      </w:r>
      <w:r>
        <w:t xml:space="preserve"> </w:t>
      </w:r>
      <w:r>
        <w:t xml:space="preserve">but</w:t>
      </w:r>
      <w:r>
        <w:t xml:space="preserve"> </w:t>
      </w:r>
      <w:r>
        <w:t xml:space="preserve">“is there a mechanism, does the compound arrive, and is there a liability</w:t>
      </w:r>
      <w:r>
        <w:t xml:space="preserve"> </w:t>
      </w:r>
      <w:r>
        <w:t xml:space="preserve">that will kill it later”</w:t>
      </w:r>
      <w:r>
        <w:t xml:space="preserve">. Each of the four axes exists because attrition happens on it.</w:t>
      </w:r>
    </w:p>
    <w:p>
      <w:r>
        <w:pict>
          <v:rect style="width:0;height:1.5pt" o:hralign="center" o:hrstd="t" o:hr="t"/>
        </w:pict>
      </w:r>
    </w:p>
    <w:bookmarkEnd w:id="15"/>
    <w:bookmarkEnd w:id="16"/>
    <w:bookmarkStart w:id="31" w:name="algorithms-and-definitions"/>
    <w:p>
      <w:pPr>
        <w:pStyle w:val="Heading2"/>
      </w:pPr>
      <w:r>
        <w:t xml:space="preserve">3. Algorithms and definitions</w:t>
      </w:r>
    </w:p>
    <w:bookmarkStart w:id="17" w:name="representation"/>
    <w:p>
      <w:pPr>
        <w:pStyle w:val="Heading3"/>
      </w:pPr>
      <w:r>
        <w:t xml:space="preserve">3.1 Representation</w:t>
      </w:r>
    </w:p>
    <w:p>
      <w:pPr>
        <w:pStyle w:val="FirstParagraph"/>
      </w:pPr>
      <w:r>
        <w:t xml:space="preserve">Each compound is reduced to its largest organic fragment, neutralised, sanitised, and represented as</w:t>
      </w:r>
      <w:r>
        <w:t xml:space="preserve"> </w:t>
      </w:r>
      <w:r>
        <w:t xml:space="preserve">a fixed</w:t>
      </w:r>
      <w:r>
        <w:t xml:space="preserve"> </w:t>
      </w:r>
      <w:r>
        <w:rPr>
          <w:b/>
          <w:bCs/>
        </w:rPr>
        <w:t xml:space="preserve">1,036-column vector</w:t>
      </w:r>
      <w:r>
        <w:t xml:space="preserve">:</w:t>
      </w:r>
    </w:p>
    <w:p>
      <w:pPr>
        <w:pStyle w:val="Compact"/>
        <w:numPr>
          <w:ilvl w:val="0"/>
          <w:numId w:val="1002"/>
        </w:numPr>
      </w:pPr>
      <w:r>
        <w:rPr>
          <w:b/>
          <w:bCs/>
        </w:rPr>
        <w:t xml:space="preserve">1,024 bits</w:t>
      </w:r>
      <w:r>
        <w:t xml:space="preserve">: a folded ECFP-4 (Morgan, radius 2) fingerprint. Each bit records that</w:t>
      </w:r>
      <w:r>
        <w:t xml:space="preserve"> </w:t>
      </w:r>
      <w:r>
        <w:rPr>
          <w:i/>
          <w:iCs/>
        </w:rPr>
        <w:t xml:space="preserve">some</w:t>
      </w:r>
      <w:r>
        <w:t xml:space="preserve"> </w:t>
      </w:r>
      <w:r>
        <w:t xml:space="preserve">substructure environment hashing to that index is present. Folding means a set bit does not</w:t>
      </w:r>
      <w:r>
        <w:t xml:space="preserve"> </w:t>
      </w:r>
      <w:r>
        <w:t xml:space="preserve">identify which environment, only that one collided there.</w:t>
      </w:r>
    </w:p>
    <w:p>
      <w:pPr>
        <w:pStyle w:val="Compact"/>
        <w:numPr>
          <w:ilvl w:val="0"/>
          <w:numId w:val="1002"/>
        </w:numPr>
      </w:pPr>
      <w:r>
        <w:rPr>
          <w:b/>
          <w:bCs/>
        </w:rPr>
        <w:t xml:space="preserve">12 descriptors</w:t>
      </w:r>
      <w:r>
        <w:t xml:space="preserve">: molecular weight, cLogP, TPSA, hydrogen-bond donors, hydrogen-bond acceptors,</w:t>
      </w:r>
      <w:r>
        <w:t xml:space="preserve"> </w:t>
      </w:r>
      <w:r>
        <w:t xml:space="preserve">rotatable bonds, aromatic rings, fraction sp3, ring count, heavy atoms, formal charge, QED.</w:t>
      </w:r>
    </w:p>
    <w:p>
      <w:pPr>
        <w:pStyle w:val="FirstParagraph"/>
      </w:pPr>
      <w:r>
        <w:t xml:space="preserve">Chirality is excluded, so two enantiomers produce byte-identical rows. Rows identical in feature</w:t>
      </w:r>
      <w:r>
        <w:t xml:space="preserve"> </w:t>
      </w:r>
      <w:r>
        <w:t xml:space="preserve">space are therefore collapsed before any split; leaving them in place would put copies of one</w:t>
      </w:r>
      <w:r>
        <w:t xml:space="preserve"> </w:t>
      </w:r>
      <w:r>
        <w:t xml:space="preserve">compound on both sides of a fold.</w:t>
      </w:r>
    </w:p>
    <w:p>
      <w:pPr>
        <w:pStyle w:val="BodyText"/>
      </w:pPr>
      <w:r>
        <w:rPr>
          <w:b/>
          <w:bCs/>
        </w:rPr>
        <w:t xml:space="preserve">Neutralisation is part of the representation, not a detail.</w:t>
      </w:r>
      <w:r>
        <w:t xml:space="preserve"> </w:t>
      </w:r>
      <w:r>
        <w:t xml:space="preserve">Removing a counter-ion without it</w:t>
      </w:r>
      <w:r>
        <w:t xml:space="preserve"> </w:t>
      </w:r>
      <w:r>
        <w:t xml:space="preserve">leaves the parent carrying the charge the salt gave it. Measured on the models this server</w:t>
      </w:r>
      <w:r>
        <w:t xml:space="preserve"> </w:t>
      </w:r>
      <w:r>
        <w:t xml:space="preserve">previously deployed, haloperidol hydrochloride returned a barrier probability of 0.613 against 0.993</w:t>
      </w:r>
      <w:r>
        <w:t xml:space="preserve"> </w:t>
      </w:r>
      <w:r>
        <w:t xml:space="preserve">for the free base, and an hERG probability of 0.295 against 0.914 — a user who pasted the salt form</w:t>
      </w:r>
      <w:r>
        <w:t xml:space="preserve"> </w:t>
      </w:r>
      <w:r>
        <w:t xml:space="preserve">lost a cardiac liability flag on a compound that has one. Only protonation states are undone; a</w:t>
      </w:r>
      <w:r>
        <w:t xml:space="preserve"> </w:t>
      </w:r>
      <w:r>
        <w:t xml:space="preserve">permanent charge, such as a quaternary ammonium, is kept, because that charge is precisely what</w:t>
      </w:r>
      <w:r>
        <w:t xml:space="preserve"> </w:t>
      </w:r>
      <w:r>
        <w:t xml:space="preserve">stops such compounds crossing the barrier.</w:t>
      </w:r>
    </w:p>
    <w:bookmarkEnd w:id="17"/>
    <w:bookmarkStart w:id="24" w:name="how-one-endpoint-is-trained"/>
    <w:p>
      <w:pPr>
        <w:pStyle w:val="Heading3"/>
      </w:pPr>
      <w:r>
        <w:t xml:space="preserve">3.1.1 How one endpoint is trained</w:t>
      </w:r>
    </w:p>
    <w:p>
      <w:pPr>
        <w:pStyle w:val="FirstParagraph"/>
      </w:pPr>
      <w:r>
        <w:t xml:space="preserve">The pipeline is one chain, shown in two halves because it is fifteen steps long. The first half</w:t>
      </w:r>
      <w:r>
        <w:t xml:space="preserve"> </w:t>
      </w:r>
      <w:r>
        <w:t xml:space="preserve">turns raw deposited measurements into a labelled training table; the second turns that table into a</w:t>
      </w:r>
      <w:r>
        <w:t xml:space="preserve"> </w:t>
      </w:r>
      <w:r>
        <w:t xml:space="preserve">deployed endpoint, or withholds it.</w:t>
      </w:r>
    </w:p>
    <w:p>
      <w:pPr>
        <w:pStyle w:val="BodyText"/>
      </w:pPr>
      <w:r>
        <w:t xml:space="preserve">The two stages apply</w:t>
      </w:r>
      <w:r>
        <w:t xml:space="preserve"> </w:t>
      </w:r>
      <w:r>
        <w:rPr>
          <w:b/>
          <w:bCs/>
        </w:rPr>
        <w:t xml:space="preserve">different activity cuts to the same data, on purpose</w:t>
      </w:r>
      <w:r>
        <w:t xml:space="preserve">, and an earlier edition</w:t>
      </w:r>
      <w:r>
        <w:t xml:space="preserve"> </w:t>
      </w:r>
      <w:r>
        <w:t xml:space="preserve">of this diagram obscured that by showing one cut for both. Stage 1 admits a compound to the table at</w:t>
      </w:r>
      <w:r>
        <w:t xml:space="preserve"> </w:t>
      </w:r>
      <w:r>
        <w:t xml:space="preserve">pChEMBL 6.0, which is the conventional 1 micromolar line and the point below which a measurement</w:t>
      </w:r>
      <w:r>
        <w:t xml:space="preserve"> </w:t>
      </w:r>
      <w:r>
        <w:t xml:space="preserve">stops constraining much. Stage 2 asks a stricter question of that table: a binder classifier is</w:t>
      </w:r>
      <w:r>
        <w:t xml:space="preserve"> </w:t>
      </w:r>
      <w:r>
        <w:t xml:space="preserve">trained on the compounds at 7.0 and above, because the panel exists to identify engagement worth</w:t>
      </w:r>
      <w:r>
        <w:t xml:space="preserve"> </w:t>
      </w:r>
      <w:r>
        <w:t xml:space="preserve">acting on rather than any detectable affinity. Reading the stricter cut back onto Stage 1 would imply</w:t>
      </w:r>
      <w:r>
        <w:t xml:space="preserve"> </w:t>
      </w:r>
      <w:r>
        <w:t xml:space="preserve">a training table roughly forty per cent smaller than the one that exists: 64,419 of the 171,167</w:t>
      </w:r>
      <w:r>
        <w:t xml:space="preserve"> </w:t>
      </w:r>
      <w:r>
        <w:t xml:space="preserve">active rows lie between the two cuts.</w:t>
      </w:r>
    </w:p>
    <w:p>
      <w:pPr>
        <w:pStyle w:val="BodyText"/>
      </w:pPr>
      <w:r>
        <w:rPr>
          <w:b/>
          <w:bCs/>
        </w:rPr>
        <w:t xml:space="preserve">Stage 1: from deposited measurements to a labelled table.</w:t>
      </w:r>
      <w:r>
        <w:t xml:space="preserve"> </w:t>
      </w:r>
      <w:r>
        <w:rPr>
          <w:rStyle w:val="VerbatimChar"/>
        </w:rPr>
        <w:t xml:space="preserve">src/brainsafe/data/rebuild_endpoints.py</w:t>
      </w:r>
    </w:p>
    <w:p>
      <w:pPr>
        <w:pStyle w:val="CaptionedFigure"/>
      </w:pPr>
      <w:r>
        <w:drawing>
          <wp:inline>
            <wp:extent cx="3923999" cy="7367510"/>
            <wp:effectExtent b="0" l="0" r="0" t="0"/>
            <wp:docPr descr="Flowchart 1" title="" id="19" name="Picture"/>
            <a:graphic>
              <a:graphicData uri="http://schemas.openxmlformats.org/drawingml/2006/picture">
                <pic:pic>
                  <pic:nvPicPr>
                    <pic:cNvPr descr="_report_figures/flowchart_1.png" id="20" name="Picture"/>
                    <pic:cNvPicPr>
                      <a:picLocks noChangeArrowheads="1" noChangeAspect="1"/>
                    </pic:cNvPicPr>
                  </pic:nvPicPr>
                  <pic:blipFill>
                    <a:blip r:embed="rId18"/>
                    <a:stretch>
                      <a:fillRect/>
                    </a:stretch>
                  </pic:blipFill>
                  <pic:spPr bwMode="auto">
                    <a:xfrm>
                      <a:off x="0" y="0"/>
                      <a:ext cx="3923999" cy="7367510"/>
                    </a:xfrm>
                    <a:prstGeom prst="rect">
                      <a:avLst/>
                    </a:prstGeom>
                    <a:noFill/>
                    <a:ln w="9525">
                      <a:noFill/>
                      <a:headEnd/>
                      <a:tailEnd/>
                    </a:ln>
                  </pic:spPr>
                </pic:pic>
              </a:graphicData>
            </a:graphic>
          </wp:inline>
        </w:drawing>
      </w:r>
    </w:p>
    <w:p>
      <w:pPr>
        <w:pStyle w:val="ImageCaption"/>
      </w:pPr>
      <w:r>
        <w:t xml:space="preserve">Flowchart 1</w:t>
      </w:r>
    </w:p>
    <w:p>
      <w:pPr>
        <w:pStyle w:val="BodyText"/>
      </w:pPr>
      <w:r>
        <w:rPr>
          <w:b/>
          <w:bCs/>
        </w:rPr>
        <w:t xml:space="preserve">Stage 2: from the table to a deployed endpoint, or not.</w:t>
      </w:r>
      <w:r>
        <w:t xml:space="preserve"> </w:t>
      </w:r>
      <w:r>
        <w:rPr>
          <w:rStyle w:val="VerbatimChar"/>
        </w:rPr>
        <w:t xml:space="preserve">train_binders_hybrid.py</w:t>
      </w:r>
      <w:r>
        <w:t xml:space="preserve">, then the</w:t>
      </w:r>
      <w:r>
        <w:t xml:space="preserve"> </w:t>
      </w:r>
      <w:r>
        <w:t xml:space="preserve">four-step threshold sequence.</w:t>
      </w:r>
    </w:p>
    <w:p>
      <w:pPr>
        <w:pStyle w:val="CaptionedFigure"/>
      </w:pPr>
      <w:r>
        <w:drawing>
          <wp:inline>
            <wp:extent cx="1871999" cy="7390789"/>
            <wp:effectExtent b="0" l="0" r="0" t="0"/>
            <wp:docPr descr="Flowchart 2" title="" id="22" name="Picture"/>
            <a:graphic>
              <a:graphicData uri="http://schemas.openxmlformats.org/drawingml/2006/picture">
                <pic:pic>
                  <pic:nvPicPr>
                    <pic:cNvPr descr="_report_figures/flowchart_2.png" id="23" name="Picture"/>
                    <pic:cNvPicPr>
                      <a:picLocks noChangeArrowheads="1" noChangeAspect="1"/>
                    </pic:cNvPicPr>
                  </pic:nvPicPr>
                  <pic:blipFill>
                    <a:blip r:embed="rId21"/>
                    <a:stretch>
                      <a:fillRect/>
                    </a:stretch>
                  </pic:blipFill>
                  <pic:spPr bwMode="auto">
                    <a:xfrm>
                      <a:off x="0" y="0"/>
                      <a:ext cx="1871999" cy="7390789"/>
                    </a:xfrm>
                    <a:prstGeom prst="rect">
                      <a:avLst/>
                    </a:prstGeom>
                    <a:noFill/>
                    <a:ln w="9525">
                      <a:noFill/>
                      <a:headEnd/>
                      <a:tailEnd/>
                    </a:ln>
                  </pic:spPr>
                </pic:pic>
              </a:graphicData>
            </a:graphic>
          </wp:inline>
        </w:drawing>
      </w:r>
    </w:p>
    <w:p>
      <w:pPr>
        <w:pStyle w:val="ImageCaption"/>
      </w:pPr>
      <w:r>
        <w:t xml:space="preserve">Flowchart 2</w:t>
      </w:r>
    </w:p>
    <w:p>
      <w:pPr>
        <w:pStyle w:val="BodyText"/>
      </w:pPr>
      <w:r>
        <w:t xml:space="preserve">Every endpoint goes through this independently. Nothing crosses between them except the</w:t>
      </w:r>
      <w:r>
        <w:t xml:space="preserve"> </w:t>
      </w:r>
      <w:r>
        <w:t xml:space="preserve">featurisation, which is identical by construction.</w:t>
      </w:r>
    </w:p>
    <w:bookmarkEnd w:id="24"/>
    <w:bookmarkStart w:id="25" w:name="the-estimator"/>
    <w:p>
      <w:pPr>
        <w:pStyle w:val="Heading3"/>
      </w:pPr>
      <w:r>
        <w:t xml:space="preserve">3.2 The estimator</w:t>
      </w:r>
    </w:p>
    <w:p>
      <w:pPr>
        <w:pStyle w:val="FirstParagraph"/>
      </w:pPr>
      <w:r>
        <w:t xml:space="preserve">A</w:t>
      </w:r>
      <w:r>
        <w:t xml:space="preserve"> </w:t>
      </w:r>
      <w:r>
        <w:rPr>
          <w:b/>
          <w:bCs/>
        </w:rPr>
        <w:t xml:space="preserve">random forest</w:t>
      </w:r>
      <w:r>
        <w:t xml:space="preserve"> </w:t>
      </w:r>
      <w:r>
        <w:t xml:space="preserve">of 300 trees per endpoint,</w:t>
      </w:r>
      <w:r>
        <w:t xml:space="preserve"> </w:t>
      </w:r>
      <w:r>
        <w:rPr>
          <w:rStyle w:val="VerbatimChar"/>
        </w:rPr>
        <w:t xml:space="preserve">min_samples_leaf</w:t>
      </w:r>
      <w:r>
        <w:t xml:space="preserve"> </w:t>
      </w:r>
      <w:r>
        <w:t xml:space="preserve">2 for the core classifiers and 4</w:t>
      </w:r>
      <w:r>
        <w:t xml:space="preserve"> </w:t>
      </w:r>
      <w:r>
        <w:t xml:space="preserve">for the binder panel,</w:t>
      </w:r>
      <w:r>
        <w:t xml:space="preserve"> </w:t>
      </w:r>
      <w:r>
        <w:rPr>
          <w:rStyle w:val="VerbatimChar"/>
        </w:rPr>
        <w:t xml:space="preserve">class_weight="balanced"</w:t>
      </w:r>
      <w:r>
        <w:t xml:space="preserve">,</w:t>
      </w:r>
      <w:r>
        <w:t xml:space="preserve"> </w:t>
      </w:r>
      <w:r>
        <w:rPr>
          <w:rStyle w:val="VerbatimChar"/>
        </w:rPr>
        <w:t xml:space="preserve">random_state=42</w:t>
      </w:r>
      <w:r>
        <w:t xml:space="preserve">.</w:t>
      </w:r>
    </w:p>
    <w:p>
      <w:pPr>
        <w:pStyle w:val="BodyText"/>
      </w:pPr>
      <w:r>
        <w:t xml:space="preserve">A random forest is an ensemble of decision trees, each grown on a bootstrap resample of the training</w:t>
      </w:r>
      <w:r>
        <w:t xml:space="preserve"> </w:t>
      </w:r>
      <w:r>
        <w:t xml:space="preserve">rows and, at each split, choosing among a random subset of features. Averaging their votes reduces</w:t>
      </w:r>
      <w:r>
        <w:t xml:space="preserve"> </w:t>
      </w:r>
      <w:r>
        <w:t xml:space="preserve">the variance a single deep tree would have. It suits this problem for three reasons: it handles a</w:t>
      </w:r>
      <w:r>
        <w:t xml:space="preserve"> </w:t>
      </w:r>
      <w:r>
        <w:t xml:space="preserve">sparse binary fingerprint beside twelve continuous descriptors without scaling; it does not</w:t>
      </w:r>
      <w:r>
        <w:t xml:space="preserve"> </w:t>
      </w:r>
      <w:r>
        <w:t xml:space="preserve">extrapolate, which is the correct behaviour when a query is unlike anything measured; and it is</w:t>
      </w:r>
      <w:r>
        <w:t xml:space="preserve"> </w:t>
      </w:r>
      <w:r>
        <w:t xml:space="preserve">exactly explainable by TreeSHAP rather than approximately.</w:t>
      </w:r>
    </w:p>
    <w:bookmarkEnd w:id="25"/>
    <w:bookmarkStart w:id="26" w:name="calibration"/>
    <w:p>
      <w:pPr>
        <w:pStyle w:val="Heading3"/>
      </w:pPr>
      <w:r>
        <w:t xml:space="preserve">3.3 Calibration</w:t>
      </w:r>
    </w:p>
    <w:p>
      <w:pPr>
        <w:pStyle w:val="FirstParagraph"/>
      </w:pPr>
      <w:r>
        <w:t xml:space="preserve">A forest’s vote share is not a probability. Calibration maps it to one.</w:t>
      </w:r>
    </w:p>
    <w:p>
      <w:pPr>
        <w:pStyle w:val="Compact"/>
        <w:numPr>
          <w:ilvl w:val="0"/>
          <w:numId w:val="1003"/>
        </w:numPr>
      </w:pPr>
      <w:r>
        <w:rPr>
          <w:b/>
          <w:bCs/>
        </w:rPr>
        <w:t xml:space="preserve">Core classifiers</w:t>
      </w:r>
      <w:r>
        <w:t xml:space="preserve"> </w:t>
      </w:r>
      <w:r>
        <w:t xml:space="preserve">use</w:t>
      </w:r>
      <w:r>
        <w:t xml:space="preserve"> </w:t>
      </w:r>
      <w:r>
        <w:rPr>
          <w:b/>
          <w:bCs/>
        </w:rPr>
        <w:t xml:space="preserve">isotonic regression</w:t>
      </w:r>
      <w:r>
        <w:t xml:space="preserve"> </w:t>
      </w:r>
      <w:r>
        <w:t xml:space="preserve">fitted on out-of-fold predictions, so no compound</w:t>
      </w:r>
      <w:r>
        <w:t xml:space="preserve"> </w:t>
      </w:r>
      <w:r>
        <w:t xml:space="preserve">contributes to the calibrator that scores it. Isotonic fits a free monotonic step function.</w:t>
      </w:r>
    </w:p>
    <w:p>
      <w:pPr>
        <w:pStyle w:val="Compact"/>
        <w:numPr>
          <w:ilvl w:val="0"/>
          <w:numId w:val="1003"/>
        </w:numPr>
      </w:pPr>
      <w:r>
        <w:rPr>
          <w:b/>
          <w:bCs/>
        </w:rPr>
        <w:t xml:space="preserve">Binder models</w:t>
      </w:r>
      <w:r>
        <w:t xml:space="preserve"> </w:t>
      </w:r>
      <w:r>
        <w:t xml:space="preserve">use</w:t>
      </w:r>
      <w:r>
        <w:t xml:space="preserve"> </w:t>
      </w:r>
      <w:r>
        <w:rPr>
          <w:b/>
          <w:bCs/>
        </w:rPr>
        <w:t xml:space="preserve">Platt scaling</w:t>
      </w:r>
      <w:r>
        <w:t xml:space="preserve"> </w:t>
      </w:r>
      <w:r>
        <w:t xml:space="preserve">(a logistic fit), because the withheld set for one target</w:t>
      </w:r>
      <w:r>
        <w:t xml:space="preserve"> </w:t>
      </w:r>
      <w:r>
        <w:t xml:space="preserve">is often too small to fit a step function without overfitting it.</w:t>
      </w:r>
    </w:p>
    <w:p>
      <w:pPr>
        <w:pStyle w:val="FirstParagraph"/>
      </w:pPr>
      <w:r>
        <w:t xml:space="preserve">Measured over the 8 measured-label classifiers, mean expected calibration error falls</w:t>
      </w:r>
      <w:r>
        <w:t xml:space="preserve"> </w:t>
      </w:r>
      <w:r>
        <w:t xml:space="preserve">from</w:t>
      </w:r>
      <w:r>
        <w:t xml:space="preserve"> </w:t>
      </w:r>
      <w:r>
        <w:rPr>
          <w:b/>
          <w:bCs/>
        </w:rPr>
        <w:t xml:space="preserve">0.0801</w:t>
      </w:r>
      <w:r>
        <w:t xml:space="preserve"> </w:t>
      </w:r>
      <w:r>
        <w:t xml:space="preserve">raw to</w:t>
      </w:r>
      <w:r>
        <w:t xml:space="preserve"> </w:t>
      </w:r>
      <w:r>
        <w:rPr>
          <w:b/>
          <w:bCs/>
        </w:rPr>
        <w:t xml:space="preserve">0.0147</w:t>
      </w:r>
      <w:r>
        <w:t xml:space="preserve"> </w:t>
      </w:r>
      <w:r>
        <w:t xml:space="preserve">after isotonic</w:t>
      </w:r>
      <w:r>
        <w:t xml:space="preserve"> </w:t>
      </w:r>
      <w:r>
        <w:t xml:space="preserve">calibration.</w:t>
      </w:r>
    </w:p>
    <w:tbl>
      <w:tblPr>
        <w:tblStyle w:val="Table"/>
        <w:tblW w:type="auto" w:w="0"/>
        <w:jc w:val="center"/>
        <w:tblLayout w:type="autofit"/>
        <w:tblLook w:firstRow="1" w:lastRow="0" w:firstColumn="0" w:lastColumn="0" w:noHBand="0" w:noVBand="0" w:val="0020"/>
        <w:tblLayout w:type="autofit"/>
      </w:tblPr>
      <w:tblGrid>
        <w:gridCol w:w="1584"/>
        <w:gridCol w:w="1584"/>
        <w:gridCol w:w="1584"/>
        <w:gridCol w:w="1584"/>
        <w:gridCol w:w="1584"/>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brier_raw</w:t>
            </w:r>
          </w:p>
        </w:tc>
        <w:tc>
          <w:tcPr>
            <w:shd w:val="clear" w:fill="EAF0F7"/>
          </w:tcPr>
          <w:p>
            <w:pPr>
              <w:pStyle w:val="Compact"/>
            </w:pPr>
            <w:r>
              <w:rPr>
                <w:b/>
                <w:sz w:val="17"/>
              </w:rPr>
              <w:t xml:space="preserve">brier_calibrated</w:t>
            </w:r>
          </w:p>
        </w:tc>
        <w:tc>
          <w:tcPr>
            <w:shd w:val="clear" w:fill="EAF0F7"/>
          </w:tcPr>
          <w:p>
            <w:pPr>
              <w:pStyle w:val="Compact"/>
            </w:pPr>
            <w:r>
              <w:rPr>
                <w:b/>
                <w:sz w:val="17"/>
              </w:rPr>
              <w:t xml:space="preserve">ece_raw</w:t>
            </w:r>
          </w:p>
        </w:tc>
        <w:tc>
          <w:tcPr>
            <w:shd w:val="clear" w:fill="EAF0F7"/>
          </w:tcPr>
          <w:p>
            <w:pPr>
              <w:pStyle w:val="Compact"/>
            </w:pPr>
            <w:r>
              <w:rPr>
                <w:b/>
                <w:sz w:val="17"/>
              </w:rPr>
              <w:t xml:space="preserve">ece_calibrated</w:t>
            </w:r>
          </w:p>
        </w:tc>
      </w:tr>
      <w:tr>
        <w:tc>
          <w:tcPr/>
          <w:p>
            <w:pPr>
              <w:pStyle w:val="Compact"/>
            </w:pPr>
            <w:r>
              <w:t xml:space="preserve">BBB</w:t>
            </w:r>
          </w:p>
        </w:tc>
        <w:tc>
          <w:tcPr/>
          <w:p>
            <w:pPr>
              <w:pStyle w:val="Compact"/>
            </w:pPr>
            <w:r>
              <w:t xml:space="preserve">0.1289</w:t>
            </w:r>
          </w:p>
        </w:tc>
        <w:tc>
          <w:tcPr/>
          <w:p>
            <w:pPr>
              <w:pStyle w:val="Compact"/>
            </w:pPr>
            <w:r>
              <w:t xml:space="preserve">0.1358</w:t>
            </w:r>
          </w:p>
        </w:tc>
        <w:tc>
          <w:tcPr/>
          <w:p>
            <w:pPr>
              <w:pStyle w:val="Compact"/>
            </w:pPr>
            <w:r>
              <w:t xml:space="preserve">0.0657</w:t>
            </w:r>
          </w:p>
        </w:tc>
        <w:tc>
          <w:tcPr/>
          <w:p>
            <w:pPr>
              <w:pStyle w:val="Compact"/>
            </w:pPr>
            <w:r>
              <w:t xml:space="preserve">0.0412</w:t>
            </w:r>
          </w:p>
        </w:tc>
      </w:tr>
      <w:tr>
        <w:tc>
          <w:tcPr/>
          <w:p>
            <w:pPr>
              <w:pStyle w:val="Compact"/>
            </w:pPr>
            <w:r>
              <w:t xml:space="preserve">AChE</w:t>
            </w:r>
          </w:p>
        </w:tc>
        <w:tc>
          <w:tcPr/>
          <w:p>
            <w:pPr>
              <w:pStyle w:val="Compact"/>
            </w:pPr>
            <w:r>
              <w:t xml:space="preserve">0.081</w:t>
            </w:r>
          </w:p>
        </w:tc>
        <w:tc>
          <w:tcPr/>
          <w:p>
            <w:pPr>
              <w:pStyle w:val="Compact"/>
            </w:pPr>
            <w:r>
              <w:t xml:space="preserve">0.0702</w:t>
            </w:r>
          </w:p>
        </w:tc>
        <w:tc>
          <w:tcPr/>
          <w:p>
            <w:pPr>
              <w:pStyle w:val="Compact"/>
            </w:pPr>
            <w:r>
              <w:t xml:space="preserve">0.0942</w:t>
            </w:r>
          </w:p>
        </w:tc>
        <w:tc>
          <w:tcPr/>
          <w:p>
            <w:pPr>
              <w:pStyle w:val="Compact"/>
            </w:pPr>
            <w:r>
              <w:t xml:space="preserve">0.011</w:t>
            </w:r>
          </w:p>
        </w:tc>
      </w:tr>
      <w:tr>
        <w:tc>
          <w:tcPr/>
          <w:p>
            <w:pPr>
              <w:pStyle w:val="Compact"/>
            </w:pPr>
            <w:r>
              <w:t xml:space="preserve">BChE</w:t>
            </w:r>
          </w:p>
        </w:tc>
        <w:tc>
          <w:tcPr/>
          <w:p>
            <w:pPr>
              <w:pStyle w:val="Compact"/>
            </w:pPr>
            <w:r>
              <w:t xml:space="preserve">0.0708</w:t>
            </w:r>
          </w:p>
        </w:tc>
        <w:tc>
          <w:tcPr/>
          <w:p>
            <w:pPr>
              <w:pStyle w:val="Compact"/>
            </w:pPr>
            <w:r>
              <w:t xml:space="preserve">0.0647</w:t>
            </w:r>
          </w:p>
        </w:tc>
        <w:tc>
          <w:tcPr/>
          <w:p>
            <w:pPr>
              <w:pStyle w:val="Compact"/>
            </w:pPr>
            <w:r>
              <w:t xml:space="preserve">0.0735</w:t>
            </w:r>
          </w:p>
        </w:tc>
        <w:tc>
          <w:tcPr/>
          <w:p>
            <w:pPr>
              <w:pStyle w:val="Compact"/>
            </w:pPr>
            <w:r>
              <w:t xml:space="preserve">0.0127</w:t>
            </w:r>
          </w:p>
        </w:tc>
      </w:tr>
      <w:tr>
        <w:tc>
          <w:tcPr/>
          <w:p>
            <w:pPr>
              <w:pStyle w:val="Compact"/>
            </w:pPr>
            <w:r>
              <w:t xml:space="preserve">BACE1</w:t>
            </w:r>
          </w:p>
        </w:tc>
        <w:tc>
          <w:tcPr/>
          <w:p>
            <w:pPr>
              <w:pStyle w:val="Compact"/>
            </w:pPr>
            <w:r>
              <w:t xml:space="preserve">0.0397</w:t>
            </w:r>
          </w:p>
        </w:tc>
        <w:tc>
          <w:tcPr/>
          <w:p>
            <w:pPr>
              <w:pStyle w:val="Compact"/>
            </w:pPr>
            <w:r>
              <w:t xml:space="preserve">0.0358</w:t>
            </w:r>
          </w:p>
        </w:tc>
        <w:tc>
          <w:tcPr/>
          <w:p>
            <w:pPr>
              <w:pStyle w:val="Compact"/>
            </w:pPr>
            <w:r>
              <w:t xml:space="preserve">0.0497</w:t>
            </w:r>
          </w:p>
        </w:tc>
        <w:tc>
          <w:tcPr/>
          <w:p>
            <w:pPr>
              <w:pStyle w:val="Compact"/>
            </w:pPr>
            <w:r>
              <w:t xml:space="preserve">0.0049</w:t>
            </w:r>
          </w:p>
        </w:tc>
      </w:tr>
      <w:tr>
        <w:tc>
          <w:tcPr/>
          <w:p>
            <w:pPr>
              <w:pStyle w:val="Compact"/>
            </w:pPr>
            <w:r>
              <w:t xml:space="preserve">GSK3B</w:t>
            </w:r>
          </w:p>
        </w:tc>
        <w:tc>
          <w:tcPr/>
          <w:p>
            <w:pPr>
              <w:pStyle w:val="Compact"/>
            </w:pPr>
            <w:r>
              <w:t xml:space="preserve">0.0734</w:t>
            </w:r>
          </w:p>
        </w:tc>
        <w:tc>
          <w:tcPr/>
          <w:p>
            <w:pPr>
              <w:pStyle w:val="Compact"/>
            </w:pPr>
            <w:r>
              <w:t xml:space="preserve">0.0669</w:t>
            </w:r>
          </w:p>
        </w:tc>
        <w:tc>
          <w:tcPr/>
          <w:p>
            <w:pPr>
              <w:pStyle w:val="Compact"/>
            </w:pPr>
            <w:r>
              <w:t xml:space="preserve">0.0847</w:t>
            </w:r>
          </w:p>
        </w:tc>
        <w:tc>
          <w:tcPr/>
          <w:p>
            <w:pPr>
              <w:pStyle w:val="Compact"/>
            </w:pPr>
            <w:r>
              <w:t xml:space="preserve">0.0175</w:t>
            </w:r>
          </w:p>
        </w:tc>
      </w:tr>
      <w:tr>
        <w:tc>
          <w:tcPr/>
          <w:p>
            <w:pPr>
              <w:pStyle w:val="Compact"/>
            </w:pPr>
            <w:r>
              <w:t xml:space="preserve">MAO_A</w:t>
            </w:r>
          </w:p>
        </w:tc>
        <w:tc>
          <w:tcPr/>
          <w:p>
            <w:pPr>
              <w:pStyle w:val="Compact"/>
            </w:pPr>
            <w:r>
              <w:t xml:space="preserve">0.0709</w:t>
            </w:r>
          </w:p>
        </w:tc>
        <w:tc>
          <w:tcPr/>
          <w:p>
            <w:pPr>
              <w:pStyle w:val="Compact"/>
            </w:pPr>
            <w:r>
              <w:t xml:space="preserve">0.0609</w:t>
            </w:r>
          </w:p>
        </w:tc>
        <w:tc>
          <w:tcPr/>
          <w:p>
            <w:pPr>
              <w:pStyle w:val="Compact"/>
            </w:pPr>
            <w:r>
              <w:t xml:space="preserve">0.094</w:t>
            </w:r>
          </w:p>
        </w:tc>
        <w:tc>
          <w:tcPr/>
          <w:p>
            <w:pPr>
              <w:pStyle w:val="Compact"/>
            </w:pPr>
            <w:r>
              <w:t xml:space="preserve">0.0089</w:t>
            </w:r>
          </w:p>
        </w:tc>
      </w:tr>
      <w:tr>
        <w:tc>
          <w:tcPr/>
          <w:p>
            <w:pPr>
              <w:pStyle w:val="Compact"/>
            </w:pPr>
            <w:r>
              <w:t xml:space="preserve">MAO_B</w:t>
            </w:r>
          </w:p>
        </w:tc>
        <w:tc>
          <w:tcPr/>
          <w:p>
            <w:pPr>
              <w:pStyle w:val="Compact"/>
            </w:pPr>
            <w:r>
              <w:t xml:space="preserve">0.0848</w:t>
            </w:r>
          </w:p>
        </w:tc>
        <w:tc>
          <w:tcPr/>
          <w:p>
            <w:pPr>
              <w:pStyle w:val="Compact"/>
            </w:pPr>
            <w:r>
              <w:t xml:space="preserve">0.077</w:t>
            </w:r>
          </w:p>
        </w:tc>
        <w:tc>
          <w:tcPr/>
          <w:p>
            <w:pPr>
              <w:pStyle w:val="Compact"/>
            </w:pPr>
            <w:r>
              <w:t xml:space="preserve">0.0881</w:t>
            </w:r>
          </w:p>
        </w:tc>
        <w:tc>
          <w:tcPr/>
          <w:p>
            <w:pPr>
              <w:pStyle w:val="Compact"/>
            </w:pPr>
            <w:r>
              <w:t xml:space="preserve">0.0148</w:t>
            </w:r>
          </w:p>
        </w:tc>
      </w:tr>
      <w:tr>
        <w:tc>
          <w:tcPr/>
          <w:p>
            <w:pPr>
              <w:pStyle w:val="Compact"/>
            </w:pPr>
            <w:r>
              <w:t xml:space="preserve">hERG</w:t>
            </w:r>
          </w:p>
        </w:tc>
        <w:tc>
          <w:tcPr/>
          <w:p>
            <w:pPr>
              <w:pStyle w:val="Compact"/>
            </w:pPr>
            <w:r>
              <w:t xml:space="preserve">0.0717</w:t>
            </w:r>
          </w:p>
        </w:tc>
        <w:tc>
          <w:tcPr/>
          <w:p>
            <w:pPr>
              <w:pStyle w:val="Compact"/>
            </w:pPr>
            <w:r>
              <w:t xml:space="preserve">0.0632</w:t>
            </w:r>
          </w:p>
        </w:tc>
        <w:tc>
          <w:tcPr/>
          <w:p>
            <w:pPr>
              <w:pStyle w:val="Compact"/>
            </w:pPr>
            <w:r>
              <w:t xml:space="preserve">0.0911</w:t>
            </w:r>
          </w:p>
        </w:tc>
        <w:tc>
          <w:tcPr/>
          <w:p>
            <w:pPr>
              <w:pStyle w:val="Compact"/>
            </w:pPr>
            <w:r>
              <w:t xml:space="preserve">0.0069</w:t>
            </w:r>
          </w:p>
        </w:tc>
      </w:tr>
    </w:tbl>
    <w:bookmarkEnd w:id="26"/>
    <w:bookmarkStart w:id="27" w:name="conformal-prediction"/>
    <w:p>
      <w:pPr>
        <w:pStyle w:val="Heading3"/>
      </w:pPr>
      <w:r>
        <w:t xml:space="preserve">3.4 Conformal prediction</w:t>
      </w:r>
    </w:p>
    <w:p>
      <w:pPr>
        <w:pStyle w:val="FirstParagraph"/>
      </w:pPr>
      <w:r>
        <w:t xml:space="preserve">A calibrated probability still says nothing about how confident the model is</w:t>
      </w:r>
      <w:r>
        <w:t xml:space="preserve"> </w:t>
      </w:r>
      <w:r>
        <w:rPr>
          <w:i/>
          <w:iCs/>
        </w:rPr>
        <w:t xml:space="preserve">for this compound</w:t>
      </w:r>
      <w:r>
        <w:t xml:space="preserve">. A</w:t>
      </w:r>
      <w:r>
        <w:t xml:space="preserve"> </w:t>
      </w:r>
      <w:r>
        <w:rPr>
          <w:b/>
          <w:bCs/>
        </w:rPr>
        <w:t xml:space="preserve">Mondrian conformal predictor</w:t>
      </w:r>
      <w:r>
        <w:t xml:space="preserve"> </w:t>
      </w:r>
      <w:r>
        <w:t xml:space="preserve">converts the applicability domain from a caveat into a coverage</w:t>
      </w:r>
      <w:r>
        <w:t xml:space="preserve"> </w:t>
      </w:r>
      <w:r>
        <w:t xml:space="preserve">statement: at a 0.90 target, the prediction set contains the truth about 90 per cent of the time,</w:t>
      </w:r>
      <w:r>
        <w:t xml:space="preserve"> </w:t>
      </w:r>
      <w:r>
        <w:t xml:space="preserve">and it is measured rather than assumed.</w:t>
      </w:r>
    </w:p>
    <w:p>
      <w:pPr>
        <w:pStyle w:val="BodyText"/>
      </w:pPr>
      <w:r>
        <w:t xml:space="preserve">Empirical coverage runs</w:t>
      </w:r>
      <w:r>
        <w:t xml:space="preserve"> </w:t>
      </w:r>
      <w:r>
        <w:rPr>
          <w:b/>
          <w:bCs/>
        </w:rPr>
        <w:t xml:space="preserve">0.876 to</w:t>
      </w:r>
      <w:r>
        <w:rPr>
          <w:b/>
          <w:bCs/>
        </w:rPr>
        <w:t xml:space="preserve"> </w:t>
      </w:r>
      <w:r>
        <w:rPr>
          <w:b/>
          <w:bCs/>
        </w:rPr>
        <w:t xml:space="preserve">0.933</w:t>
      </w:r>
      <w:r>
        <w:t xml:space="preserve"> </w:t>
      </w:r>
      <w:r>
        <w:t xml:space="preserve">against the 0.90 target.</w:t>
      </w:r>
    </w:p>
    <w:tbl>
      <w:tblPr>
        <w:tblStyle w:val="Table"/>
        <w:tblW w:type="pct" w:w="5000"/>
        <w:jc w:val="center"/>
        <w:tblLayout w:type="autofit"/>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split</w:t>
            </w:r>
          </w:p>
        </w:tc>
        <w:tc>
          <w:tcPr>
            <w:shd w:val="clear" w:fill="EAF0F7"/>
          </w:tcPr>
          <w:p>
            <w:pPr>
              <w:pStyle w:val="Compact"/>
            </w:pPr>
            <w:r>
              <w:rPr>
                <w:b/>
                <w:sz w:val="17"/>
              </w:rPr>
              <w:t xml:space="preserve">n_total</w:t>
            </w:r>
          </w:p>
        </w:tc>
        <w:tc>
          <w:tcPr>
            <w:shd w:val="clear" w:fill="EAF0F7"/>
          </w:tcPr>
          <w:p>
            <w:pPr>
              <w:pStyle w:val="Compact"/>
            </w:pPr>
            <w:r>
              <w:rPr>
                <w:b/>
                <w:sz w:val="17"/>
              </w:rPr>
              <w:t xml:space="preserve">n_test</w:t>
            </w:r>
          </w:p>
        </w:tc>
        <w:tc>
          <w:tcPr>
            <w:shd w:val="clear" w:fill="EAF0F7"/>
          </w:tcPr>
          <w:p>
            <w:pPr>
              <w:pStyle w:val="Compact"/>
            </w:pPr>
            <w:r>
              <w:rPr>
                <w:b/>
                <w:sz w:val="17"/>
              </w:rPr>
              <w:t xml:space="preserve">target_coverage</w:t>
            </w:r>
          </w:p>
        </w:tc>
        <w:tc>
          <w:tcPr>
            <w:shd w:val="clear" w:fill="EAF0F7"/>
          </w:tcPr>
          <w:p>
            <w:pPr>
              <w:pStyle w:val="Compact"/>
            </w:pPr>
            <w:r>
              <w:rPr>
                <w:b/>
                <w:sz w:val="17"/>
              </w:rPr>
              <w:t xml:space="preserve">empirical_coverage</w:t>
            </w:r>
          </w:p>
        </w:tc>
        <w:tc>
          <w:tcPr>
            <w:shd w:val="clear" w:fill="EAF0F7"/>
          </w:tcPr>
          <w:p>
            <w:pPr>
              <w:pStyle w:val="Compact"/>
            </w:pPr>
            <w:r>
              <w:rPr>
                <w:b/>
                <w:sz w:val="17"/>
              </w:rPr>
              <w:t xml:space="preserve">avg_set_size</w:t>
            </w:r>
          </w:p>
        </w:tc>
        <w:tc>
          <w:tcPr>
            <w:shd w:val="clear" w:fill="EAF0F7"/>
          </w:tcPr>
          <w:p>
            <w:pPr>
              <w:pStyle w:val="Compact"/>
            </w:pPr>
            <w:r>
              <w:rPr>
                <w:b/>
                <w:sz w:val="17"/>
              </w:rPr>
              <w:t xml:space="preserve">frac_ambiguous</w:t>
            </w:r>
          </w:p>
        </w:tc>
        <w:tc>
          <w:tcPr>
            <w:shd w:val="clear" w:fill="EAF0F7"/>
          </w:tcPr>
          <w:p>
            <w:pPr>
              <w:pStyle w:val="Compact"/>
            </w:pPr>
            <w:r>
              <w:rPr>
                <w:b/>
                <w:sz w:val="17"/>
              </w:rPr>
              <w:t xml:space="preserve">frac_empty</w:t>
            </w:r>
          </w:p>
        </w:tc>
        <w:tc>
          <w:tcPr>
            <w:shd w:val="clear" w:fill="EAF0F7"/>
          </w:tcPr>
          <w:p>
            <w:pPr>
              <w:pStyle w:val="Compact"/>
            </w:pPr>
            <w:r>
              <w:rPr>
                <w:b/>
                <w:sz w:val="17"/>
              </w:rPr>
              <w:t xml:space="preserve">frac_singleton</w:t>
            </w:r>
          </w:p>
        </w:tc>
      </w:tr>
      <w:tr>
        <w:tc>
          <w:tcPr/>
          <w:p>
            <w:pPr>
              <w:pStyle w:val="Compact"/>
            </w:pPr>
            <w:r>
              <w:rPr>
                <w:sz w:val="15"/>
              </w:rPr>
              <w:t xml:space="preserve">BBB</w:t>
            </w:r>
          </w:p>
        </w:tc>
        <w:tc>
          <w:tcPr/>
          <w:p>
            <w:pPr>
              <w:pStyle w:val="Compact"/>
            </w:pPr>
            <w:r>
              <w:rPr>
                <w:sz w:val="15"/>
              </w:rPr>
              <w:t xml:space="preserve">random</w:t>
            </w:r>
          </w:p>
        </w:tc>
        <w:tc>
          <w:tcPr/>
          <w:p>
            <w:pPr>
              <w:pStyle w:val="Compact"/>
            </w:pPr>
            <w:r>
              <w:rPr>
                <w:sz w:val="15"/>
              </w:rPr>
              <w:t xml:space="preserve">3901</w:t>
            </w:r>
          </w:p>
        </w:tc>
        <w:tc>
          <w:tcPr/>
          <w:p>
            <w:pPr>
              <w:pStyle w:val="Compact"/>
            </w:pPr>
            <w:r>
              <w:rPr>
                <w:sz w:val="15"/>
              </w:rPr>
              <w:t xml:space="preserve">781</w:t>
            </w:r>
          </w:p>
        </w:tc>
        <w:tc>
          <w:tcPr/>
          <w:p>
            <w:pPr>
              <w:pStyle w:val="Compact"/>
            </w:pPr>
            <w:r>
              <w:rPr>
                <w:sz w:val="15"/>
              </w:rPr>
              <w:t xml:space="preserve">0.9</w:t>
            </w:r>
          </w:p>
        </w:tc>
        <w:tc>
          <w:tcPr/>
          <w:p>
            <w:pPr>
              <w:pStyle w:val="Compact"/>
            </w:pPr>
            <w:r>
              <w:rPr>
                <w:sz w:val="15"/>
              </w:rPr>
              <w:t xml:space="preserve">0.896</w:t>
            </w:r>
          </w:p>
        </w:tc>
        <w:tc>
          <w:tcPr/>
          <w:p>
            <w:pPr>
              <w:pStyle w:val="Compact"/>
            </w:pPr>
            <w:r>
              <w:rPr>
                <w:sz w:val="15"/>
              </w:rPr>
              <w:t xml:space="preserve">1.215</w:t>
            </w:r>
          </w:p>
        </w:tc>
        <w:tc>
          <w:tcPr/>
          <w:p>
            <w:pPr>
              <w:pStyle w:val="Compact"/>
            </w:pPr>
            <w:r>
              <w:rPr>
                <w:sz w:val="15"/>
              </w:rPr>
              <w:t xml:space="preserve">0.215</w:t>
            </w:r>
          </w:p>
        </w:tc>
        <w:tc>
          <w:tcPr/>
          <w:p>
            <w:pPr>
              <w:pStyle w:val="Compact"/>
            </w:pPr>
            <w:r>
              <w:rPr>
                <w:sz w:val="15"/>
              </w:rPr>
              <w:t xml:space="preserve">0.0</w:t>
            </w:r>
          </w:p>
        </w:tc>
        <w:tc>
          <w:tcPr/>
          <w:p>
            <w:pPr>
              <w:pStyle w:val="Compact"/>
            </w:pPr>
            <w:r>
              <w:rPr>
                <w:sz w:val="15"/>
              </w:rPr>
              <w:t xml:space="preserve">0.785</w:t>
            </w:r>
          </w:p>
        </w:tc>
      </w:tr>
      <w:tr>
        <w:tc>
          <w:tcPr/>
          <w:p>
            <w:pPr>
              <w:pStyle w:val="Compact"/>
            </w:pPr>
            <w:r>
              <w:rPr>
                <w:sz w:val="15"/>
              </w:rPr>
              <w:t xml:space="preserve">AChE</w:t>
            </w:r>
          </w:p>
        </w:tc>
        <w:tc>
          <w:tcPr/>
          <w:p>
            <w:pPr>
              <w:pStyle w:val="Compact"/>
            </w:pPr>
            <w:r>
              <w:rPr>
                <w:sz w:val="15"/>
              </w:rPr>
              <w:t xml:space="preserve">random</w:t>
            </w:r>
          </w:p>
        </w:tc>
        <w:tc>
          <w:tcPr/>
          <w:p>
            <w:pPr>
              <w:pStyle w:val="Compact"/>
            </w:pPr>
            <w:r>
              <w:rPr>
                <w:sz w:val="15"/>
              </w:rPr>
              <w:t xml:space="preserve">5125</w:t>
            </w:r>
          </w:p>
        </w:tc>
        <w:tc>
          <w:tcPr/>
          <w:p>
            <w:pPr>
              <w:pStyle w:val="Compact"/>
            </w:pPr>
            <w:r>
              <w:rPr>
                <w:sz w:val="15"/>
              </w:rPr>
              <w:t xml:space="preserve">1025</w:t>
            </w:r>
          </w:p>
        </w:tc>
        <w:tc>
          <w:tcPr/>
          <w:p>
            <w:pPr>
              <w:pStyle w:val="Compact"/>
            </w:pPr>
            <w:r>
              <w:rPr>
                <w:sz w:val="15"/>
              </w:rPr>
              <w:t xml:space="preserve">0.9</w:t>
            </w:r>
          </w:p>
        </w:tc>
        <w:tc>
          <w:tcPr/>
          <w:p>
            <w:pPr>
              <w:pStyle w:val="Compact"/>
            </w:pPr>
            <w:r>
              <w:rPr>
                <w:sz w:val="15"/>
              </w:rPr>
              <w:t xml:space="preserve">0.933</w:t>
            </w:r>
          </w:p>
        </w:tc>
        <w:tc>
          <w:tcPr/>
          <w:p>
            <w:pPr>
              <w:pStyle w:val="Compact"/>
            </w:pPr>
            <w:r>
              <w:rPr>
                <w:sz w:val="15"/>
              </w:rPr>
              <w:t xml:space="preserve">1.045</w:t>
            </w:r>
          </w:p>
        </w:tc>
        <w:tc>
          <w:tcPr/>
          <w:p>
            <w:pPr>
              <w:pStyle w:val="Compact"/>
            </w:pPr>
            <w:r>
              <w:rPr>
                <w:sz w:val="15"/>
              </w:rPr>
              <w:t xml:space="preserve">0.045</w:t>
            </w:r>
          </w:p>
        </w:tc>
        <w:tc>
          <w:tcPr/>
          <w:p>
            <w:pPr>
              <w:pStyle w:val="Compact"/>
            </w:pPr>
            <w:r>
              <w:rPr>
                <w:sz w:val="15"/>
              </w:rPr>
              <w:t xml:space="preserve">0.0</w:t>
            </w:r>
          </w:p>
        </w:tc>
        <w:tc>
          <w:tcPr/>
          <w:p>
            <w:pPr>
              <w:pStyle w:val="Compact"/>
            </w:pPr>
            <w:r>
              <w:rPr>
                <w:sz w:val="15"/>
              </w:rPr>
              <w:t xml:space="preserve">0.955</w:t>
            </w:r>
          </w:p>
        </w:tc>
      </w:tr>
      <w:tr>
        <w:tc>
          <w:tcPr/>
          <w:p>
            <w:pPr>
              <w:pStyle w:val="Compact"/>
            </w:pPr>
            <w:r>
              <w:rPr>
                <w:sz w:val="15"/>
              </w:rPr>
              <w:t xml:space="preserve">BChE</w:t>
            </w:r>
          </w:p>
        </w:tc>
        <w:tc>
          <w:tcPr/>
          <w:p>
            <w:pPr>
              <w:pStyle w:val="Compact"/>
            </w:pPr>
            <w:r>
              <w:rPr>
                <w:sz w:val="15"/>
              </w:rPr>
              <w:t xml:space="preserve">random</w:t>
            </w:r>
          </w:p>
        </w:tc>
        <w:tc>
          <w:tcPr/>
          <w:p>
            <w:pPr>
              <w:pStyle w:val="Compact"/>
            </w:pPr>
            <w:r>
              <w:rPr>
                <w:sz w:val="15"/>
              </w:rPr>
              <w:t xml:space="preserve">3278</w:t>
            </w:r>
          </w:p>
        </w:tc>
        <w:tc>
          <w:tcPr/>
          <w:p>
            <w:pPr>
              <w:pStyle w:val="Compact"/>
            </w:pPr>
            <w:r>
              <w:rPr>
                <w:sz w:val="15"/>
              </w:rPr>
              <w:t xml:space="preserve">656</w:t>
            </w:r>
          </w:p>
        </w:tc>
        <w:tc>
          <w:tcPr/>
          <w:p>
            <w:pPr>
              <w:pStyle w:val="Compact"/>
            </w:pPr>
            <w:r>
              <w:rPr>
                <w:sz w:val="15"/>
              </w:rPr>
              <w:t xml:space="preserve">0.9</w:t>
            </w:r>
          </w:p>
        </w:tc>
        <w:tc>
          <w:tcPr/>
          <w:p>
            <w:pPr>
              <w:pStyle w:val="Compact"/>
            </w:pPr>
            <w:r>
              <w:rPr>
                <w:sz w:val="15"/>
              </w:rPr>
              <w:t xml:space="preserve">0.905</w:t>
            </w:r>
          </w:p>
        </w:tc>
        <w:tc>
          <w:tcPr/>
          <w:p>
            <w:pPr>
              <w:pStyle w:val="Compact"/>
            </w:pPr>
            <w:r>
              <w:rPr>
                <w:sz w:val="15"/>
              </w:rPr>
              <w:t xml:space="preserve">1.017</w:t>
            </w:r>
          </w:p>
        </w:tc>
        <w:tc>
          <w:tcPr/>
          <w:p>
            <w:pPr>
              <w:pStyle w:val="Compact"/>
            </w:pPr>
            <w:r>
              <w:rPr>
                <w:sz w:val="15"/>
              </w:rPr>
              <w:t xml:space="preserve">0.017</w:t>
            </w:r>
          </w:p>
        </w:tc>
        <w:tc>
          <w:tcPr/>
          <w:p>
            <w:pPr>
              <w:pStyle w:val="Compact"/>
            </w:pPr>
            <w:r>
              <w:rPr>
                <w:sz w:val="15"/>
              </w:rPr>
              <w:t xml:space="preserve">0.0</w:t>
            </w:r>
          </w:p>
        </w:tc>
        <w:tc>
          <w:tcPr/>
          <w:p>
            <w:pPr>
              <w:pStyle w:val="Compact"/>
            </w:pPr>
            <w:r>
              <w:rPr>
                <w:sz w:val="15"/>
              </w:rPr>
              <w:t xml:space="preserve">0.983</w:t>
            </w:r>
          </w:p>
        </w:tc>
      </w:tr>
      <w:tr>
        <w:tc>
          <w:tcPr/>
          <w:p>
            <w:pPr>
              <w:pStyle w:val="Compact"/>
            </w:pPr>
            <w:r>
              <w:rPr>
                <w:sz w:val="15"/>
              </w:rPr>
              <w:t xml:space="preserve">BACE1</w:t>
            </w:r>
          </w:p>
        </w:tc>
        <w:tc>
          <w:tcPr/>
          <w:p>
            <w:pPr>
              <w:pStyle w:val="Compact"/>
            </w:pPr>
            <w:r>
              <w:rPr>
                <w:sz w:val="15"/>
              </w:rPr>
              <w:t xml:space="preserve">random</w:t>
            </w:r>
          </w:p>
        </w:tc>
        <w:tc>
          <w:tcPr/>
          <w:p>
            <w:pPr>
              <w:pStyle w:val="Compact"/>
            </w:pPr>
            <w:r>
              <w:rPr>
                <w:sz w:val="15"/>
              </w:rPr>
              <w:t xml:space="preserve">8207</w:t>
            </w:r>
          </w:p>
        </w:tc>
        <w:tc>
          <w:tcPr/>
          <w:p>
            <w:pPr>
              <w:pStyle w:val="Compact"/>
            </w:pPr>
            <w:r>
              <w:rPr>
                <w:sz w:val="15"/>
              </w:rPr>
              <w:t xml:space="preserve">1642</w:t>
            </w:r>
          </w:p>
        </w:tc>
        <w:tc>
          <w:tcPr/>
          <w:p>
            <w:pPr>
              <w:pStyle w:val="Compact"/>
            </w:pPr>
            <w:r>
              <w:rPr>
                <w:sz w:val="15"/>
              </w:rPr>
              <w:t xml:space="preserve">0.9</w:t>
            </w:r>
          </w:p>
        </w:tc>
        <w:tc>
          <w:tcPr/>
          <w:p>
            <w:pPr>
              <w:pStyle w:val="Compact"/>
            </w:pPr>
            <w:r>
              <w:rPr>
                <w:sz w:val="15"/>
              </w:rPr>
              <w:t xml:space="preserve">0.887</w:t>
            </w:r>
          </w:p>
        </w:tc>
        <w:tc>
          <w:tcPr/>
          <w:p>
            <w:pPr>
              <w:pStyle w:val="Compact"/>
            </w:pPr>
            <w:r>
              <w:rPr>
                <w:sz w:val="15"/>
              </w:rPr>
              <w:t xml:space="preserve">0.956</w:t>
            </w:r>
          </w:p>
        </w:tc>
        <w:tc>
          <w:tcPr/>
          <w:p>
            <w:pPr>
              <w:pStyle w:val="Compact"/>
            </w:pPr>
            <w:r>
              <w:rPr>
                <w:sz w:val="15"/>
              </w:rPr>
              <w:t xml:space="preserve">0.0</w:t>
            </w:r>
          </w:p>
        </w:tc>
        <w:tc>
          <w:tcPr/>
          <w:p>
            <w:pPr>
              <w:pStyle w:val="Compact"/>
            </w:pPr>
            <w:r>
              <w:rPr>
                <w:sz w:val="15"/>
              </w:rPr>
              <w:t xml:space="preserve">0.044</w:t>
            </w:r>
          </w:p>
        </w:tc>
        <w:tc>
          <w:tcPr/>
          <w:p>
            <w:pPr>
              <w:pStyle w:val="Compact"/>
            </w:pPr>
            <w:r>
              <w:rPr>
                <w:sz w:val="15"/>
              </w:rPr>
              <w:t xml:space="preserve">0.956</w:t>
            </w:r>
          </w:p>
        </w:tc>
      </w:tr>
      <w:tr>
        <w:tc>
          <w:tcPr/>
          <w:p>
            <w:pPr>
              <w:pStyle w:val="Compact"/>
            </w:pPr>
            <w:r>
              <w:rPr>
                <w:sz w:val="15"/>
              </w:rPr>
              <w:t xml:space="preserve">GSK3B</w:t>
            </w:r>
          </w:p>
        </w:tc>
        <w:tc>
          <w:tcPr/>
          <w:p>
            <w:pPr>
              <w:pStyle w:val="Compact"/>
            </w:pPr>
            <w:r>
              <w:rPr>
                <w:sz w:val="15"/>
              </w:rPr>
              <w:t xml:space="preserve">random</w:t>
            </w:r>
          </w:p>
        </w:tc>
        <w:tc>
          <w:tcPr/>
          <w:p>
            <w:pPr>
              <w:pStyle w:val="Compact"/>
            </w:pPr>
            <w:r>
              <w:rPr>
                <w:sz w:val="15"/>
              </w:rPr>
              <w:t xml:space="preserve">5439</w:t>
            </w:r>
          </w:p>
        </w:tc>
        <w:tc>
          <w:tcPr/>
          <w:p>
            <w:pPr>
              <w:pStyle w:val="Compact"/>
            </w:pPr>
            <w:r>
              <w:rPr>
                <w:sz w:val="15"/>
              </w:rPr>
              <w:t xml:space="preserve">1088</w:t>
            </w:r>
          </w:p>
        </w:tc>
        <w:tc>
          <w:tcPr/>
          <w:p>
            <w:pPr>
              <w:pStyle w:val="Compact"/>
            </w:pPr>
            <w:r>
              <w:rPr>
                <w:sz w:val="15"/>
              </w:rPr>
              <w:t xml:space="preserve">0.9</w:t>
            </w:r>
          </w:p>
        </w:tc>
        <w:tc>
          <w:tcPr/>
          <w:p>
            <w:pPr>
              <w:pStyle w:val="Compact"/>
            </w:pPr>
            <w:r>
              <w:rPr>
                <w:sz w:val="15"/>
              </w:rPr>
              <w:t xml:space="preserve">0.876</w:t>
            </w:r>
          </w:p>
        </w:tc>
        <w:tc>
          <w:tcPr/>
          <w:p>
            <w:pPr>
              <w:pStyle w:val="Compact"/>
            </w:pPr>
            <w:r>
              <w:rPr>
                <w:sz w:val="15"/>
              </w:rPr>
              <w:t xml:space="preserve">0.991</w:t>
            </w:r>
          </w:p>
        </w:tc>
        <w:tc>
          <w:tcPr/>
          <w:p>
            <w:pPr>
              <w:pStyle w:val="Compact"/>
            </w:pPr>
            <w:r>
              <w:rPr>
                <w:sz w:val="15"/>
              </w:rPr>
              <w:t xml:space="preserve">0.0</w:t>
            </w:r>
          </w:p>
        </w:tc>
        <w:tc>
          <w:tcPr/>
          <w:p>
            <w:pPr>
              <w:pStyle w:val="Compact"/>
            </w:pPr>
            <w:r>
              <w:rPr>
                <w:sz w:val="15"/>
              </w:rPr>
              <w:t xml:space="preserve">0.009</w:t>
            </w:r>
          </w:p>
        </w:tc>
        <w:tc>
          <w:tcPr/>
          <w:p>
            <w:pPr>
              <w:pStyle w:val="Compact"/>
            </w:pPr>
            <w:r>
              <w:rPr>
                <w:sz w:val="15"/>
              </w:rPr>
              <w:t xml:space="preserve">0.991</w:t>
            </w:r>
          </w:p>
        </w:tc>
      </w:tr>
      <w:tr>
        <w:tc>
          <w:tcPr/>
          <w:p>
            <w:pPr>
              <w:pStyle w:val="Compact"/>
            </w:pPr>
            <w:r>
              <w:rPr>
                <w:sz w:val="15"/>
              </w:rPr>
              <w:t xml:space="preserve">MAO_A</w:t>
            </w:r>
          </w:p>
        </w:tc>
        <w:tc>
          <w:tcPr/>
          <w:p>
            <w:pPr>
              <w:pStyle w:val="Compact"/>
            </w:pPr>
            <w:r>
              <w:rPr>
                <w:sz w:val="15"/>
              </w:rPr>
              <w:t xml:space="preserve">random</w:t>
            </w:r>
          </w:p>
        </w:tc>
        <w:tc>
          <w:tcPr/>
          <w:p>
            <w:pPr>
              <w:pStyle w:val="Compact"/>
            </w:pPr>
            <w:r>
              <w:rPr>
                <w:sz w:val="15"/>
              </w:rPr>
              <w:t xml:space="preserve">3585</w:t>
            </w:r>
          </w:p>
        </w:tc>
        <w:tc>
          <w:tcPr/>
          <w:p>
            <w:pPr>
              <w:pStyle w:val="Compact"/>
            </w:pPr>
            <w:r>
              <w:rPr>
                <w:sz w:val="15"/>
              </w:rPr>
              <w:t xml:space="preserve">717</w:t>
            </w:r>
          </w:p>
        </w:tc>
        <w:tc>
          <w:tcPr/>
          <w:p>
            <w:pPr>
              <w:pStyle w:val="Compact"/>
            </w:pPr>
            <w:r>
              <w:rPr>
                <w:sz w:val="15"/>
              </w:rPr>
              <w:t xml:space="preserve">0.9</w:t>
            </w:r>
          </w:p>
        </w:tc>
        <w:tc>
          <w:tcPr/>
          <w:p>
            <w:pPr>
              <w:pStyle w:val="Compact"/>
            </w:pPr>
            <w:r>
              <w:rPr>
                <w:sz w:val="15"/>
              </w:rPr>
              <w:t xml:space="preserve">0.888</w:t>
            </w:r>
          </w:p>
        </w:tc>
        <w:tc>
          <w:tcPr/>
          <w:p>
            <w:pPr>
              <w:pStyle w:val="Compact"/>
            </w:pPr>
            <w:r>
              <w:rPr>
                <w:sz w:val="15"/>
              </w:rPr>
              <w:t xml:space="preserve">1.006</w:t>
            </w:r>
          </w:p>
        </w:tc>
        <w:tc>
          <w:tcPr/>
          <w:p>
            <w:pPr>
              <w:pStyle w:val="Compact"/>
            </w:pPr>
            <w:r>
              <w:rPr>
                <w:sz w:val="15"/>
              </w:rPr>
              <w:t xml:space="preserve">0.006</w:t>
            </w:r>
          </w:p>
        </w:tc>
        <w:tc>
          <w:tcPr/>
          <w:p>
            <w:pPr>
              <w:pStyle w:val="Compact"/>
            </w:pPr>
            <w:r>
              <w:rPr>
                <w:sz w:val="15"/>
              </w:rPr>
              <w:t xml:space="preserve">0.0</w:t>
            </w:r>
          </w:p>
        </w:tc>
        <w:tc>
          <w:tcPr/>
          <w:p>
            <w:pPr>
              <w:pStyle w:val="Compact"/>
            </w:pPr>
            <w:r>
              <w:rPr>
                <w:sz w:val="15"/>
              </w:rPr>
              <w:t xml:space="preserve">0.994</w:t>
            </w:r>
          </w:p>
        </w:tc>
      </w:tr>
      <w:tr>
        <w:tc>
          <w:tcPr/>
          <w:p>
            <w:pPr>
              <w:pStyle w:val="Compact"/>
            </w:pPr>
            <w:r>
              <w:rPr>
                <w:sz w:val="15"/>
              </w:rPr>
              <w:t xml:space="preserve">MAO_B</w:t>
            </w:r>
          </w:p>
        </w:tc>
        <w:tc>
          <w:tcPr/>
          <w:p>
            <w:pPr>
              <w:pStyle w:val="Compact"/>
            </w:pPr>
            <w:r>
              <w:rPr>
                <w:sz w:val="15"/>
              </w:rPr>
              <w:t xml:space="preserve">random</w:t>
            </w:r>
          </w:p>
        </w:tc>
        <w:tc>
          <w:tcPr/>
          <w:p>
            <w:pPr>
              <w:pStyle w:val="Compact"/>
            </w:pPr>
            <w:r>
              <w:rPr>
                <w:sz w:val="15"/>
              </w:rPr>
              <w:t xml:space="preserve">4534</w:t>
            </w:r>
          </w:p>
        </w:tc>
        <w:tc>
          <w:tcPr/>
          <w:p>
            <w:pPr>
              <w:pStyle w:val="Compact"/>
            </w:pPr>
            <w:r>
              <w:rPr>
                <w:sz w:val="15"/>
              </w:rPr>
              <w:t xml:space="preserve">907</w:t>
            </w:r>
          </w:p>
        </w:tc>
        <w:tc>
          <w:tcPr/>
          <w:p>
            <w:pPr>
              <w:pStyle w:val="Compact"/>
            </w:pPr>
            <w:r>
              <w:rPr>
                <w:sz w:val="15"/>
              </w:rPr>
              <w:t xml:space="preserve">0.9</w:t>
            </w:r>
          </w:p>
        </w:tc>
        <w:tc>
          <w:tcPr/>
          <w:p>
            <w:pPr>
              <w:pStyle w:val="Compact"/>
            </w:pPr>
            <w:r>
              <w:rPr>
                <w:sz w:val="15"/>
              </w:rPr>
              <w:t xml:space="preserve">0.914</w:t>
            </w:r>
          </w:p>
        </w:tc>
        <w:tc>
          <w:tcPr/>
          <w:p>
            <w:pPr>
              <w:pStyle w:val="Compact"/>
            </w:pPr>
            <w:r>
              <w:rPr>
                <w:sz w:val="15"/>
              </w:rPr>
              <w:t xml:space="preserve">1.052</w:t>
            </w:r>
          </w:p>
        </w:tc>
        <w:tc>
          <w:tcPr/>
          <w:p>
            <w:pPr>
              <w:pStyle w:val="Compact"/>
            </w:pPr>
            <w:r>
              <w:rPr>
                <w:sz w:val="15"/>
              </w:rPr>
              <w:t xml:space="preserve">0.052</w:t>
            </w:r>
          </w:p>
        </w:tc>
        <w:tc>
          <w:tcPr/>
          <w:p>
            <w:pPr>
              <w:pStyle w:val="Compact"/>
            </w:pPr>
            <w:r>
              <w:rPr>
                <w:sz w:val="15"/>
              </w:rPr>
              <w:t xml:space="preserve">0.0</w:t>
            </w:r>
          </w:p>
        </w:tc>
        <w:tc>
          <w:tcPr/>
          <w:p>
            <w:pPr>
              <w:pStyle w:val="Compact"/>
            </w:pPr>
            <w:r>
              <w:rPr>
                <w:sz w:val="15"/>
              </w:rPr>
              <w:t xml:space="preserve">0.948</w:t>
            </w:r>
          </w:p>
        </w:tc>
      </w:tr>
      <w:tr>
        <w:tc>
          <w:tcPr/>
          <w:p>
            <w:pPr>
              <w:pStyle w:val="Compact"/>
            </w:pPr>
            <w:r>
              <w:rPr>
                <w:sz w:val="15"/>
              </w:rPr>
              <w:t xml:space="preserve">hERG</w:t>
            </w:r>
          </w:p>
        </w:tc>
        <w:tc>
          <w:tcPr/>
          <w:p>
            <w:pPr>
              <w:pStyle w:val="Compact"/>
            </w:pPr>
            <w:r>
              <w:rPr>
                <w:sz w:val="15"/>
              </w:rPr>
              <w:t xml:space="preserve">random</w:t>
            </w:r>
          </w:p>
        </w:tc>
        <w:tc>
          <w:tcPr/>
          <w:p>
            <w:pPr>
              <w:pStyle w:val="Compact"/>
            </w:pPr>
            <w:r>
              <w:rPr>
                <w:sz w:val="15"/>
              </w:rPr>
              <w:t xml:space="preserve">9933</w:t>
            </w:r>
          </w:p>
        </w:tc>
        <w:tc>
          <w:tcPr/>
          <w:p>
            <w:pPr>
              <w:pStyle w:val="Compact"/>
            </w:pPr>
            <w:r>
              <w:rPr>
                <w:sz w:val="15"/>
              </w:rPr>
              <w:t xml:space="preserve">1987</w:t>
            </w:r>
          </w:p>
        </w:tc>
        <w:tc>
          <w:tcPr/>
          <w:p>
            <w:pPr>
              <w:pStyle w:val="Compact"/>
            </w:pPr>
            <w:r>
              <w:rPr>
                <w:sz w:val="15"/>
              </w:rPr>
              <w:t xml:space="preserve">0.9</w:t>
            </w:r>
          </w:p>
        </w:tc>
        <w:tc>
          <w:tcPr/>
          <w:p>
            <w:pPr>
              <w:pStyle w:val="Compact"/>
            </w:pPr>
            <w:r>
              <w:rPr>
                <w:sz w:val="15"/>
              </w:rPr>
              <w:t xml:space="preserve">0.903</w:t>
            </w:r>
          </w:p>
        </w:tc>
        <w:tc>
          <w:tcPr/>
          <w:p>
            <w:pPr>
              <w:pStyle w:val="Compact"/>
            </w:pPr>
            <w:r>
              <w:rPr>
                <w:sz w:val="15"/>
              </w:rPr>
              <w:t xml:space="preserve">1.094</w:t>
            </w:r>
          </w:p>
        </w:tc>
        <w:tc>
          <w:tcPr/>
          <w:p>
            <w:pPr>
              <w:pStyle w:val="Compact"/>
            </w:pPr>
            <w:r>
              <w:rPr>
                <w:sz w:val="15"/>
              </w:rPr>
              <w:t xml:space="preserve">0.094</w:t>
            </w:r>
          </w:p>
        </w:tc>
        <w:tc>
          <w:tcPr/>
          <w:p>
            <w:pPr>
              <w:pStyle w:val="Compact"/>
            </w:pPr>
            <w:r>
              <w:rPr>
                <w:sz w:val="15"/>
              </w:rPr>
              <w:t xml:space="preserve">0.0</w:t>
            </w:r>
          </w:p>
        </w:tc>
        <w:tc>
          <w:tcPr/>
          <w:p>
            <w:pPr>
              <w:pStyle w:val="Compact"/>
            </w:pPr>
            <w:r>
              <w:rPr>
                <w:sz w:val="15"/>
              </w:rPr>
              <w:t xml:space="preserve">0.906</w:t>
            </w:r>
          </w:p>
        </w:tc>
      </w:tr>
    </w:tbl>
    <w:bookmarkEnd w:id="27"/>
    <w:bookmarkStart w:id="28" w:name="applicability-domain"/>
    <w:p>
      <w:pPr>
        <w:pStyle w:val="Heading3"/>
      </w:pPr>
      <w:r>
        <w:t xml:space="preserve">3.5 Applicability domain</w:t>
      </w:r>
    </w:p>
    <w:p>
      <w:pPr>
        <w:pStyle w:val="FirstParagraph"/>
      </w:pPr>
      <w:r>
        <w:t xml:space="preserve">The maximum ECFP-4 Tanimoto similarity of the query to that endpoint’s own measured chemistry,</w:t>
      </w:r>
      <w:r>
        <w:t xml:space="preserve"> </w:t>
      </w:r>
      <w:r>
        <w:t xml:space="preserve">reported with the nearest measured analogue and its structure.</w:t>
      </w:r>
    </w:p>
    <w:p>
      <w:pPr>
        <w:pStyle w:val="Compact"/>
        <w:numPr>
          <w:ilvl w:val="0"/>
          <w:numId w:val="1004"/>
        </w:numPr>
      </w:pPr>
      <w:r>
        <w:rPr>
          <w:b/>
          <w:bCs/>
        </w:rPr>
        <w:t xml:space="preserve">In domain</w:t>
      </w:r>
      <w:r>
        <w:t xml:space="preserve">, T ≥ 0.50: the query sits among measured chemistry.</w:t>
      </w:r>
    </w:p>
    <w:p>
      <w:pPr>
        <w:pStyle w:val="Compact"/>
        <w:numPr>
          <w:ilvl w:val="0"/>
          <w:numId w:val="1004"/>
        </w:numPr>
      </w:pPr>
      <w:r>
        <w:rPr>
          <w:b/>
          <w:bCs/>
        </w:rPr>
        <w:t xml:space="preserve">Near domain</w:t>
      </w:r>
      <w:r>
        <w:t xml:space="preserve">, 0.30 ≤ T &lt; 0.50.</w:t>
      </w:r>
    </w:p>
    <w:p>
      <w:pPr>
        <w:pStyle w:val="Compact"/>
        <w:numPr>
          <w:ilvl w:val="0"/>
          <w:numId w:val="1004"/>
        </w:numPr>
      </w:pPr>
      <w:r>
        <w:rPr>
          <w:b/>
          <w:bCs/>
        </w:rPr>
        <w:t xml:space="preserve">Out of domain</w:t>
      </w:r>
      <w:r>
        <w:t xml:space="preserve">, T &lt; 0.30: predictive power falls close to chance and the server says so.</w:t>
      </w:r>
    </w:p>
    <w:bookmarkEnd w:id="28"/>
    <w:bookmarkStart w:id="29" w:name="X99971f7ccb07f6fb93dee9e60859c476b801063"/>
    <w:p>
      <w:pPr>
        <w:pStyle w:val="Heading3"/>
      </w:pPr>
      <w:r>
        <w:t xml:space="preserve">3.6 Thresholds, and why they are measured on a different sample</w:t>
      </w:r>
    </w:p>
    <w:p>
      <w:pPr>
        <w:pStyle w:val="FirstParagraph"/>
      </w:pPr>
      <w:r>
        <w:t xml:space="preserve">A binder model returns a probability; a call requires a cut. Choosing that cut as a quantile of a</w:t>
      </w:r>
      <w:r>
        <w:t xml:space="preserve"> </w:t>
      </w:r>
      <w:r>
        <w:t xml:space="preserve">sample and then measuring the false-positive rate on the</w:t>
      </w:r>
      <w:r>
        <w:t xml:space="preserve"> </w:t>
      </w:r>
      <w:r>
        <w:rPr>
          <w:i/>
          <w:iCs/>
        </w:rPr>
        <w:t xml:space="preserve">same</w:t>
      </w:r>
      <w:r>
        <w:t xml:space="preserve"> </w:t>
      </w:r>
      <w:r>
        <w:t xml:space="preserve">sample cannot fail: the rate</w:t>
      </w:r>
      <w:r>
        <w:t xml:space="preserve"> </w:t>
      </w:r>
      <w:r>
        <w:t xml:space="preserve">restates the quantile.</w:t>
      </w:r>
    </w:p>
    <w:p>
      <w:pPr>
        <w:pStyle w:val="BodyText"/>
      </w:pPr>
      <w:r>
        <w:t xml:space="preserve">The background library of 158,890 compounds is therefore partitioned into three disjoint pools by a</w:t>
      </w:r>
      <w:r>
        <w:t xml:space="preserve"> </w:t>
      </w:r>
      <w:r>
        <w:t xml:space="preserve">stable hash of the canonical structure, so a compound’s pool is a property of the molecule and never</w:t>
      </w:r>
      <w:r>
        <w:t xml:space="preserve"> </w:t>
      </w:r>
      <w:r>
        <w:t xml:space="preserve">depends on run order:</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Pool</w:t>
            </w:r>
          </w:p>
        </w:tc>
        <w:tc>
          <w:tcPr>
            <w:shd w:val="clear" w:fill="EAF0F7"/>
          </w:tcPr>
          <w:p>
            <w:pPr>
              <w:pStyle w:val="Compact"/>
            </w:pPr>
            <w:r>
              <w:rPr>
                <w:b/>
                <w:sz w:val="17"/>
              </w:rPr>
              <w:t xml:space="preserve">Compounds</w:t>
            </w:r>
          </w:p>
        </w:tc>
        <w:tc>
          <w:tcPr>
            <w:shd w:val="clear" w:fill="EAF0F7"/>
          </w:tcPr>
          <w:p>
            <w:pPr>
              <w:pStyle w:val="Compact"/>
            </w:pPr>
            <w:r>
              <w:rPr>
                <w:b/>
                <w:sz w:val="17"/>
              </w:rPr>
              <w:t xml:space="preserve">Purpose</w:t>
            </w:r>
          </w:p>
        </w:tc>
      </w:tr>
      <w:tr>
        <w:tc>
          <w:tcPr/>
          <w:p>
            <w:pPr>
              <w:pStyle w:val="Compact"/>
            </w:pPr>
            <w:r>
              <w:t xml:space="preserve">Decoy</w:t>
            </w:r>
          </w:p>
        </w:tc>
        <w:tc>
          <w:tcPr/>
          <w:p>
            <w:pPr>
              <w:pStyle w:val="Compact"/>
            </w:pPr>
            <w:r>
              <w:t xml:space="preserve">95,515</w:t>
            </w:r>
          </w:p>
        </w:tc>
        <w:tc>
          <w:tcPr/>
          <w:p>
            <w:pPr>
              <w:pStyle w:val="Compact"/>
            </w:pPr>
            <w:r>
              <w:t xml:space="preserve">supply property-matched negatives during training</w:t>
            </w:r>
          </w:p>
        </w:tc>
      </w:tr>
      <w:tr>
        <w:tc>
          <w:tcPr/>
          <w:p>
            <w:pPr>
              <w:pStyle w:val="Compact"/>
            </w:pPr>
            <w:r>
              <w:t xml:space="preserve">Threshold</w:t>
            </w:r>
          </w:p>
        </w:tc>
        <w:tc>
          <w:tcPr/>
          <w:p>
            <w:pPr>
              <w:pStyle w:val="Compact"/>
            </w:pPr>
            <w:r>
              <w:t xml:space="preserve">31,694</w:t>
            </w:r>
          </w:p>
        </w:tc>
        <w:tc>
          <w:tcPr/>
          <w:p>
            <w:pPr>
              <w:pStyle w:val="Compact"/>
            </w:pPr>
            <w:r>
              <w:t xml:space="preserve">set the decision cut</w:t>
            </w:r>
          </w:p>
        </w:tc>
      </w:tr>
      <w:tr>
        <w:tc>
          <w:tcPr/>
          <w:p>
            <w:pPr>
              <w:pStyle w:val="Compact"/>
            </w:pPr>
            <w:r>
              <w:t xml:space="preserve">Evaluation</w:t>
            </w:r>
          </w:p>
        </w:tc>
        <w:tc>
          <w:tcPr/>
          <w:p>
            <w:pPr>
              <w:pStyle w:val="Compact"/>
            </w:pPr>
            <w:r>
              <w:t xml:space="preserve">31,681</w:t>
            </w:r>
          </w:p>
        </w:tc>
        <w:tc>
          <w:tcPr/>
          <w:p>
            <w:pPr>
              <w:pStyle w:val="Compact"/>
            </w:pPr>
            <w:r>
              <w:t xml:space="preserve">measure the false-positive rate the cut actually achieves</w:t>
            </w:r>
          </w:p>
        </w:tc>
      </w:tr>
    </w:tbl>
    <w:p>
      <w:pPr>
        <w:pStyle w:val="BodyText"/>
      </w:pPr>
      <w:r>
        <w:t xml:space="preserve">That the measured rate can now disagree with its target is the evidence that it is a measurement.</w:t>
      </w:r>
    </w:p>
    <w:bookmarkEnd w:id="29"/>
    <w:bookmarkStart w:id="30" w:name="formal-specification"/>
    <w:p>
      <w:pPr>
        <w:pStyle w:val="Heading3"/>
      </w:pPr>
      <w:r>
        <w:t xml:space="preserve">3.7 Formal specification</w:t>
      </w:r>
    </w:p>
    <w:p>
      <w:pPr>
        <w:pStyle w:val="FirstParagraph"/>
      </w:pPr>
      <w:r>
        <w:t xml:space="preserve">Everything above is stated in prose, because the reasoning is what most readers want. This section</w:t>
      </w:r>
      <w:r>
        <w:t xml:space="preserve"> </w:t>
      </w:r>
      <w:r>
        <w:t xml:space="preserve">states the same system in notation, so that a reader who wants to check the arithmetic, reimplement a</w:t>
      </w:r>
      <w:r>
        <w:t xml:space="preserve"> </w:t>
      </w:r>
      <w:r>
        <w:t xml:space="preserve">step, or locate the assumption hidden inside a sentence can do so without reading the source. Nothing</w:t>
      </w:r>
      <w:r>
        <w:t xml:space="preserve"> </w:t>
      </w:r>
      <w:r>
        <w:t xml:space="preserve">here is new. It is the same pipeline written twice, and any disagreement between the two is a defect</w:t>
      </w:r>
      <w:r>
        <w:t xml:space="preserve"> </w:t>
      </w:r>
      <w:r>
        <w:t xml:space="preserve">in this document rather than a choice.</w:t>
      </w:r>
    </w:p>
    <w:p>
      <w:pPr>
        <w:pStyle w:val="BodyText"/>
      </w:pPr>
      <w:r>
        <w:rPr>
          <w:b/>
          <w:bCs/>
        </w:rPr>
        <w:t xml:space="preserve">Representation.</w:t>
      </w:r>
      <w:r>
        <w:t xml:space="preserve"> </w:t>
      </w:r>
      <w:r>
        <w:t xml:space="preserve">A molecule</w:t>
      </w:r>
      <w:r>
        <w:t xml:space="preserve"> </w:t>
      </w:r>
      <m:oMath>
        <m:r>
          <m:t>m</m:t>
        </m:r>
      </m:oMath>
      <w:r>
        <w:t xml:space="preserve"> </w:t>
      </w:r>
      <w:r>
        <w:t xml:space="preserve">is standardised to its neutral parent (largest organic fragment,</w:t>
      </w:r>
      <w:r>
        <w:t xml:space="preserve"> </w:t>
      </w:r>
      <w:r>
        <w:t xml:space="preserve">sanitised, counter-ion removed, protonation neutralised) and mapped by</w:t>
      </w:r>
    </w:p>
    <w:p>
      <w:pPr>
        <w:pStyle w:val="BodyText"/>
      </w:pPr>
      <m:oMathPara>
        <m:oMathParaPr>
          <m:jc m:val="center"/>
        </m:oMathParaPr>
        <m:oMath>
          <m:r>
            <m:t>φ</m:t>
          </m:r>
          <m:r>
            <m:rPr>
              <m:sty m:val="p"/>
            </m:rPr>
            <m:t>(</m:t>
          </m:r>
          <m:r>
            <m:t>m</m:t>
          </m:r>
          <m:r>
            <m:rPr>
              <m:sty m:val="p"/>
            </m:rPr>
            <m:t>)</m:t>
          </m:r>
          <m:r>
            <m:rPr>
              <m:sty m:val="p"/>
            </m:rPr>
            <m:t>=</m:t>
          </m:r>
          <m:d>
            <m:dPr>
              <m:begChr m:val="("/>
              <m:sepChr m:val=""/>
              <m:endChr m:val=")"/>
              <m:grow/>
            </m:dPr>
            <m:e>
              <m:limLow>
                <m:e>
                  <m:limLow>
                    <m:e>
                      <m:sSub>
                        <m:e>
                          <m:r>
                            <m:t>h</m:t>
                          </m:r>
                        </m:e>
                        <m:sub>
                          <m:r>
                            <m:t>1</m:t>
                          </m:r>
                        </m:sub>
                      </m:sSub>
                      <m:r>
                        <m:rPr>
                          <m:sty m:val="p"/>
                        </m:rPr>
                        <m:t>,</m:t>
                      </m:r>
                      <m:r>
                        <m:rPr>
                          <m:sty m:val="p"/>
                        </m:rPr>
                        <m:t>…</m:t>
                      </m:r>
                      <m:r>
                        <m:rPr>
                          <m:sty m:val="p"/>
                        </m:rPr>
                        <m:t>,</m:t>
                      </m:r>
                      <m:sSub>
                        <m:e>
                          <m:r>
                            <m:t>h</m:t>
                          </m:r>
                        </m:e>
                        <m:sub>
                          <m:r>
                            <m:t>1024</m:t>
                          </m:r>
                        </m:sub>
                      </m:sSub>
                    </m:e>
                    <m:lim>
                      <m:r>
                        <m:rPr>
                          <m:sty m:val="p"/>
                        </m:rPr>
                        <m:t>⏟</m:t>
                      </m:r>
                    </m:lim>
                  </m:limLow>
                </m:e>
                <m:lim>
                  <m:r>
                    <m:rPr>
                      <m:nor/>
                      <m:sty m:val="p"/>
                    </m:rPr>
                    <m:t>ECFP-4, folded</m:t>
                  </m:r>
                </m:lim>
              </m:limLow>
              <m:r>
                <m:rPr>
                  <m:sty m:val="p"/>
                </m:rPr>
                <m:t>,</m:t>
              </m:r>
              <m:r>
                <m:t> </m:t>
              </m:r>
              <m:limLow>
                <m:e>
                  <m:limLow>
                    <m:e>
                      <m:sSub>
                        <m:e>
                          <m:r>
                            <m:t>d</m:t>
                          </m:r>
                        </m:e>
                        <m:sub>
                          <m:r>
                            <m:t>1</m:t>
                          </m:r>
                        </m:sub>
                      </m:sSub>
                      <m:r>
                        <m:rPr>
                          <m:sty m:val="p"/>
                        </m:rPr>
                        <m:t>,</m:t>
                      </m:r>
                      <m:r>
                        <m:rPr>
                          <m:sty m:val="p"/>
                        </m:rPr>
                        <m:t>…</m:t>
                      </m:r>
                      <m:r>
                        <m:rPr>
                          <m:sty m:val="p"/>
                        </m:rPr>
                        <m:t>,</m:t>
                      </m:r>
                      <m:sSub>
                        <m:e>
                          <m:r>
                            <m:t>d</m:t>
                          </m:r>
                        </m:e>
                        <m:sub>
                          <m:r>
                            <m:t>12</m:t>
                          </m:r>
                        </m:sub>
                      </m:sSub>
                    </m:e>
                    <m:lim>
                      <m:r>
                        <m:rPr>
                          <m:sty m:val="p"/>
                        </m:rPr>
                        <m:t>⏟</m:t>
                      </m:r>
                    </m:lim>
                  </m:limLow>
                </m:e>
                <m:lim>
                  <m:r>
                    <m:rPr>
                      <m:nor/>
                      <m:sty m:val="p"/>
                    </m:rPr>
                    <m:t>descriptors</m:t>
                  </m:r>
                </m:lim>
              </m:limLow>
            </m:e>
          </m:d>
          <m:r>
            <m:rPr>
              <m:sty m:val="p"/>
            </m:rPr>
            <m:t>∈</m:t>
          </m:r>
          <m:r>
            <m:rPr>
              <m:sty m:val="p"/>
            </m:rPr>
            <m:t>{</m:t>
          </m:r>
          <m:r>
            <m:t>0</m:t>
          </m:r>
          <m:r>
            <m:rPr>
              <m:sty m:val="p"/>
            </m:rPr>
            <m:t>,</m:t>
          </m:r>
          <m:r>
            <m:t>1</m:t>
          </m:r>
          <m:sSup>
            <m:e>
              <m:r>
                <m:rPr>
                  <m:sty m:val="p"/>
                </m:rPr>
                <m:t>}</m:t>
              </m:r>
            </m:e>
            <m:sup>
              <m:r>
                <m:t>1024</m:t>
              </m:r>
            </m:sup>
          </m:sSup>
          <m:r>
            <m:rPr>
              <m:sty m:val="p"/>
            </m:rPr>
            <m:t>×</m:t>
          </m:r>
          <m:sSup>
            <m:e>
              <m:r>
                <m:rPr>
                  <m:scr m:val="double-struck"/>
                  <m:sty m:val="p"/>
                </m:rPr>
                <m:t>R</m:t>
              </m:r>
            </m:e>
            <m:sup>
              <m:r>
                <m:t>12</m:t>
              </m:r>
            </m:sup>
          </m:sSup>
          <m:r>
            <m:rPr>
              <m:sty m:val="p"/>
            </m:rPr>
            <m:t>⊂</m:t>
          </m:r>
          <m:sSup>
            <m:e>
              <m:r>
                <m:rPr>
                  <m:scr m:val="double-struck"/>
                  <m:sty m:val="p"/>
                </m:rPr>
                <m:t>R</m:t>
              </m:r>
            </m:e>
            <m:sup>
              <m:r>
                <m:t>1036</m:t>
              </m:r>
            </m:sup>
          </m:sSup>
        </m:oMath>
      </m:oMathPara>
    </w:p>
    <w:p>
      <w:pPr>
        <w:pStyle w:val="FirstParagraph"/>
      </w:pPr>
      <w:r>
        <w:t xml:space="preserve">where</w:t>
      </w:r>
      <w:r>
        <w:t xml:space="preserve"> </w:t>
      </w:r>
      <m:oMath>
        <m:sSub>
          <m:e>
            <m:r>
              <m:t>h</m:t>
            </m:r>
          </m:e>
          <m:sub>
            <m:r>
              <m:t>j</m:t>
            </m:r>
          </m:sub>
        </m:sSub>
        <m:r>
          <m:rPr>
            <m:sty m:val="p"/>
          </m:rPr>
          <m:t>=</m:t>
        </m:r>
        <m:r>
          <m:t>1</m:t>
        </m:r>
      </m:oMath>
      <w:r>
        <w:t xml:space="preserve"> </w:t>
      </w:r>
      <w:r>
        <w:t xml:space="preserve">exactly when some atom environment of radius</w:t>
      </w:r>
      <w:r>
        <w:t xml:space="preserve"> </w:t>
      </w:r>
      <m:oMath>
        <m:r>
          <m:rPr>
            <m:sty m:val="p"/>
          </m:rPr>
          <m:t>≤</m:t>
        </m:r>
        <m:r>
          <m:t>2</m:t>
        </m:r>
      </m:oMath>
      <w:r>
        <w:t xml:space="preserve"> </w:t>
      </w:r>
      <w:r>
        <w:t xml:space="preserve">has a hash congruent to</w:t>
      </w:r>
      <w:r>
        <w:t xml:space="preserve"> </w:t>
      </w:r>
      <m:oMath>
        <m:r>
          <m:t>j</m:t>
        </m:r>
      </m:oMath>
      <w:r>
        <w:t xml:space="preserve"> </w:t>
      </w:r>
      <w:r>
        <w:t xml:space="preserve">modulo</w:t>
      </w:r>
      <w:r>
        <w:t xml:space="preserve"> </w:t>
      </w:r>
      <m:oMath>
        <m:r>
          <m:t>1024</m:t>
        </m:r>
      </m:oMath>
      <w:r>
        <w:t xml:space="preserve">. Folding is not injective:</w:t>
      </w:r>
      <w:r>
        <w:t xml:space="preserve"> </w:t>
      </w:r>
      <m:oMath>
        <m:sSub>
          <m:e>
            <m:r>
              <m:t>h</m:t>
            </m:r>
          </m:e>
          <m:sub>
            <m:r>
              <m:t>j</m:t>
            </m:r>
          </m:sub>
        </m:sSub>
        <m:r>
          <m:rPr>
            <m:sty m:val="p"/>
          </m:rPr>
          <m:t>=</m:t>
        </m:r>
        <m:r>
          <m:t>1</m:t>
        </m:r>
      </m:oMath>
      <w:r>
        <w:t xml:space="preserve"> </w:t>
      </w:r>
      <w:r>
        <w:t xml:space="preserve">says</w:t>
      </w:r>
      <w:r>
        <w:t xml:space="preserve"> </w:t>
      </w:r>
      <w:r>
        <w:rPr>
          <w:i/>
          <w:iCs/>
        </w:rPr>
        <w:t xml:space="preserve">some</w:t>
      </w:r>
      <w:r>
        <w:t xml:space="preserve"> </w:t>
      </w:r>
      <w:r>
        <w:t xml:space="preserve">environment hashing to</w:t>
      </w:r>
      <w:r>
        <w:t xml:space="preserve"> </w:t>
      </w:r>
      <m:oMath>
        <m:r>
          <m:t>j</m:t>
        </m:r>
      </m:oMath>
      <w:r>
        <w:t xml:space="preserve"> </w:t>
      </w:r>
      <w:r>
        <w:t xml:space="preserve">is present,</w:t>
      </w:r>
      <w:r>
        <w:t xml:space="preserve"> </w:t>
      </w:r>
      <w:r>
        <w:t xml:space="preserve">not which one. Chirality is excluded from the hash, so enantiomers have identical</w:t>
      </w:r>
      <w:r>
        <w:t xml:space="preserve"> </w:t>
      </w:r>
      <m:oMath>
        <m:r>
          <m:t>φ</m:t>
        </m:r>
      </m:oMath>
      <w:r>
        <w:t xml:space="preserve">; section</w:t>
      </w:r>
      <w:r>
        <w:t xml:space="preserve"> </w:t>
      </w:r>
      <w:r>
        <w:t xml:space="preserve">8.2.2 bounds what that costs.</w:t>
      </w:r>
    </w:p>
    <w:p>
      <w:pPr>
        <w:pStyle w:val="BodyText"/>
      </w:pPr>
      <w:r>
        <w:rPr>
          <w:b/>
          <w:bCs/>
        </w:rPr>
        <w:t xml:space="preserve">Data.</w:t>
      </w:r>
      <w:r>
        <w:t xml:space="preserve"> </w:t>
      </w:r>
      <w:r>
        <w:t xml:space="preserve">For endpoint</w:t>
      </w:r>
      <w:r>
        <w:t xml:space="preserve"> </w:t>
      </w:r>
      <m:oMath>
        <m:r>
          <m:t>t</m:t>
        </m:r>
      </m:oMath>
      <w:r>
        <w:t xml:space="preserve">,</w:t>
      </w:r>
      <w:r>
        <w:t xml:space="preserve"> </w:t>
      </w:r>
      <m:oMath>
        <m:sSub>
          <m:e>
            <m:r>
              <m:t>D</m:t>
            </m:r>
          </m:e>
          <m:sub>
            <m:r>
              <m:t>t</m:t>
            </m:r>
          </m:sub>
        </m:sSub>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sSub>
              <m:e>
                <m:r>
                  <m:t>n</m:t>
                </m:r>
              </m:e>
              <m:sub>
                <m:r>
                  <m:t>t</m:t>
                </m:r>
              </m:sub>
            </m:sSub>
          </m:sup>
        </m:sSubSup>
      </m:oMath>
      <w:r>
        <w:t xml:space="preserve"> </w:t>
      </w:r>
      <w:r>
        <w:t xml:space="preserve">with</w:t>
      </w:r>
      <w:r>
        <w:t xml:space="preserve"> </w:t>
      </w:r>
      <m:oMath>
        <m:sSub>
          <m:e>
            <m:r>
              <m:t>x</m:t>
            </m:r>
          </m:e>
          <m:sub>
            <m:r>
              <m:t>i</m:t>
            </m:r>
          </m:sub>
        </m:sSub>
        <m:r>
          <m:rPr>
            <m:sty m:val="p"/>
          </m:rPr>
          <m:t>=</m:t>
        </m:r>
        <m:r>
          <m:t>φ</m:t>
        </m:r>
        <m:r>
          <m:rPr>
            <m:sty m:val="p"/>
          </m:rPr>
          <m:t>(</m:t>
        </m:r>
        <m:sSub>
          <m:e>
            <m:r>
              <m:t>m</m:t>
            </m:r>
          </m:e>
          <m:sub>
            <m:r>
              <m:t>i</m:t>
            </m:r>
          </m:sub>
        </m:sSub>
        <m:r>
          <m:rPr>
            <m:sty m:val="p"/>
          </m:rPr>
          <m:t>)</m:t>
        </m:r>
      </m:oMath>
      <w:r>
        <w:t xml:space="preserve">, and</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for classification or</w:t>
      </w:r>
      <w:r>
        <w:t xml:space="preserve"> </w:t>
      </w:r>
      <m:oMath>
        <m:sSub>
          <m:e>
            <m:r>
              <m:t>y</m:t>
            </m:r>
          </m:e>
          <m:sub>
            <m:r>
              <m:t>i</m:t>
            </m:r>
          </m:sub>
        </m:sSub>
        <m:r>
          <m:rPr>
            <m:sty m:val="p"/>
          </m:rPr>
          <m:t>∈</m:t>
        </m:r>
        <m:r>
          <m:rPr>
            <m:scr m:val="double-struck"/>
            <m:sty m:val="p"/>
          </m:rPr>
          <m:t>R</m:t>
        </m:r>
      </m:oMath>
      <w:r>
        <w:t xml:space="preserve"> </w:t>
      </w:r>
      <w:r>
        <w:t xml:space="preserve">(pChEMBL) for regression. Rows identical</w:t>
      </w:r>
      <w:r>
        <w:t xml:space="preserve"> </w:t>
      </w:r>
      <w:r>
        <w:t xml:space="preserve">in</w:t>
      </w:r>
      <w:r>
        <w:t xml:space="preserve"> </w:t>
      </w:r>
      <m:oMath>
        <m:r>
          <m:t>φ</m:t>
        </m:r>
      </m:oMath>
      <w:r>
        <w:t xml:space="preserve"> </w:t>
      </w:r>
      <w:r>
        <w:t xml:space="preserve">are collapsed before any split, and a collapsed group whose labels disagree is dropped</w:t>
      </w:r>
      <w:r>
        <w:t xml:space="preserve"> </w:t>
      </w:r>
      <w:r>
        <w:t xml:space="preserve">rather than resolved by vote, because the featuriser cannot tell its members apart.</w:t>
      </w:r>
    </w:p>
    <w:p>
      <w:pPr>
        <w:pStyle w:val="BodyText"/>
      </w:pPr>
      <w:r>
        <w:rPr>
          <w:b/>
          <w:bCs/>
        </w:rPr>
        <w:t xml:space="preserve">Estimator.</w:t>
      </w:r>
      <w:r>
        <w:t xml:space="preserve"> </w:t>
      </w:r>
      <w:r>
        <w:t xml:space="preserve">A random forest of</w:t>
      </w:r>
      <w:r>
        <w:t xml:space="preserve"> </w:t>
      </w:r>
      <m:oMath>
        <m:r>
          <m:t>B</m:t>
        </m:r>
        <m:r>
          <m:rPr>
            <m:sty m:val="p"/>
          </m:rPr>
          <m:t>=</m:t>
        </m:r>
        <m:r>
          <m:t>300</m:t>
        </m:r>
      </m:oMath>
      <w:r>
        <w:t xml:space="preserve"> </w:t>
      </w:r>
      <w:r>
        <w:t xml:space="preserve">trees,</w:t>
      </w:r>
    </w:p>
    <w:p>
      <w:pPr>
        <w:pStyle w:val="BodyText"/>
      </w:pPr>
      <m:oMathPara>
        <m:oMathParaPr>
          <m:jc m:val="center"/>
        </m:oMathParaPr>
        <m:oMath>
          <m:sSub>
            <m:e>
              <m:acc>
                <m:accPr>
                  <m:chr m:val="̂"/>
                </m:accPr>
                <m:e>
                  <m:r>
                    <m:t>q</m:t>
                  </m:r>
                </m:e>
              </m:acc>
            </m:e>
            <m:sub>
              <m:r>
                <m:t>t</m:t>
              </m:r>
            </m:sub>
          </m:sSub>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acc>
                    <m:accPr>
                      <m:chr m:val="̂"/>
                    </m:accPr>
                    <m:e>
                      <m:r>
                        <m:t>p</m:t>
                      </m:r>
                    </m:e>
                  </m:acc>
                </m:e>
                <m:sub>
                  <m:r>
                    <m:t>b</m:t>
                  </m:r>
                </m:sub>
              </m:sSub>
            </m:e>
          </m:nary>
          <m:r>
            <m:rPr>
              <m:sty m:val="p"/>
            </m:rPr>
            <m:t>(</m:t>
          </m:r>
          <m:r>
            <m:t>x</m:t>
          </m:r>
          <m:r>
            <m:rPr>
              <m:sty m:val="p"/>
            </m:rPr>
            <m:t>)</m:t>
          </m:r>
          <m:r>
            <m:rPr>
              <m:sty m:val="p"/>
            </m:rPr>
            <m:t>,</m:t>
          </m:r>
          <m:r>
            <m:t>  </m:t>
          </m:r>
          <m:sSub>
            <m:e>
              <m:acc>
                <m:accPr>
                  <m:chr m:val="̂"/>
                </m:accPr>
                <m:e>
                  <m:r>
                    <m:t>f</m:t>
                  </m:r>
                </m:e>
              </m:acc>
            </m:e>
            <m:sub>
              <m:r>
                <m:t>t</m:t>
              </m:r>
            </m:sub>
          </m:sSub>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pPr>
        <w:pStyle w:val="FirstParagraph"/>
      </w:pPr>
      <w:r>
        <w:t xml:space="preserve">for classification and regression respectively, with</w:t>
      </w:r>
      <w:r>
        <w:t xml:space="preserve"> </w:t>
      </w:r>
      <m:oMath>
        <m:sSub>
          <m:e>
            <m:acc>
              <m:accPr>
                <m:chr m:val="̂"/>
              </m:accPr>
              <m:e>
                <m:r>
                  <m:t>p</m:t>
                </m:r>
              </m:e>
            </m:acc>
          </m:e>
          <m:sub>
            <m:r>
              <m:t>b</m:t>
            </m:r>
          </m:sub>
        </m:sSub>
      </m:oMath>
      <w:r>
        <w:t xml:space="preserve"> </w:t>
      </w:r>
      <w:r>
        <w:t xml:space="preserve">the class-1 leaf frequency of tree</w:t>
      </w:r>
      <w:r>
        <w:t xml:space="preserve"> </w:t>
      </w:r>
      <m:oMath>
        <m:r>
          <m:t>b</m:t>
        </m:r>
      </m:oMath>
      <w:r>
        <w:t xml:space="preserve">. Trees are grown on bootstrap resamples,</w:t>
      </w:r>
      <w:r>
        <w:t xml:space="preserve"> </w:t>
      </w:r>
      <m:oMath>
        <m:r>
          <m:rPr>
            <m:sty m:val="p"/>
          </m:rPr>
          <m:t>⌊</m:t>
        </m:r>
        <m:rad>
          <m:radPr>
            <m:degHide m:val="on"/>
          </m:radPr>
          <m:deg/>
          <m:e>
            <m:r>
              <m:t>1036</m:t>
            </m:r>
          </m:e>
        </m:rad>
        <m:r>
          <m:rPr>
            <m:sty m:val="p"/>
          </m:rPr>
          <m:t>⌋</m:t>
        </m:r>
      </m:oMath>
      <w:r>
        <w:t xml:space="preserve"> </w:t>
      </w:r>
      <w:r>
        <w:t xml:space="preserve">features considered per</w:t>
      </w:r>
      <w:r>
        <w:t xml:space="preserve"> </w:t>
      </w:r>
      <w:r>
        <w:t xml:space="preserve">split, to a minimum leaf size of 2 for the core endpoints and 4 for the binder panel. Binder models</w:t>
      </w:r>
      <w:r>
        <w:t xml:space="preserve"> </w:t>
      </w:r>
      <w:r>
        <w:t xml:space="preserve">weight class</w:t>
      </w:r>
      <w:r>
        <w:t xml:space="preserve"> </w:t>
      </w:r>
      <m:oMath>
        <m:r>
          <m:t>c</m:t>
        </m:r>
      </m:oMath>
      <w:r>
        <w:t xml:space="preserve"> </w:t>
      </w:r>
      <w:r>
        <w:t xml:space="preserve">by</w:t>
      </w:r>
      <w:r>
        <w:t xml:space="preserve"> </w:t>
      </w:r>
      <m:oMath>
        <m:r>
          <m:t>n</m:t>
        </m:r>
        <m:r>
          <m:rPr>
            <m:sty m:val="p"/>
          </m:rPr>
          <m:t>/</m:t>
        </m:r>
        <m:r>
          <m:rPr>
            <m:sty m:val="p"/>
          </m:rPr>
          <m:t>(</m:t>
        </m:r>
        <m:r>
          <m:t>2</m:t>
        </m:r>
        <m:sSub>
          <m:e>
            <m:r>
              <m:t>n</m:t>
            </m:r>
          </m:e>
          <m:sub>
            <m:r>
              <m:t>c</m:t>
            </m:r>
          </m:sub>
        </m:sSub>
        <m:r>
          <m:rPr>
            <m:sty m:val="p"/>
          </m:rPr>
          <m:t>)</m:t>
        </m:r>
      </m:oMath>
      <w:r>
        <w:t xml:space="preserve">, so an endpoint that is 90 per cent active cannot be fitted by</w:t>
      </w:r>
      <w:r>
        <w:t xml:space="preserve"> </w:t>
      </w:r>
      <w:r>
        <w:t xml:space="preserve">answering</w:t>
      </w:r>
      <w:r>
        <w:t xml:space="preserve"> </w:t>
      </w:r>
      <w:r>
        <w:t xml:space="preserve">“active”</w:t>
      </w:r>
      <w:r>
        <w:t xml:space="preserve">.</w:t>
      </w:r>
    </w:p>
    <w:p>
      <w:pPr>
        <w:pStyle w:val="BodyText"/>
      </w:pPr>
      <w:r>
        <w:rPr>
          <w:b/>
          <w:bCs/>
        </w:rPr>
        <w:t xml:space="preserve">Splitting.</w:t>
      </w:r>
      <w:r>
        <w:t xml:space="preserve"> </w:t>
      </w:r>
      <w:r>
        <w:t xml:space="preserve">Let</w:t>
      </w:r>
      <w:r>
        <w:t xml:space="preserve"> </w:t>
      </w:r>
      <m:oMath>
        <m:r>
          <m:t>σ</m:t>
        </m:r>
        <m:r>
          <m:rPr>
            <m:sty m:val="p"/>
          </m:rPr>
          <m:t>(</m:t>
        </m:r>
        <m:r>
          <m:t>m</m:t>
        </m:r>
        <m:r>
          <m:rPr>
            <m:sty m:val="p"/>
          </m:rPr>
          <m:t>)</m:t>
        </m:r>
      </m:oMath>
      <w:r>
        <w:t xml:space="preserve"> </w:t>
      </w:r>
      <w:r>
        <w:t xml:space="preserve">denote the Bemis-Murcko scaffold of</w:t>
      </w:r>
      <w:r>
        <w:t xml:space="preserve"> </w:t>
      </w:r>
      <m:oMath>
        <m:r>
          <m:t>m</m:t>
        </m:r>
      </m:oMath>
      <w:r>
        <w:t xml:space="preserve">: ring systems and the linkers</w:t>
      </w:r>
      <w:r>
        <w:t xml:space="preserve"> </w:t>
      </w:r>
      <w:r>
        <w:t xml:space="preserve">between them, side chains stripped, atom and bond types retained. Cross-validation is</w:t>
      </w:r>
      <w:r>
        <w:t xml:space="preserve"> </w:t>
      </w:r>
      <m:oMath>
        <m:r>
          <m:rPr>
            <m:sty m:val="p"/>
          </m:rPr>
          <m:t>G</m:t>
        </m:r>
        <m:r>
          <m:rPr>
            <m:sty m:val="p"/>
          </m:rPr>
          <m:t>r</m:t>
        </m:r>
        <m:r>
          <m:rPr>
            <m:sty m:val="p"/>
          </m:rPr>
          <m:t>o</m:t>
        </m:r>
        <m:r>
          <m:rPr>
            <m:sty m:val="p"/>
          </m:rPr>
          <m:t>u</m:t>
        </m:r>
        <m:r>
          <m:rPr>
            <m:sty m:val="p"/>
          </m:rPr>
          <m:t>p</m:t>
        </m:r>
        <m:r>
          <m:rPr>
            <m:sty m:val="p"/>
          </m:rPr>
          <m:t>K</m:t>
        </m:r>
        <m:r>
          <m:rPr>
            <m:sty m:val="p"/>
          </m:rPr>
          <m:t>F</m:t>
        </m:r>
        <m:r>
          <m:rPr>
            <m:sty m:val="p"/>
          </m:rPr>
          <m:t>o</m:t>
        </m:r>
        <m:r>
          <m:rPr>
            <m:sty m:val="p"/>
          </m:rPr>
          <m:t>l</m:t>
        </m:r>
        <m:r>
          <m:rPr>
            <m:sty m:val="p"/>
          </m:rPr>
          <m:t>d</m:t>
        </m:r>
        <m:r>
          <m:rPr>
            <m:sty m:val="p"/>
          </m:rPr>
          <m:t>(</m:t>
        </m:r>
        <m:r>
          <m:t>10</m:t>
        </m:r>
        <m:r>
          <m:rPr>
            <m:sty m:val="p"/>
          </m:rPr>
          <m:t>)</m:t>
        </m:r>
      </m:oMath>
      <w:r>
        <w:t xml:space="preserve"> </w:t>
      </w:r>
      <w:r>
        <w:t xml:space="preserve">with groups</w:t>
      </w:r>
      <w:r>
        <w:t xml:space="preserve"> </w:t>
      </w:r>
      <m:oMath>
        <m:r>
          <m:t>σ</m:t>
        </m:r>
        <m:r>
          <m:rPr>
            <m:sty m:val="p"/>
          </m:rPr>
          <m:t>(</m:t>
        </m:r>
        <m:sSub>
          <m:e>
            <m:r>
              <m:t>m</m:t>
            </m:r>
          </m:e>
          <m:sub>
            <m:r>
              <m:t>i</m:t>
            </m:r>
          </m:sub>
        </m:sSub>
        <m:r>
          <m:rPr>
            <m:sty m:val="p"/>
          </m:rPr>
          <m:t>)</m:t>
        </m:r>
      </m:oMath>
      <w:r>
        <w:t xml:space="preserve">, so that</w:t>
      </w:r>
    </w:p>
    <w:p>
      <w:pPr>
        <w:pStyle w:val="BodyText"/>
      </w:pPr>
      <m:oMathPara>
        <m:oMathParaPr>
          <m:jc m:val="center"/>
        </m:oMathParaPr>
        <m:oMath>
          <m:r>
            <m:t>σ</m:t>
          </m:r>
          <m:r>
            <m:rPr>
              <m:sty m:val="p"/>
            </m:rPr>
            <m:t>(</m:t>
          </m:r>
          <m:sSub>
            <m:e>
              <m:r>
                <m:t>m</m:t>
              </m:r>
            </m:e>
            <m:sub>
              <m:r>
                <m:t>i</m:t>
              </m:r>
            </m:sub>
          </m:sSub>
          <m:r>
            <m:rPr>
              <m:sty m:val="p"/>
            </m:rPr>
            <m:t>)</m:t>
          </m:r>
          <m:r>
            <m:rPr>
              <m:sty m:val="p"/>
            </m:rPr>
            <m:t>=</m:t>
          </m:r>
          <m:r>
            <m:t>σ</m:t>
          </m:r>
          <m:r>
            <m:rPr>
              <m:sty m:val="p"/>
            </m:rPr>
            <m:t>(</m:t>
          </m:r>
          <m:sSub>
            <m:e>
              <m:r>
                <m:t>m</m:t>
              </m:r>
            </m:e>
            <m:sub>
              <m:r>
                <m:t>j</m:t>
              </m:r>
            </m:sub>
          </m:sSub>
          <m:r>
            <m:rPr>
              <m:sty m:val="p"/>
            </m:rPr>
            <m:t>)</m:t>
          </m:r>
          <m:r>
            <m:rPr>
              <m:sty m:val="p"/>
            </m:rPr>
            <m:t>⟹</m:t>
          </m:r>
          <m:r>
            <m:t>i</m:t>
          </m:r>
          <m:r>
            <m:rPr>
              <m:nor/>
              <m:sty m:val="p"/>
            </m:rPr>
            <m:t> and </m:t>
          </m:r>
          <m:r>
            <m:t>j</m:t>
          </m:r>
          <m:r>
            <m:rPr>
              <m:nor/>
              <m:sty m:val="p"/>
            </m:rPr>
            <m:t> share a fold.</m:t>
          </m:r>
        </m:oMath>
      </m:oMathPara>
    </w:p>
    <w:p>
      <w:pPr>
        <w:pStyle w:val="FirstParagraph"/>
      </w:pPr>
      <w:r>
        <w:t xml:space="preserve">The random split is the same estimator under</w:t>
      </w:r>
      <w:r>
        <w:t xml:space="preserve"> </w:t>
      </w:r>
      <m:oMath>
        <m:r>
          <m:rPr>
            <m:sty m:val="p"/>
          </m:rPr>
          <m:t>S</m:t>
        </m:r>
        <m:r>
          <m:rPr>
            <m:sty m:val="p"/>
          </m:rPr>
          <m:t>t</m:t>
        </m:r>
        <m:r>
          <m:rPr>
            <m:sty m:val="p"/>
          </m:rPr>
          <m:t>r</m:t>
        </m:r>
        <m:r>
          <m:rPr>
            <m:sty m:val="p"/>
          </m:rPr>
          <m:t>a</m:t>
        </m:r>
        <m:r>
          <m:rPr>
            <m:sty m:val="p"/>
          </m:rPr>
          <m:t>t</m:t>
        </m:r>
        <m:r>
          <m:rPr>
            <m:sty m:val="p"/>
          </m:rPr>
          <m:t>i</m:t>
        </m:r>
        <m:r>
          <m:rPr>
            <m:sty m:val="p"/>
          </m:rPr>
          <m:t>f</m:t>
        </m:r>
        <m:r>
          <m:rPr>
            <m:sty m:val="p"/>
          </m:rPr>
          <m:t>i</m:t>
        </m:r>
        <m:r>
          <m:rPr>
            <m:sty m:val="p"/>
          </m:rPr>
          <m:t>e</m:t>
        </m:r>
        <m:r>
          <m:rPr>
            <m:sty m:val="p"/>
          </m:rPr>
          <m:t>d</m:t>
        </m:r>
        <m:r>
          <m:rPr>
            <m:sty m:val="p"/>
          </m:rPr>
          <m:t>K</m:t>
        </m:r>
        <m:r>
          <m:rPr>
            <m:sty m:val="p"/>
          </m:rPr>
          <m:t>F</m:t>
        </m:r>
        <m:r>
          <m:rPr>
            <m:sty m:val="p"/>
          </m:rPr>
          <m:t>o</m:t>
        </m:r>
        <m:r>
          <m:rPr>
            <m:sty m:val="p"/>
          </m:rPr>
          <m:t>l</m:t>
        </m:r>
        <m:r>
          <m:rPr>
            <m:sty m:val="p"/>
          </m:rPr>
          <m:t>d</m:t>
        </m:r>
        <m:r>
          <m:rPr>
            <m:sty m:val="p"/>
          </m:rPr>
          <m:t>(</m:t>
        </m:r>
        <m:r>
          <m:t>10</m:t>
        </m:r>
        <m:r>
          <m:rPr>
            <m:sty m:val="p"/>
          </m:rPr>
          <m:t>)</m:t>
        </m:r>
      </m:oMath>
      <w:r>
        <w:t xml:space="preserve">, reported only as the</w:t>
      </w:r>
      <w:r>
        <w:t xml:space="preserve"> </w:t>
      </w:r>
      <w:r>
        <w:t xml:space="preserve">interpolation baseline. Acyclic molecules have no scaffold and are placed in one shared group, so a</w:t>
      </w:r>
      <w:r>
        <w:t xml:space="preserve"> </w:t>
      </w:r>
      <w:r>
        <w:t xml:space="preserve">fold boundary never runs through them.</w:t>
      </w:r>
    </w:p>
    <w:p>
      <w:pPr>
        <w:pStyle w:val="BodyText"/>
      </w:pPr>
      <w:r>
        <w:rPr>
          <w:b/>
          <w:bCs/>
        </w:rPr>
        <w:t xml:space="preserve">Calibration.</w:t>
      </w:r>
      <w:r>
        <w:t xml:space="preserve"> </w:t>
      </w:r>
      <w:r>
        <w:t xml:space="preserve">Core classifiers are calibrated by isotonic regression on out-of-fold predictions,</w:t>
      </w:r>
    </w:p>
    <w:p>
      <w:pPr>
        <w:pStyle w:val="BodyText"/>
      </w:pPr>
      <m:oMathPara>
        <m:oMathParaPr>
          <m:jc m:val="center"/>
        </m:oMathParaPr>
        <m:oMath>
          <m:sSub>
            <m:e>
              <m:acc>
                <m:accPr>
                  <m:chr m:val="̂"/>
                </m:accPr>
                <m:e>
                  <m:r>
                    <m:t>g</m:t>
                  </m:r>
                </m:e>
              </m:acc>
            </m:e>
            <m:sub>
              <m:r>
                <m:t>t</m:t>
              </m:r>
            </m:sub>
          </m:sSub>
          <m:r>
            <m:rPr>
              <m:sty m:val="p"/>
            </m:rPr>
            <m:t>=</m:t>
          </m:r>
          <m:limLow>
            <m:e>
              <m:r>
                <m:rPr>
                  <m:sty m:val="p"/>
                </m:rPr>
                <m:t>arg min</m:t>
              </m:r>
            </m:e>
            <m:lim>
              <m:r>
                <m:t>g</m:t>
              </m:r>
              <m:r>
                <m:t> </m:t>
              </m:r>
              <m:r>
                <m:rPr>
                  <m:nor/>
                  <m:sty m:val="p"/>
                </m:rPr>
                <m:t>non-decreasing</m:t>
              </m:r>
            </m:lim>
          </m:limLow>
          <m:nary>
            <m:naryPr>
              <m:chr m:val="∑"/>
              <m:limLoc m:val="undOvr"/>
              <m:subHide m:val="off"/>
              <m:supHide m:val="on"/>
            </m:naryPr>
            <m:sub>
              <m:r>
                <m:t>i</m:t>
              </m:r>
            </m:sub>
            <m:sup>
              <m:r>
                <m:t>​</m:t>
              </m:r>
            </m:sup>
            <m:e>
              <m:r>
                <m:rPr>
                  <m:sty m:val="p"/>
                </m:rPr>
                <m:t>(</m:t>
              </m:r>
            </m:e>
          </m:nary>
          <m:r>
            <m:t>g</m:t>
          </m:r>
          <m:r>
            <m:rPr>
              <m:sty m:val="p"/>
            </m:rPr>
            <m:t>(</m:t>
          </m:r>
          <m:sSubSup>
            <m:e>
              <m:acc>
                <m:accPr>
                  <m:chr m:val="̂"/>
                </m:accPr>
                <m:e>
                  <m:r>
                    <m:t>q</m:t>
                  </m:r>
                </m:e>
              </m:acc>
            </m:e>
            <m:sub>
              <m:r>
                <m:t>t</m:t>
              </m:r>
            </m:sub>
            <m:sup>
              <m:r>
                <m:rPr>
                  <m:sty m:val="p"/>
                </m:rPr>
                <m:t>(</m:t>
              </m:r>
              <m:r>
                <m:rPr>
                  <m:sty m:val="p"/>
                </m:rPr>
                <m:t>−</m:t>
              </m:r>
              <m:r>
                <m:t>k</m:t>
              </m:r>
              <m:r>
                <m:rPr>
                  <m:sty m:val="p"/>
                </m:rPr>
                <m:t>(</m:t>
              </m:r>
              <m:r>
                <m:t>i</m:t>
              </m:r>
              <m:r>
                <m:rPr>
                  <m:sty m:val="p"/>
                </m:rPr>
                <m:t>)</m:t>
              </m:r>
              <m:r>
                <m:rPr>
                  <m:sty m:val="p"/>
                </m:rPr>
                <m:t>)</m:t>
              </m:r>
            </m:sup>
          </m:sSubSup>
          <m:r>
            <m:rPr>
              <m:sty m:val="p"/>
            </m:rPr>
            <m:t>(</m:t>
          </m:r>
          <m:sSub>
            <m:e>
              <m:r>
                <m:t>x</m:t>
              </m:r>
            </m:e>
            <m:sub>
              <m:r>
                <m:t>i</m:t>
              </m:r>
            </m:sub>
          </m:sSub>
          <m:r>
            <m:rPr>
              <m:sty m:val="p"/>
            </m:rPr>
            <m:t>)</m:t>
          </m:r>
          <m:r>
            <m:rPr>
              <m:sty m:val="p"/>
            </m:rPr>
            <m:t>)</m:t>
          </m:r>
          <m:r>
            <m:rPr>
              <m:sty m:val="p"/>
            </m:rPr>
            <m:t>−</m:t>
          </m:r>
          <m:sSub>
            <m:e>
              <m:r>
                <m:t>y</m:t>
              </m:r>
            </m:e>
            <m:sub>
              <m:r>
                <m:t>i</m:t>
              </m:r>
            </m:sub>
          </m:sSub>
          <m:sSup>
            <m:e>
              <m:r>
                <m:rPr>
                  <m:sty m:val="p"/>
                </m:rPr>
                <m:t>)</m:t>
              </m:r>
            </m:e>
            <m:sup>
              <m:r>
                <m:t>2</m:t>
              </m:r>
            </m:sup>
          </m:sSup>
        </m:oMath>
      </m:oMathPara>
    </w:p>
    <w:p>
      <w:pPr>
        <w:pStyle w:val="FirstParagraph"/>
      </w:pPr>
      <w:r>
        <w:t xml:space="preserve">solved by pool-adjacent-violators, where</w:t>
      </w:r>
      <w:r>
        <w:t xml:space="preserve"> </w:t>
      </w:r>
      <m:oMath>
        <m:sSubSup>
          <m:e>
            <m:acc>
              <m:accPr>
                <m:chr m:val="̂"/>
              </m:accPr>
              <m:e>
                <m:r>
                  <m:t>q</m:t>
                </m:r>
              </m:e>
            </m:acc>
          </m:e>
          <m:sub>
            <m:r>
              <m:t>t</m:t>
            </m:r>
          </m:sub>
          <m:sup>
            <m:r>
              <m:rPr>
                <m:sty m:val="p"/>
              </m:rPr>
              <m:t>(</m:t>
            </m:r>
            <m:r>
              <m:rPr>
                <m:sty m:val="p"/>
              </m:rPr>
              <m:t>−</m:t>
            </m:r>
            <m:r>
              <m:t>k</m:t>
            </m:r>
            <m:r>
              <m:rPr>
                <m:sty m:val="p"/>
              </m:rPr>
              <m:t>(</m:t>
            </m:r>
            <m:r>
              <m:t>i</m:t>
            </m:r>
            <m:r>
              <m:rPr>
                <m:sty m:val="p"/>
              </m:rPr>
              <m:t>)</m:t>
            </m:r>
            <m:r>
              <m:rPr>
                <m:sty m:val="p"/>
              </m:rPr>
              <m:t>)</m:t>
            </m:r>
          </m:sup>
        </m:sSubSup>
      </m:oMath>
      <w:r>
        <w:t xml:space="preserve"> </w:t>
      </w:r>
      <w:r>
        <w:t xml:space="preserve">is fitted without the fold containing</w:t>
      </w:r>
      <w:r>
        <w:t xml:space="preserve"> </w:t>
      </w:r>
      <m:oMath>
        <m:r>
          <m:t>i</m:t>
        </m:r>
      </m:oMath>
      <w:r>
        <w:t xml:space="preserve">. Because</w:t>
      </w:r>
      <w:r>
        <w:t xml:space="preserve"> </w:t>
      </w:r>
      <m:oMath>
        <m:sSub>
          <m:e>
            <m:acc>
              <m:accPr>
                <m:chr m:val="̂"/>
              </m:accPr>
              <m:e>
                <m:r>
                  <m:t>g</m:t>
                </m:r>
              </m:e>
            </m:acc>
          </m:e>
          <m:sub>
            <m:r>
              <m:t>t</m:t>
            </m:r>
          </m:sub>
        </m:sSub>
      </m:oMath>
      <w:r>
        <w:t xml:space="preserve"> </w:t>
      </w:r>
      <w:r>
        <w:t xml:space="preserve">is monotone it cannot reorder compounds, so AUROC is invariant under</w:t>
      </w:r>
      <w:r>
        <w:t xml:space="preserve"> </w:t>
      </w:r>
      <w:r>
        <w:t xml:space="preserve">calibration and only the probability changes. Binder models instead use Platt scaling,</w:t>
      </w:r>
      <w:r>
        <w:t xml:space="preserve"> </w:t>
      </w:r>
      <m:oMath>
        <m:sSub>
          <m:e>
            <m:acc>
              <m:accPr>
                <m:chr m:val="̂"/>
              </m:accPr>
              <m:e>
                <m:r>
                  <m:t>g</m:t>
                </m:r>
              </m:e>
            </m:acc>
          </m:e>
          <m:sub>
            <m:r>
              <m:t>t</m:t>
            </m:r>
          </m:sub>
        </m:sSub>
        <m:r>
          <m:rPr>
            <m:sty m:val="p"/>
          </m:rPr>
          <m:t>(</m:t>
        </m:r>
        <m:r>
          <m:t>p</m:t>
        </m:r>
        <m:r>
          <m:rPr>
            <m:sty m:val="p"/>
          </m:rPr>
          <m:t>)</m:t>
        </m:r>
        <m:r>
          <m:rPr>
            <m:sty m:val="p"/>
          </m:rPr>
          <m:t>=</m:t>
        </m:r>
        <m:r>
          <m:rPr>
            <m:sty m:val="p"/>
          </m:rPr>
          <m:t>(</m:t>
        </m:r>
        <m:r>
          <m:t>1</m:t>
        </m:r>
        <m:r>
          <m:rPr>
            <m:sty m:val="p"/>
          </m:rPr>
          <m:t>+</m:t>
        </m:r>
        <m:sSup>
          <m:e>
            <m:r>
              <m:t>e</m:t>
            </m:r>
          </m:e>
          <m:sup>
            <m:r>
              <m:rPr>
                <m:sty m:val="p"/>
              </m:rPr>
              <m:t>−</m:t>
            </m:r>
            <m:r>
              <m:rPr>
                <m:sty m:val="p"/>
              </m:rPr>
              <m:t>(</m:t>
            </m:r>
            <m:r>
              <m:t>a</m:t>
            </m:r>
            <m:r>
              <m:t>p</m:t>
            </m:r>
            <m:r>
              <m:rPr>
                <m:sty m:val="p"/>
              </m:rPr>
              <m:t>+</m:t>
            </m:r>
            <m:r>
              <m:t>b</m:t>
            </m:r>
            <m:r>
              <m:rPr>
                <m:sty m:val="p"/>
              </m:rPr>
              <m:t>)</m:t>
            </m:r>
          </m:sup>
        </m:sSup>
        <m:sSup>
          <m:e>
            <m:r>
              <m:rPr>
                <m:sty m:val="p"/>
              </m:rPr>
              <m:t>)</m:t>
            </m:r>
          </m:e>
          <m:sup>
            <m:r>
              <m:rPr>
                <m:sty m:val="p"/>
              </m:rPr>
              <m:t>−</m:t>
            </m:r>
            <m:r>
              <m:t>1</m:t>
            </m:r>
          </m:sup>
        </m:sSup>
      </m:oMath>
      <w:r>
        <w:t xml:space="preserve">, fitted by maximum likelihood on a stratified fifth withheld</w:t>
      </w:r>
      <w:r>
        <w:t xml:space="preserve"> </w:t>
      </w:r>
      <w:r>
        <w:t xml:space="preserve">from the forest’s own fit, because their positive class is too small for an isotonic step that would</w:t>
      </w:r>
      <w:r>
        <w:t xml:space="preserve"> </w:t>
      </w:r>
      <w:r>
        <w:t xml:space="preserve">not overfit the calibrator.</w:t>
      </w:r>
    </w:p>
    <w:p>
      <w:pPr>
        <w:pStyle w:val="BodyText"/>
      </w:pPr>
      <w:r>
        <w:rPr>
          <w:b/>
          <w:bCs/>
        </w:rPr>
        <w:t xml:space="preserve">Conformal prediction.</w:t>
      </w:r>
      <w:r>
        <w:t xml:space="preserve"> </w:t>
      </w:r>
      <w:r>
        <w:t xml:space="preserve">Inductive, Mondrian (class-conditional), at significance</w:t>
      </w:r>
      <w:r>
        <w:t xml:space="preserve"> </w:t>
      </w:r>
      <m:oMath>
        <m:r>
          <m:t>ε</m:t>
        </m:r>
        <m:r>
          <m:rPr>
            <m:sty m:val="p"/>
          </m:rPr>
          <m:t>=</m:t>
        </m:r>
        <m:r>
          <m:t>0.10</m:t>
        </m:r>
      </m:oMath>
      <w:r>
        <w:t xml:space="preserve">. On a calibration set disjoint from training the nonconformity of a labelled</w:t>
      </w:r>
      <w:r>
        <w:t xml:space="preserve"> </w:t>
      </w:r>
      <w:r>
        <w:t xml:space="preserve">compound is</w:t>
      </w:r>
      <w:r>
        <w:t xml:space="preserve"> </w:t>
      </w:r>
      <m:oMath>
        <m:sSub>
          <m:e>
            <m:r>
              <m:t>α</m:t>
            </m:r>
          </m:e>
          <m:sub>
            <m:r>
              <m:t>i</m:t>
            </m:r>
          </m:sub>
        </m:sSub>
        <m:r>
          <m:rPr>
            <m:sty m:val="p"/>
          </m:rPr>
          <m:t>=</m:t>
        </m:r>
        <m:r>
          <m:t>1</m:t>
        </m:r>
        <m:r>
          <m:rPr>
            <m:sty m:val="p"/>
          </m:rPr>
          <m:t>−</m:t>
        </m:r>
        <m:sSub>
          <m:e>
            <m:acc>
              <m:accPr>
                <m:chr m:val="̂"/>
              </m:accPr>
              <m:e>
                <m:r>
                  <m:t>q</m:t>
                </m:r>
              </m:e>
            </m:acc>
          </m:e>
          <m:sub>
            <m:r>
              <m:t>t</m:t>
            </m:r>
          </m:sub>
        </m:sSub>
        <m:r>
          <m:rPr>
            <m:sty m:val="p"/>
          </m:rPr>
          <m:t>(</m:t>
        </m:r>
        <m:sSub>
          <m:e>
            <m:r>
              <m:t>y</m:t>
            </m:r>
          </m:e>
          <m:sub>
            <m:r>
              <m:t>i</m:t>
            </m:r>
          </m:sub>
        </m:sSub>
        <m:r>
          <m:rPr>
            <m:sty m:val="p"/>
          </m:rPr>
          <m:t>∣</m:t>
        </m:r>
        <m:sSub>
          <m:e>
            <m:r>
              <m:t>x</m:t>
            </m:r>
          </m:e>
          <m:sub>
            <m:r>
              <m:t>i</m:t>
            </m:r>
          </m:sub>
        </m:sSub>
        <m:r>
          <m:rPr>
            <m:sty m:val="p"/>
          </m:rPr>
          <m:t>)</m:t>
        </m:r>
      </m:oMath>
      <w:r>
        <w:t xml:space="preserve">. For class</w:t>
      </w:r>
      <w:r>
        <w:t xml:space="preserve"> </w:t>
      </w:r>
      <m:oMath>
        <m:r>
          <m:t>c</m:t>
        </m:r>
      </m:oMath>
      <w:r>
        <w:t xml:space="preserve"> </w:t>
      </w:r>
      <w:r>
        <w:t xml:space="preserve">with</w:t>
      </w:r>
      <w:r>
        <w:t xml:space="preserve"> </w:t>
      </w:r>
      <m:oMath>
        <m:sSub>
          <m:e>
            <m:r>
              <m:t>n</m:t>
            </m:r>
          </m:e>
          <m:sub>
            <m:r>
              <m:t>c</m:t>
            </m:r>
          </m:sub>
        </m:sSub>
      </m:oMath>
      <w:r>
        <w:t xml:space="preserve"> </w:t>
      </w:r>
      <w:r>
        <w:t xml:space="preserve">calibration points the</w:t>
      </w:r>
      <w:r>
        <w:t xml:space="preserve"> </w:t>
      </w:r>
      <w:r>
        <w:t xml:space="preserve">threshold</w:t>
      </w:r>
      <w:r>
        <w:t xml:space="preserve"> </w:t>
      </w:r>
      <m:oMath>
        <m:sSub>
          <m:e>
            <m:r>
              <m:t>τ</m:t>
            </m:r>
          </m:e>
          <m:sub>
            <m:r>
              <m:t>c</m:t>
            </m:r>
          </m:sub>
        </m:sSub>
      </m:oMath>
      <w:r>
        <w:t xml:space="preserve"> </w:t>
      </w:r>
      <w:r>
        <w:t xml:space="preserve">is the</w:t>
      </w:r>
      <w:r>
        <w:t xml:space="preserve"> </w:t>
      </w:r>
      <m:oMath>
        <m:r>
          <m:t>k</m:t>
        </m:r>
      </m:oMath>
      <w:r>
        <w:t xml:space="preserve">-th smallest such</w:t>
      </w:r>
      <w:r>
        <w:t xml:space="preserve"> </w:t>
      </w:r>
      <m:oMath>
        <m:r>
          <m:t>α</m:t>
        </m:r>
      </m:oMath>
      <w:r>
        <w:t xml:space="preserve"> </w:t>
      </w:r>
      <w:r>
        <w:t xml:space="preserve">within that class, where</w:t>
      </w:r>
    </w:p>
    <w:p>
      <w:pPr>
        <w:pStyle w:val="BodyText"/>
      </w:pPr>
      <m:oMathPara>
        <m:oMathParaPr>
          <m:jc m:val="center"/>
        </m:oMathParaPr>
        <m:oMath>
          <m:r>
            <m:t>k</m:t>
          </m:r>
          <m:r>
            <m:rPr>
              <m:sty m:val="p"/>
            </m:rPr>
            <m:t>=</m:t>
          </m:r>
          <m:d>
            <m:dPr>
              <m:begChr m:val="⌈"/>
              <m:sepChr m:val=""/>
              <m:endChr m:val="⌉"/>
              <m:grow/>
            </m:dPr>
            <m:e>
              <m:r>
                <m:rPr>
                  <m:sty m:val="p"/>
                </m:rPr>
                <m:t>(</m:t>
              </m:r>
              <m:sSub>
                <m:e>
                  <m:r>
                    <m:t>n</m:t>
                  </m:r>
                </m:e>
                <m:sub>
                  <m:r>
                    <m:t>c</m:t>
                  </m:r>
                </m:sub>
              </m:sSub>
              <m:r>
                <m:rPr>
                  <m:sty m:val="p"/>
                </m:rPr>
                <m:t>+</m:t>
              </m:r>
              <m:r>
                <m:t>1</m:t>
              </m:r>
              <m:r>
                <m:rPr>
                  <m:sty m:val="p"/>
                </m:rPr>
                <m:t>)</m:t>
              </m:r>
              <m:r>
                <m:rPr>
                  <m:sty m:val="p"/>
                </m:rPr>
                <m:t>(</m:t>
              </m:r>
              <m:r>
                <m:t>1</m:t>
              </m:r>
              <m:r>
                <m:rPr>
                  <m:sty m:val="p"/>
                </m:rPr>
                <m:t>−</m:t>
              </m:r>
              <m:r>
                <m:t>ε</m:t>
              </m:r>
              <m:r>
                <m:rPr>
                  <m:sty m:val="p"/>
                </m:rPr>
                <m:t>)</m:t>
              </m:r>
            </m:e>
          </m:d>
          <m:r>
            <m:rPr>
              <m:sty m:val="p"/>
            </m:rPr>
            <m:t>,</m:t>
          </m:r>
        </m:oMath>
      </m:oMathPara>
    </w:p>
    <w:p>
      <w:pPr>
        <w:pStyle w:val="FirstParagraph"/>
      </w:pPr>
      <w:r>
        <w:t xml:space="preserve">and the prediction set for a new</w:t>
      </w:r>
      <w:r>
        <w:t xml:space="preserve"> </w:t>
      </w:r>
      <m:oMath>
        <m:r>
          <m:t>x</m:t>
        </m:r>
      </m:oMath>
      <w:r>
        <w:t xml:space="preserve"> </w:t>
      </w:r>
      <w:r>
        <w:t xml:space="preserve">is</w:t>
      </w:r>
    </w:p>
    <w:p>
      <w:pPr>
        <w:pStyle w:val="BodyText"/>
      </w:pPr>
      <m:oMathPara>
        <m:oMathParaPr>
          <m:jc m:val="center"/>
        </m:oMathParaPr>
        <m:oMath>
          <m:sSub>
            <m:e>
              <m:r>
                <m:rPr>
                  <m:sty m:val="p"/>
                </m:rPr>
                <m:t>Γ</m:t>
              </m:r>
            </m:e>
            <m:sub>
              <m:r>
                <m:t>ε</m:t>
              </m:r>
            </m:sub>
          </m:sSub>
          <m:r>
            <m:rPr>
              <m:sty m:val="p"/>
            </m:rPr>
            <m:t>(</m:t>
          </m:r>
          <m:r>
            <m:t>x</m:t>
          </m:r>
          <m:r>
            <m:rPr>
              <m:sty m:val="p"/>
            </m:rPr>
            <m:t>)</m:t>
          </m:r>
          <m:r>
            <m:rPr>
              <m:sty m:val="p"/>
            </m:rPr>
            <m:t>=</m:t>
          </m:r>
          <m:r>
            <m:rPr>
              <m:sty m:val="p"/>
            </m:rPr>
            <m:t>{</m:t>
          </m:r>
          <m:r>
            <m:t> </m:t>
          </m:r>
          <m:r>
            <m:t>c</m:t>
          </m:r>
          <m:r>
            <m:t> </m:t>
          </m:r>
          <m:r>
            <m:rPr>
              <m:sty m:val="p"/>
            </m:rPr>
            <m:t>:</m:t>
          </m:r>
          <m:r>
            <m:t> </m:t>
          </m:r>
          <m:r>
            <m:t>1</m:t>
          </m:r>
          <m:r>
            <m:rPr>
              <m:sty m:val="p"/>
            </m:rPr>
            <m:t>−</m:t>
          </m:r>
          <m:sSub>
            <m:e>
              <m:acc>
                <m:accPr>
                  <m:chr m:val="̂"/>
                </m:accPr>
                <m:e>
                  <m:r>
                    <m:t>q</m:t>
                  </m:r>
                </m:e>
              </m:acc>
            </m:e>
            <m:sub>
              <m:r>
                <m:t>t</m:t>
              </m:r>
            </m:sub>
          </m:sSub>
          <m:r>
            <m:rPr>
              <m:sty m:val="p"/>
            </m:rPr>
            <m:t>(</m:t>
          </m:r>
          <m:r>
            <m:t>c</m:t>
          </m:r>
          <m:r>
            <m:rPr>
              <m:sty m:val="p"/>
            </m:rPr>
            <m:t>∣</m:t>
          </m:r>
          <m:r>
            <m:t>x</m:t>
          </m:r>
          <m:r>
            <m:rPr>
              <m:sty m:val="p"/>
            </m:rPr>
            <m:t>)</m:t>
          </m:r>
          <m:r>
            <m:rPr>
              <m:sty m:val="p"/>
            </m:rPr>
            <m:t>≤</m:t>
          </m:r>
          <m:sSub>
            <m:e>
              <m:r>
                <m:t>τ</m:t>
              </m:r>
            </m:e>
            <m:sub>
              <m:r>
                <m:t>c</m:t>
              </m:r>
            </m:sub>
          </m:sSub>
          <m:r>
            <m:t> </m:t>
          </m:r>
          <m:r>
            <m:rPr>
              <m:sty m:val="p"/>
            </m:rPr>
            <m:t>}</m:t>
          </m:r>
          <m:r>
            <m:rPr>
              <m:sty m:val="p"/>
            </m:rPr>
            <m:t>.</m:t>
          </m:r>
        </m:oMath>
      </m:oMathPara>
    </w:p>
    <w:p>
      <w:pPr>
        <w:pStyle w:val="FirstParagraph"/>
      </w:pPr>
      <w:r>
        <w:t xml:space="preserve">Under exchangeability this gives</w:t>
      </w:r>
      <w:r>
        <w:t xml:space="preserve"> </w:t>
      </w:r>
      <m:oMath>
        <m:r>
          <m:rPr>
            <m:sty m:val="p"/>
          </m:rPr>
          <m:t>Pr</m:t>
        </m:r>
        <m:r>
          <m:rPr>
            <m:sty m:val="p"/>
          </m:rPr>
          <m:t>[</m:t>
        </m:r>
        <m:r>
          <m:t>y</m:t>
        </m:r>
        <m:r>
          <m:rPr>
            <m:sty m:val="p"/>
          </m:rPr>
          <m:t>∈</m:t>
        </m:r>
        <m:sSub>
          <m:e>
            <m:r>
              <m:rPr>
                <m:sty m:val="p"/>
              </m:rPr>
              <m:t>Γ</m:t>
            </m:r>
          </m:e>
          <m:sub>
            <m:r>
              <m:t>ε</m:t>
            </m:r>
          </m:sub>
        </m:sSub>
        <m:r>
          <m:rPr>
            <m:sty m:val="p"/>
          </m:rPr>
          <m:t>(</m:t>
        </m:r>
        <m:r>
          <m:t>x</m:t>
        </m:r>
        <m:r>
          <m:rPr>
            <m:sty m:val="p"/>
          </m:rPr>
          <m:t>)</m:t>
        </m:r>
        <m:r>
          <m:rPr>
            <m:sty m:val="p"/>
          </m:rPr>
          <m:t>]</m:t>
        </m:r>
        <m:r>
          <m:rPr>
            <m:sty m:val="p"/>
          </m:rPr>
          <m:t>≥</m:t>
        </m:r>
        <m:r>
          <m:t>1</m:t>
        </m:r>
        <m:r>
          <m:rPr>
            <m:sty m:val="p"/>
          </m:rPr>
          <m:t>−</m:t>
        </m:r>
        <m:r>
          <m:t>ε</m:t>
        </m:r>
      </m:oMath>
      <w:r>
        <w:t xml:space="preserve"> </w:t>
      </w:r>
      <w:r>
        <w:rPr>
          <w:i/>
          <w:iCs/>
        </w:rPr>
        <w:t xml:space="preserve">within each</w:t>
      </w:r>
      <w:r>
        <w:rPr>
          <w:i/>
          <w:iCs/>
        </w:rPr>
        <w:t xml:space="preserve"> </w:t>
      </w:r>
      <w:r>
        <w:rPr>
          <w:i/>
          <w:iCs/>
        </w:rPr>
        <w:t xml:space="preserve">class</w:t>
      </w:r>
      <w:r>
        <w:t xml:space="preserve">. That is what the class-conditional form adds over the marginal one, and it is the reason for</w:t>
      </w:r>
      <w:r>
        <w:t xml:space="preserve"> </w:t>
      </w:r>
      <w:r>
        <w:t xml:space="preserve">using it here: marginal coverage can be satisfied while the rare class fails systematically.</w:t>
      </w:r>
      <w:r>
        <w:t xml:space="preserve"> </w:t>
      </w:r>
      <m:oMath>
        <m:sSub>
          <m:e>
            <m:r>
              <m:rPr>
                <m:sty m:val="p"/>
              </m:rPr>
              <m:t>Γ</m:t>
            </m:r>
          </m:e>
          <m:sub>
            <m:r>
              <m:t>ε</m:t>
            </m:r>
          </m:sub>
        </m:sSub>
        <m:r>
          <m:rPr>
            <m:sty m:val="p"/>
          </m:rPr>
          <m:t>(</m:t>
        </m:r>
        <m:r>
          <m:t>x</m:t>
        </m:r>
        <m:r>
          <m:rPr>
            <m:sty m:val="p"/>
          </m:rPr>
          <m:t>)</m:t>
        </m:r>
      </m:oMath>
      <w:r>
        <w:t xml:space="preserve"> </w:t>
      </w:r>
      <w:r>
        <w:t xml:space="preserve">may be empty, meaning the compound conforms to neither class, or contain both,</w:t>
      </w:r>
      <w:r>
        <w:t xml:space="preserve"> </w:t>
      </w:r>
      <w:r>
        <w:t xml:space="preserve">meaning it separates neither. Both are informative and both are displayed.</w:t>
      </w:r>
    </w:p>
    <w:p>
      <w:pPr>
        <w:pStyle w:val="BodyText"/>
      </w:pPr>
      <w:r>
        <w:rPr>
          <w:b/>
          <w:bCs/>
        </w:rPr>
        <w:t xml:space="preserve">Decision thresholds.</w:t>
      </w:r>
      <w:r>
        <w:t xml:space="preserve"> </w:t>
      </w:r>
      <w:r>
        <w:t xml:space="preserve">For binder endpoint</w:t>
      </w:r>
      <w:r>
        <w:t xml:space="preserve"> </w:t>
      </w:r>
      <m:oMath>
        <m:r>
          <m:t>t</m:t>
        </m:r>
      </m:oMath>
      <w:r>
        <w:t xml:space="preserve">, let</w:t>
      </w:r>
      <w:r>
        <w:t xml:space="preserve"> </w:t>
      </w:r>
      <m:oMath>
        <m:sSubSup>
          <m:e>
            <m:r>
              <m:t>I</m:t>
            </m:r>
          </m:e>
          <m:sub>
            <m:r>
              <m:t>t</m:t>
            </m:r>
          </m:sub>
          <m:sup>
            <m:r>
              <m:rPr>
                <m:sty m:val="p"/>
              </m:rPr>
              <m:t>h</m:t>
            </m:r>
            <m:r>
              <m:rPr>
                <m:sty m:val="p"/>
              </m:rPr>
              <m:t>o</m:t>
            </m:r>
            <m:r>
              <m:rPr>
                <m:sty m:val="p"/>
              </m:rPr>
              <m:t>l</m:t>
            </m:r>
            <m:r>
              <m:rPr>
                <m:sty m:val="p"/>
              </m:rPr>
              <m:t>d</m:t>
            </m:r>
          </m:sup>
        </m:sSubSup>
      </m:oMath>
      <w:r>
        <w:t xml:space="preserve"> </w:t>
      </w:r>
      <w:r>
        <w:t xml:space="preserve">be the half of its</w:t>
      </w:r>
      <w:r>
        <w:t xml:space="preserve"> </w:t>
      </w:r>
      <w:r>
        <w:t xml:space="preserve">measured inactives withheld from fitting. With target false-positive rate</w:t>
      </w:r>
      <w:r>
        <w:t xml:space="preserve"> </w:t>
      </w:r>
      <m:oMath>
        <m:r>
          <m:t>ϕ</m:t>
        </m:r>
        <m:r>
          <m:rPr>
            <m:sty m:val="p"/>
          </m:rPr>
          <m:t>=</m:t>
        </m:r>
        <m:r>
          <m:t>0.10</m:t>
        </m:r>
      </m:oMath>
      <w:r>
        <w:t xml:space="preserve">,</w:t>
      </w:r>
    </w:p>
    <w:p>
      <w:pPr>
        <w:pStyle w:val="BodyText"/>
      </w:pPr>
      <m:oMathPara>
        <m:oMathParaPr>
          <m:jc m:val="center"/>
        </m:oMathParaPr>
        <m:oMath>
          <m:sSub>
            <m:e>
              <m:r>
                <m:t>τ</m:t>
              </m:r>
            </m:e>
            <m:sub>
              <m:r>
                <m:t>t</m:t>
              </m:r>
            </m:sub>
          </m:sSub>
          <m:r>
            <m:rPr>
              <m:sty m:val="p"/>
            </m:rPr>
            <m:t>=</m:t>
          </m:r>
          <m:r>
            <m:rPr>
              <m:sty m:val="p"/>
            </m:rPr>
            <m:t>c</m:t>
          </m:r>
          <m:r>
            <m:rPr>
              <m:sty m:val="p"/>
            </m:rPr>
            <m:t>l</m:t>
          </m:r>
          <m:r>
            <m:rPr>
              <m:sty m:val="p"/>
            </m:rPr>
            <m:t>i</m:t>
          </m:r>
          <m:r>
            <m:rPr>
              <m:sty m:val="p"/>
            </m:rPr>
            <m:t>p</m:t>
          </m:r>
          <m:d>
            <m:dPr>
              <m:begChr m:val="("/>
              <m:sepChr m:val=""/>
              <m:endChr m:val=")"/>
              <m:grow/>
            </m:dPr>
            <m:e>
              <m:sSub>
                <m:e>
                  <m:r>
                    <m:t>Q</m:t>
                  </m:r>
                </m:e>
                <m:sub>
                  <m:r>
                    <m:t>1</m:t>
                  </m:r>
                  <m:r>
                    <m:rPr>
                      <m:sty m:val="p"/>
                    </m:rPr>
                    <m:t>−</m:t>
                  </m:r>
                  <m:r>
                    <m:t>ϕ</m:t>
                  </m:r>
                </m:sub>
              </m:sSub>
              <m:d>
                <m:dPr>
                  <m:begChr m:val="("/>
                  <m:sepChr m:val=""/>
                  <m:endChr m:val=")"/>
                  <m:grow/>
                </m:dPr>
                <m:e>
                  <m:r>
                    <m:rPr>
                      <m:sty m:val="p"/>
                    </m:rPr>
                    <m:t>{</m:t>
                  </m:r>
                  <m:sSub>
                    <m:e>
                      <m:acc>
                        <m:accPr>
                          <m:chr m:val="̂"/>
                        </m:accPr>
                        <m:e>
                          <m:r>
                            <m:t>g</m:t>
                          </m:r>
                        </m:e>
                      </m:acc>
                    </m:e>
                    <m:sub>
                      <m:r>
                        <m:t>t</m:t>
                      </m:r>
                    </m:sub>
                  </m:sSub>
                  <m:r>
                    <m:rPr>
                      <m:sty m:val="p"/>
                    </m:rPr>
                    <m:t>(</m:t>
                  </m:r>
                  <m:sSub>
                    <m:e>
                      <m:acc>
                        <m:accPr>
                          <m:chr m:val="̂"/>
                        </m:accPr>
                        <m:e>
                          <m:r>
                            <m:t>q</m:t>
                          </m:r>
                        </m:e>
                      </m:acc>
                    </m:e>
                    <m:sub>
                      <m:r>
                        <m:t>t</m:t>
                      </m:r>
                    </m:sub>
                  </m:sSub>
                  <m:r>
                    <m:rPr>
                      <m:sty m:val="p"/>
                    </m:rPr>
                    <m:t>(</m:t>
                  </m:r>
                  <m:r>
                    <m:t>x</m:t>
                  </m:r>
                  <m:r>
                    <m:rPr>
                      <m:sty m:val="p"/>
                    </m:rPr>
                    <m:t>)</m:t>
                  </m:r>
                  <m:r>
                    <m:rPr>
                      <m:sty m:val="p"/>
                    </m:rPr>
                    <m:t>)</m:t>
                  </m:r>
                  <m:r>
                    <m:rPr>
                      <m:sty m:val="p"/>
                    </m:rPr>
                    <m:t>:</m:t>
                  </m:r>
                  <m:r>
                    <m:t>x</m:t>
                  </m:r>
                  <m:r>
                    <m:rPr>
                      <m:sty m:val="p"/>
                    </m:rPr>
                    <m:t>∈</m:t>
                  </m:r>
                  <m:sSubSup>
                    <m:e>
                      <m:r>
                        <m:t>I</m:t>
                      </m:r>
                    </m:e>
                    <m:sub>
                      <m:r>
                        <m:t>t</m:t>
                      </m:r>
                    </m:sub>
                    <m:sup>
                      <m:r>
                        <m:rPr>
                          <m:sty m:val="p"/>
                        </m:rPr>
                        <m:t>h</m:t>
                      </m:r>
                      <m:r>
                        <m:rPr>
                          <m:sty m:val="p"/>
                        </m:rPr>
                        <m:t>o</m:t>
                      </m:r>
                      <m:r>
                        <m:rPr>
                          <m:sty m:val="p"/>
                        </m:rPr>
                        <m:t>l</m:t>
                      </m:r>
                      <m:r>
                        <m:rPr>
                          <m:sty m:val="p"/>
                        </m:rPr>
                        <m:t>d</m:t>
                      </m:r>
                    </m:sup>
                  </m:sSubSup>
                  <m:r>
                    <m:rPr>
                      <m:sty m:val="p"/>
                    </m:rPr>
                    <m:t>}</m:t>
                  </m:r>
                </m:e>
              </m:d>
              <m:r>
                <m:rPr>
                  <m:sty m:val="p"/>
                </m:rPr>
                <m:t>,</m:t>
              </m:r>
              <m:r>
                <m:t> </m:t>
              </m:r>
              <m:r>
                <m:t>0.05</m:t>
              </m:r>
              <m:r>
                <m:rPr>
                  <m:sty m:val="p"/>
                </m:rPr>
                <m:t>,</m:t>
              </m:r>
              <m:r>
                <m:t> </m:t>
              </m:r>
              <m:r>
                <m:t>0.999</m:t>
              </m:r>
            </m:e>
          </m:d>
        </m:oMath>
      </m:oMathPara>
    </w:p>
    <w:p>
      <w:pPr>
        <w:pStyle w:val="FirstParagraph"/>
      </w:pPr>
      <w:r>
        <w:t xml:space="preserve">with</w:t>
      </w:r>
      <w:r>
        <w:t xml:space="preserve"> </w:t>
      </w:r>
      <m:oMath>
        <m:sSub>
          <m:e>
            <m:r>
              <m:t>Q</m:t>
            </m:r>
          </m:e>
          <m:sub>
            <m:r>
              <m:t>γ</m:t>
            </m:r>
          </m:sub>
        </m:sSub>
      </m:oMath>
      <w:r>
        <w:t xml:space="preserve"> </w:t>
      </w:r>
      <w:r>
        <w:t xml:space="preserve">the empirical</w:t>
      </w:r>
      <w:r>
        <w:t xml:space="preserve"> </w:t>
      </w:r>
      <m:oMath>
        <m:r>
          <m:t>γ</m:t>
        </m:r>
      </m:oMath>
      <w:r>
        <w:t xml:space="preserve">-quantile. The false-positive rate on</w:t>
      </w:r>
      <w:r>
        <w:t xml:space="preserve"> </w:t>
      </w:r>
      <m:oMath>
        <m:sSubSup>
          <m:e>
            <m:r>
              <m:t>I</m:t>
            </m:r>
          </m:e>
          <m:sub>
            <m:r>
              <m:t>t</m:t>
            </m:r>
          </m:sub>
          <m:sup>
            <m:r>
              <m:rPr>
                <m:sty m:val="p"/>
              </m:rPr>
              <m:t>h</m:t>
            </m:r>
            <m:r>
              <m:rPr>
                <m:sty m:val="p"/>
              </m:rPr>
              <m:t>o</m:t>
            </m:r>
            <m:r>
              <m:rPr>
                <m:sty m:val="p"/>
              </m:rPr>
              <m:t>l</m:t>
            </m:r>
            <m:r>
              <m:rPr>
                <m:sty m:val="p"/>
              </m:rPr>
              <m:t>d</m:t>
            </m:r>
          </m:sup>
        </m:sSubSup>
      </m:oMath>
      <w:r>
        <w:t xml:space="preserve"> </w:t>
      </w:r>
      <w:r>
        <w:t xml:space="preserve">is</w:t>
      </w:r>
      <w:r>
        <w:t xml:space="preserve"> </w:t>
      </w:r>
      <w:r>
        <w:t xml:space="preserve">then</w:t>
      </w:r>
      <w:r>
        <w:t xml:space="preserve"> </w:t>
      </w:r>
      <m:oMath>
        <m:r>
          <m:t>ϕ</m:t>
        </m:r>
      </m:oMath>
      <w:r>
        <w:t xml:space="preserve"> </w:t>
      </w:r>
      <w:r>
        <w:t xml:space="preserve">by construction and is not evidence of anything; the rate that is reported is measured on</w:t>
      </w:r>
      <w:r>
        <w:t xml:space="preserve"> </w:t>
      </w:r>
      <w:r>
        <w:t xml:space="preserve">the evaluation pool, disjoint from both the decoy pool used in fitting and the threshold pool used</w:t>
      </w:r>
      <w:r>
        <w:t xml:space="preserve"> </w:t>
      </w:r>
      <w:r>
        <w:t xml:space="preserve">here. Section 3.6 gives the argument for why the three must be disjoint.</w:t>
      </w:r>
    </w:p>
    <w:p>
      <w:pPr>
        <w:pStyle w:val="BodyText"/>
      </w:pPr>
      <w:r>
        <w:rPr>
          <w:b/>
          <w:bCs/>
        </w:rPr>
        <w:t xml:space="preserve">Applicability domain.</w:t>
      </w:r>
      <w:r>
        <w:t xml:space="preserve"> </w:t>
      </w:r>
      <w:r>
        <w:t xml:space="preserve">With</w:t>
      </w:r>
      <w:r>
        <w:t xml:space="preserve"> </w:t>
      </w:r>
      <m:oMath>
        <m:r>
          <m:rPr>
            <m:scr m:val="script"/>
            <m:sty m:val="p"/>
          </m:rPr>
          <m:t>R</m:t>
        </m:r>
      </m:oMath>
      <w:r>
        <w:t xml:space="preserve"> </w:t>
      </w:r>
      <w:r>
        <w:t xml:space="preserve">the measured reference library and</w:t>
      </w:r>
      <w:r>
        <w:t xml:space="preserve"> </w:t>
      </w:r>
      <m:oMath>
        <m:r>
          <m:t>T</m:t>
        </m:r>
      </m:oMath>
      <w:r>
        <w:t xml:space="preserve"> </w:t>
      </w:r>
      <w:r>
        <w:t xml:space="preserve">the Tanimoto</w:t>
      </w:r>
      <w:r>
        <w:t xml:space="preserve"> </w:t>
      </w:r>
      <w:r>
        <w:t xml:space="preserve">coefficient on 2048-bit Morgan fingerprints,</w:t>
      </w:r>
    </w:p>
    <w:p>
      <w:pPr>
        <w:pStyle w:val="BodyText"/>
      </w:pPr>
      <m:oMathPara>
        <m:oMathParaPr>
          <m:jc m:val="center"/>
        </m:oMathParaPr>
        <m:oMath>
          <m:r>
            <m:t>a</m:t>
          </m:r>
          <m:r>
            <m:rPr>
              <m:sty m:val="p"/>
            </m:rPr>
            <m:t>(</m:t>
          </m:r>
          <m:r>
            <m:t>x</m:t>
          </m:r>
          <m:r>
            <m:rPr>
              <m:sty m:val="p"/>
            </m:rPr>
            <m:t>)</m:t>
          </m:r>
          <m:r>
            <m:rPr>
              <m:sty m:val="p"/>
            </m:rPr>
            <m:t>=</m:t>
          </m:r>
          <m:limLow>
            <m:e>
              <m:r>
                <m:rPr>
                  <m:sty m:val="p"/>
                </m:rPr>
                <m:t>max</m:t>
              </m:r>
            </m:e>
            <m:lim>
              <m:r>
                <m:t>r</m:t>
              </m:r>
              <m:r>
                <m:rPr>
                  <m:sty m:val="p"/>
                </m:rPr>
                <m:t>∈</m:t>
              </m:r>
              <m:r>
                <m:rPr>
                  <m:scr m:val="script"/>
                  <m:sty m:val="p"/>
                </m:rPr>
                <m:t>R</m:t>
              </m:r>
            </m:lim>
          </m:limLow>
          <m:r>
            <m:t>T</m:t>
          </m:r>
          <m:r>
            <m:rPr>
              <m:sty m:val="p"/>
            </m:rPr>
            <m:t>(</m:t>
          </m:r>
          <m:r>
            <m:t>x</m:t>
          </m:r>
          <m:r>
            <m:rPr>
              <m:sty m:val="p"/>
            </m:rPr>
            <m:t>,</m:t>
          </m:r>
          <m:r>
            <m:t>r</m:t>
          </m:r>
          <m:r>
            <m:rPr>
              <m:sty m:val="p"/>
            </m:rPr>
            <m:t>)</m:t>
          </m:r>
          <m:r>
            <m:rPr>
              <m:sty m:val="p"/>
            </m:rPr>
            <m:t>.</m:t>
          </m:r>
        </m:oMath>
      </m:oMathPara>
    </w:p>
    <w:p>
      <w:pPr>
        <w:pStyle w:val="FirstParagraph"/>
      </w:pPr>
      <w:r>
        <w:t xml:space="preserve">Section 6.5.2 shows that recall is a monotone function of</w:t>
      </w:r>
      <w:r>
        <w:t xml:space="preserve"> </w:t>
      </w:r>
      <m:oMath>
        <m:r>
          <m:t>a</m:t>
        </m:r>
      </m:oMath>
      <w:r>
        <w:t xml:space="preserve">, which is the property that makes it</w:t>
      </w:r>
      <w:r>
        <w:t xml:space="preserve"> </w:t>
      </w:r>
      <w:r>
        <w:t xml:space="preserve">useful. Section 8.2.4 shows it is a weak discriminator of non-drug-like chemistry, which is the</w:t>
      </w:r>
      <w:r>
        <w:t xml:space="preserve"> </w:t>
      </w:r>
      <w:r>
        <w:t xml:space="preserve">property it was designed for and does not have.</w:t>
      </w:r>
    </w:p>
    <w:p>
      <w:pPr>
        <w:pStyle w:val="BodyText"/>
      </w:pPr>
      <w:r>
        <w:rPr>
          <w:b/>
          <w:bCs/>
        </w:rPr>
        <w:t xml:space="preserve">Engagement signal.</w:t>
      </w:r>
      <w:r>
        <w:t xml:space="preserve"> </w:t>
      </w:r>
      <w:r>
        <w:t xml:space="preserve">The endpoints are not commensurable: each has its own base rate, its own</w:t>
      </w:r>
      <w:r>
        <w:t xml:space="preserve"> </w:t>
      </w:r>
      <w:r>
        <w:t xml:space="preserve">threshold, and one has a continuous readout. Three maps carry them onto a common</w:t>
      </w:r>
      <w:r>
        <w:t xml:space="preserve"> </w:t>
      </w:r>
      <m:oMath>
        <m:r>
          <m:rPr>
            <m:sty m:val="p"/>
          </m:rPr>
          <m:t>[</m:t>
        </m:r>
        <m:r>
          <m:t>0</m:t>
        </m:r>
        <m:r>
          <m:rPr>
            <m:sty m:val="p"/>
          </m:rPr>
          <m:t>,</m:t>
        </m:r>
        <m:r>
          <m:t>1</m:t>
        </m:r>
        <m:r>
          <m:rPr>
            <m:sty m:val="p"/>
          </m:rPr>
          <m:t>]</m:t>
        </m:r>
      </m:oMath>
      <w:r>
        <w:t xml:space="preserve"> </w:t>
      </w:r>
      <w:r>
        <w:t xml:space="preserve">scale. Where</w:t>
      </w:r>
      <w:r>
        <w:t xml:space="preserve"> </w:t>
      </w:r>
      <w:r>
        <w:t xml:space="preserve">the negatives are measured, with base rate</w:t>
      </w:r>
      <w:r>
        <w:t xml:space="preserve"> </w:t>
      </w:r>
      <m:oMath>
        <m:sSub>
          <m:e>
            <m:r>
              <m:t>b</m:t>
            </m:r>
          </m:e>
          <m:sub>
            <m:r>
              <m:t>t</m:t>
            </m:r>
          </m:sub>
        </m:sSub>
      </m:oMath>
      <w:r>
        <w:t xml:space="preserve">,</w:t>
      </w:r>
    </w:p>
    <w:p>
      <w:pPr>
        <w:pStyle w:val="BodyText"/>
      </w:pPr>
      <m:oMathPara>
        <m:oMathParaPr>
          <m:jc m:val="center"/>
        </m:oMathParaPr>
        <m:oMath>
          <m:sSub>
            <m:e>
              <m:r>
                <m:t>E</m:t>
              </m:r>
            </m:e>
            <m:sub>
              <m:r>
                <m:t>t</m:t>
              </m:r>
            </m:sub>
          </m:sSub>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p</m:t>
                        </m:r>
                        <m:r>
                          <m:rPr>
                            <m:sty m:val="p"/>
                          </m:rPr>
                          <m:t>−</m:t>
                        </m:r>
                        <m:sSub>
                          <m:e>
                            <m:r>
                              <m:t>b</m:t>
                            </m:r>
                          </m:e>
                          <m:sub>
                            <m:r>
                              <m:t>t</m:t>
                            </m:r>
                          </m:sub>
                        </m:sSub>
                      </m:num>
                      <m:den>
                        <m:r>
                          <m:t>1</m:t>
                        </m:r>
                        <m:r>
                          <m:rPr>
                            <m:sty m:val="p"/>
                          </m:rPr>
                          <m:t>−</m:t>
                        </m:r>
                        <m:sSub>
                          <m:e>
                            <m:r>
                              <m:t>b</m:t>
                            </m:r>
                          </m:e>
                          <m:sub>
                            <m:r>
                              <m:t>t</m:t>
                            </m:r>
                          </m:sub>
                        </m:sSub>
                      </m:den>
                    </m:f>
                    <m:r>
                      <m:rPr>
                        <m:sty m:val="p"/>
                      </m:rPr>
                      <m:t>,</m:t>
                    </m:r>
                  </m:e>
                  <m:e>
                    <m:r>
                      <m:t>p</m:t>
                    </m:r>
                    <m:r>
                      <m:rPr>
                        <m:sty m:val="p"/>
                      </m:rPr>
                      <m:t>≥</m:t>
                    </m:r>
                    <m:sSub>
                      <m:e>
                        <m:r>
                          <m:t>b</m:t>
                        </m:r>
                      </m:e>
                      <m:sub>
                        <m:r>
                          <m:t>t</m:t>
                        </m:r>
                      </m:sub>
                    </m:sSub>
                  </m:e>
                </m:mr>
                <m:mr>
                  <m:e>
                    <m:f>
                      <m:fPr>
                        <m:type m:val="bar"/>
                      </m:fPr>
                      <m:num>
                        <m:r>
                          <m:t>p</m:t>
                        </m:r>
                        <m:r>
                          <m:rPr>
                            <m:sty m:val="p"/>
                          </m:rPr>
                          <m:t>−</m:t>
                        </m:r>
                        <m:sSub>
                          <m:e>
                            <m:r>
                              <m:t>b</m:t>
                            </m:r>
                          </m:e>
                          <m:sub>
                            <m:r>
                              <m:t>t</m:t>
                            </m:r>
                          </m:sub>
                        </m:sSub>
                      </m:num>
                      <m:den>
                        <m:sSub>
                          <m:e>
                            <m:r>
                              <m:t>b</m:t>
                            </m:r>
                          </m:e>
                          <m:sub>
                            <m:r>
                              <m:t>t</m:t>
                            </m:r>
                          </m:sub>
                        </m:sSub>
                      </m:den>
                    </m:f>
                    <m:r>
                      <m:rPr>
                        <m:sty m:val="p"/>
                      </m:rPr>
                      <m:t>,</m:t>
                    </m:r>
                  </m:e>
                  <m:e>
                    <m:r>
                      <m:t>p</m:t>
                    </m:r>
                    <m:r>
                      <m:rPr>
                        <m:sty m:val="p"/>
                      </m:rPr>
                      <m:t>&lt;</m:t>
                    </m:r>
                    <m:sSub>
                      <m:e>
                        <m:r>
                          <m:t>b</m:t>
                        </m:r>
                      </m:e>
                      <m:sub>
                        <m:r>
                          <m:t>t</m:t>
                        </m:r>
                      </m:sub>
                    </m:sSub>
                  </m:e>
                </m:mr>
              </m:m>
            </m:e>
          </m:d>
          <m:r>
            <m:rPr>
              <m:sty m:val="p"/>
            </m:rPr>
            <m:t>∈</m:t>
          </m:r>
          <m:r>
            <m:rPr>
              <m:sty m:val="p"/>
            </m:rPr>
            <m:t>[</m:t>
          </m:r>
          <m:r>
            <m:rPr>
              <m:sty m:val="p"/>
            </m:rPr>
            <m:t>−</m:t>
          </m:r>
          <m:r>
            <m:t>1</m:t>
          </m:r>
          <m:r>
            <m:rPr>
              <m:sty m:val="p"/>
            </m:rPr>
            <m:t>,</m:t>
          </m:r>
          <m:r>
            <m:t>1</m:t>
          </m:r>
          <m:r>
            <m:rPr>
              <m:sty m:val="p"/>
            </m:rPr>
            <m:t>]</m:t>
          </m:r>
          <m:r>
            <m:rPr>
              <m:sty m:val="p"/>
            </m:rPr>
            <m:t>,</m:t>
          </m:r>
          <m:r>
            <m:t>  </m:t>
          </m:r>
          <m:sSub>
            <m:e>
              <m:r>
                <m:t>s</m:t>
              </m:r>
            </m:e>
            <m:sub>
              <m:r>
                <m:t>t</m:t>
              </m:r>
            </m:sub>
          </m:sSub>
          <m:r>
            <m:rPr>
              <m:sty m:val="p"/>
            </m:rPr>
            <m:t>(</m:t>
          </m:r>
          <m:r>
            <m:t>x</m:t>
          </m:r>
          <m:r>
            <m:rPr>
              <m:sty m:val="p"/>
            </m:rPr>
            <m:t>)</m:t>
          </m:r>
          <m:r>
            <m:rPr>
              <m:sty m:val="p"/>
            </m:rPr>
            <m:t>=</m:t>
          </m:r>
          <m:r>
            <m:rPr>
              <m:sty m:val="p"/>
            </m:rPr>
            <m:t>max</m:t>
          </m:r>
          <m:r>
            <m:rPr>
              <m:sty m:val="p"/>
            </m:rPr>
            <m:t>{</m:t>
          </m:r>
          <m:r>
            <m:t>0</m:t>
          </m:r>
          <m:r>
            <m:rPr>
              <m:sty m:val="p"/>
            </m:rPr>
            <m:t>,</m:t>
          </m:r>
          <m:r>
            <m:t> </m:t>
          </m:r>
          <m:sSub>
            <m:e>
              <m:r>
                <m:t>E</m:t>
              </m:r>
            </m:e>
            <m:sub>
              <m:r>
                <m:t>t</m:t>
              </m:r>
            </m:sub>
          </m:sSub>
          <m:r>
            <m:rPr>
              <m:sty m:val="p"/>
            </m:rPr>
            <m:t>(</m:t>
          </m:r>
          <m:sSub>
            <m:e>
              <m:acc>
                <m:accPr>
                  <m:chr m:val="̂"/>
                </m:accPr>
                <m:e>
                  <m:r>
                    <m:t>g</m:t>
                  </m:r>
                </m:e>
              </m:acc>
            </m:e>
            <m:sub>
              <m:r>
                <m:t>t</m:t>
              </m:r>
            </m:sub>
          </m:sSub>
          <m:r>
            <m:rPr>
              <m:sty m:val="p"/>
            </m:rPr>
            <m:t>(</m:t>
          </m:r>
          <m:sSub>
            <m:e>
              <m:acc>
                <m:accPr>
                  <m:chr m:val="̂"/>
                </m:accPr>
                <m:e>
                  <m:r>
                    <m:t>q</m:t>
                  </m:r>
                </m:e>
              </m:acc>
            </m:e>
            <m:sub>
              <m:r>
                <m:t>t</m:t>
              </m:r>
            </m:sub>
          </m:sSub>
          <m:r>
            <m:rPr>
              <m:sty m:val="p"/>
            </m:rPr>
            <m:t>(</m:t>
          </m:r>
          <m:r>
            <m:t>x</m:t>
          </m:r>
          <m:r>
            <m:rPr>
              <m:sty m:val="p"/>
            </m:rPr>
            <m:t>)</m:t>
          </m:r>
          <m:r>
            <m:rPr>
              <m:sty m:val="p"/>
            </m:rPr>
            <m:t>)</m:t>
          </m:r>
          <m:r>
            <m:rPr>
              <m:sty m:val="p"/>
            </m:rPr>
            <m:t>)</m:t>
          </m:r>
          <m:r>
            <m:rPr>
              <m:sty m:val="p"/>
            </m:rPr>
            <m:t>}</m:t>
          </m:r>
          <m:r>
            <m:rPr>
              <m:sty m:val="p"/>
            </m:rPr>
            <m:t>.</m:t>
          </m:r>
        </m:oMath>
      </m:oMathPara>
    </w:p>
    <w:p>
      <w:pPr>
        <w:pStyle w:val="FirstParagraph"/>
      </w:pPr>
      <m:oMath>
        <m:sSub>
          <m:e>
            <m:r>
              <m:t>E</m:t>
            </m:r>
          </m:e>
          <m:sub>
            <m:r>
              <m:t>t</m:t>
            </m:r>
          </m:sub>
        </m:sSub>
      </m:oMath>
      <w:r>
        <w:t xml:space="preserve"> </w:t>
      </w:r>
      <w:r>
        <w:t xml:space="preserve">is the signed enrichment over prevalence. A probability</w:t>
      </w:r>
      <w:r>
        <w:t xml:space="preserve"> </w:t>
      </w:r>
      <w:r>
        <w:rPr>
          <w:i/>
          <w:iCs/>
        </w:rPr>
        <w:t xml:space="preserve">below</w:t>
      </w:r>
      <w:r>
        <w:t xml:space="preserve"> </w:t>
      </w:r>
      <w:r>
        <w:t xml:space="preserve">the base rate is evidence of</w:t>
      </w:r>
      <w:r>
        <w:t xml:space="preserve"> </w:t>
      </w:r>
      <w:r>
        <w:t xml:space="preserve">inactivity rather than weak evidence of activity, and mapping it to a small positive number would</w:t>
      </w:r>
      <w:r>
        <w:t xml:space="preserve"> </w:t>
      </w:r>
      <w:r>
        <w:t xml:space="preserve">misstate it. For a decoy-trained binder the threshold takes the role the base rate takes above,</w:t>
      </w:r>
    </w:p>
    <w:p>
      <w:pPr>
        <w:pStyle w:val="BodyText"/>
      </w:pPr>
      <m:oMathPara>
        <m:oMathParaPr>
          <m:jc m:val="center"/>
        </m:oMathParaPr>
        <m:oMath>
          <m:sSub>
            <m:e>
              <m:r>
                <m:t>s</m:t>
              </m:r>
            </m:e>
            <m:sub>
              <m:r>
                <m:t>t</m:t>
              </m:r>
            </m:sub>
          </m:sSub>
          <m:r>
            <m:rPr>
              <m:sty m:val="p"/>
            </m:rPr>
            <m:t>(</m:t>
          </m:r>
          <m:r>
            <m:t>x</m:t>
          </m:r>
          <m:r>
            <m:rPr>
              <m:sty m:val="p"/>
            </m:rPr>
            <m:t>)</m:t>
          </m:r>
          <m:r>
            <m:rPr>
              <m:sty m:val="p"/>
            </m:rPr>
            <m:t>=</m:t>
          </m:r>
          <m:r>
            <m:rPr>
              <m:sty m:val="p"/>
            </m:rPr>
            <m:t>max</m:t>
          </m:r>
          <m:d>
            <m:dPr>
              <m:begChr m:val="{"/>
              <m:sepChr m:val=""/>
              <m:endChr m:val="}"/>
              <m:grow/>
            </m:dPr>
            <m:e>
              <m:r>
                <m:t>0</m:t>
              </m:r>
              <m:r>
                <m:rPr>
                  <m:sty m:val="p"/>
                </m:rPr>
                <m:t>,</m:t>
              </m:r>
              <m:r>
                <m:t> </m:t>
              </m:r>
              <m:f>
                <m:fPr>
                  <m:type m:val="bar"/>
                </m:fPr>
                <m:num>
                  <m:sSub>
                    <m:e>
                      <m:acc>
                        <m:accPr>
                          <m:chr m:val="̂"/>
                        </m:accPr>
                        <m:e>
                          <m:r>
                            <m:t>g</m:t>
                          </m:r>
                        </m:e>
                      </m:acc>
                    </m:e>
                    <m:sub>
                      <m:r>
                        <m:t>t</m:t>
                      </m:r>
                    </m:sub>
                  </m:sSub>
                  <m:r>
                    <m:rPr>
                      <m:sty m:val="p"/>
                    </m:rPr>
                    <m:t>(</m:t>
                  </m:r>
                  <m:sSub>
                    <m:e>
                      <m:acc>
                        <m:accPr>
                          <m:chr m:val="̂"/>
                        </m:accPr>
                        <m:e>
                          <m:r>
                            <m:t>q</m:t>
                          </m:r>
                        </m:e>
                      </m:acc>
                    </m:e>
                    <m:sub>
                      <m:r>
                        <m:t>t</m:t>
                      </m:r>
                    </m:sub>
                  </m:sSub>
                  <m:r>
                    <m:rPr>
                      <m:sty m:val="p"/>
                    </m:rPr>
                    <m:t>(</m:t>
                  </m:r>
                  <m:r>
                    <m:t>x</m:t>
                  </m:r>
                  <m:r>
                    <m:rPr>
                      <m:sty m:val="p"/>
                    </m:rPr>
                    <m:t>)</m:t>
                  </m:r>
                  <m:r>
                    <m:rPr>
                      <m:sty m:val="p"/>
                    </m:rPr>
                    <m:t>)</m:t>
                  </m:r>
                  <m:r>
                    <m:rPr>
                      <m:sty m:val="p"/>
                    </m:rPr>
                    <m:t>−</m:t>
                  </m:r>
                  <m:sSub>
                    <m:e>
                      <m:r>
                        <m:t>τ</m:t>
                      </m:r>
                    </m:e>
                    <m:sub>
                      <m:r>
                        <m:t>t</m:t>
                      </m:r>
                    </m:sub>
                  </m:sSub>
                </m:num>
                <m:den>
                  <m:r>
                    <m:t>1</m:t>
                  </m:r>
                  <m:r>
                    <m:rPr>
                      <m:sty m:val="p"/>
                    </m:rPr>
                    <m:t>−</m:t>
                  </m:r>
                  <m:sSub>
                    <m:e>
                      <m:r>
                        <m:t>τ</m:t>
                      </m:r>
                    </m:e>
                    <m:sub>
                      <m:r>
                        <m:t>t</m:t>
                      </m:r>
                    </m:sub>
                  </m:sSub>
                </m:den>
              </m:f>
            </m:e>
          </m:d>
          <m:r>
            <m:rPr>
              <m:sty m:val="p"/>
            </m:rPr>
            <m:t>,</m:t>
          </m:r>
        </m:oMath>
      </m:oMathPara>
    </w:p>
    <w:p>
      <w:pPr>
        <w:pStyle w:val="FirstParagraph"/>
      </w:pPr>
      <w:r>
        <w:t xml:space="preserve">so a sub-threshold call, which by construction lies within the measured background false-positive</w:t>
      </w:r>
      <w:r>
        <w:t xml:space="preserve"> </w:t>
      </w:r>
      <w:r>
        <w:t xml:space="preserve">rate, contributes exactly zero. For the antioxidant assay</w:t>
      </w:r>
      <w:r>
        <w:t xml:space="preserve"> </w:t>
      </w:r>
      <m:oMath>
        <m:sSub>
          <m:e>
            <m:r>
              <m:t>s</m:t>
            </m:r>
          </m:e>
          <m:sub>
            <m:r>
              <m:t>t</m:t>
            </m:r>
          </m:sub>
        </m:sSub>
      </m:oMath>
      <w:r>
        <w:t xml:space="preserve"> </w:t>
      </w:r>
      <w:r>
        <w:t xml:space="preserve">is the percentile of the predicted</w:t>
      </w:r>
      <w:r>
        <w:t xml:space="preserve"> </w:t>
      </w:r>
      <w:r>
        <w:t xml:space="preserve">value against the measured training distribution. Only</w:t>
      </w:r>
      <w:r>
        <w:t xml:space="preserve"> </w:t>
      </w:r>
      <m:oMath>
        <m:sSub>
          <m:e>
            <m:r>
              <m:t>s</m:t>
            </m:r>
          </m:e>
          <m:sub>
            <m:r>
              <m:t>t</m:t>
            </m:r>
          </m:sub>
        </m:sSub>
      </m:oMath>
      <w:r>
        <w:t xml:space="preserve"> </w:t>
      </w:r>
      <w:r>
        <w:t xml:space="preserve">is comparable across endpoints, and the</w:t>
      </w:r>
      <w:r>
        <w:t xml:space="preserve"> </w:t>
      </w:r>
      <w:r>
        <w:t xml:space="preserve">interface always shows the untransformed calibrated probability beside it.</w:t>
      </w:r>
    </w:p>
    <w:p>
      <w:pPr>
        <w:pStyle w:val="BodyText"/>
      </w:pPr>
      <w:r>
        <w:rPr>
          <w:b/>
          <w:bCs/>
        </w:rPr>
        <w:t xml:space="preserve">Aggregation to conditions.</w:t>
      </w:r>
      <w:r>
        <w:t xml:space="preserve"> </w:t>
      </w:r>
      <w:r>
        <w:t xml:space="preserve">Let</w:t>
      </w:r>
      <w:r>
        <w:t xml:space="preserve"> </w:t>
      </w:r>
      <m:oMath>
        <m:r>
          <m:t>G</m:t>
        </m:r>
        <m:r>
          <m:rPr>
            <m:sty m:val="p"/>
          </m:rPr>
          <m:t>(</m:t>
        </m:r>
        <m:r>
          <m:t>d</m:t>
        </m:r>
        <m:r>
          <m:rPr>
            <m:sty m:val="p"/>
          </m:rPr>
          <m:t>)</m:t>
        </m:r>
      </m:oMath>
      <w:r>
        <w:t xml:space="preserve"> </w:t>
      </w:r>
      <w:r>
        <w:t xml:space="preserve">be the curated set of (target, weight) pairs for condition</w:t>
      </w:r>
      <w:r>
        <w:t xml:space="preserve"> </w:t>
      </w:r>
      <m:oMath>
        <m:r>
          <m:t>d</m:t>
        </m:r>
      </m:oMath>
      <w:r>
        <w:t xml:space="preserve">, and</w:t>
      </w:r>
      <w:r>
        <w:t xml:space="preserve"> </w:t>
      </w:r>
      <m:oMath>
        <m:r>
          <m:t>P</m:t>
        </m:r>
      </m:oMath>
      <w:r>
        <w:t xml:space="preserve"> </w:t>
      </w:r>
      <w:r>
        <w:t xml:space="preserve">the set of conditions whose mechanism is peripheral. Then</w:t>
      </w:r>
    </w:p>
    <w:p>
      <w:pPr>
        <w:pStyle w:val="BodyText"/>
      </w:pPr>
      <m:oMathPara>
        <m:oMathParaPr>
          <m:jc m:val="center"/>
        </m:oMathParaPr>
        <m:oMath>
          <m:sSub>
            <m:e>
              <m:r>
                <m:t>S</m:t>
              </m:r>
            </m:e>
            <m:sub>
              <m:r>
                <m:t>d</m:t>
              </m:r>
            </m:sub>
          </m:sSub>
          <m:r>
            <m:rPr>
              <m:sty m:val="p"/>
            </m:rPr>
            <m:t>(</m:t>
          </m:r>
          <m:r>
            <m:t>x</m:t>
          </m:r>
          <m:r>
            <m:rPr>
              <m:sty m:val="p"/>
            </m:rPr>
            <m:t>)</m:t>
          </m:r>
          <m:r>
            <m:rPr>
              <m:sty m:val="p"/>
            </m:rPr>
            <m:t>=</m:t>
          </m:r>
          <m:limLow>
            <m:e>
              <m:r>
                <m:rPr>
                  <m:sty m:val="p"/>
                </m:rPr>
                <m:t>max</m:t>
              </m:r>
            </m:e>
            <m:lim>
              <m:r>
                <m:rPr>
                  <m:sty m:val="p"/>
                </m:rPr>
                <m:t>(</m:t>
              </m:r>
              <m:r>
                <m:t>t</m:t>
              </m:r>
              <m:r>
                <m:rPr>
                  <m:sty m:val="p"/>
                </m:rPr>
                <m:t>,</m:t>
              </m:r>
              <m:r>
                <m:t>w</m:t>
              </m:r>
              <m:r>
                <m:rPr>
                  <m:sty m:val="p"/>
                </m:rPr>
                <m:t>)</m:t>
              </m:r>
              <m:r>
                <m:rPr>
                  <m:sty m:val="p"/>
                </m:rPr>
                <m:t>∈</m:t>
              </m:r>
              <m:r>
                <m:t>G</m:t>
              </m:r>
              <m:r>
                <m:rPr>
                  <m:sty m:val="p"/>
                </m:rPr>
                <m:t>(</m:t>
              </m:r>
              <m:r>
                <m:t>d</m:t>
              </m:r>
              <m:r>
                <m:rPr>
                  <m:sty m:val="p"/>
                </m:rPr>
                <m:t>)</m:t>
              </m:r>
            </m:lim>
          </m:limLow>
          <m:r>
            <m:t>w</m:t>
          </m:r>
          <m:r>
            <m:rPr>
              <m:sty m:val="p"/>
            </m:rPr>
            <m:t>⋅</m:t>
          </m:r>
          <m:sSub>
            <m:e>
              <m:r>
                <m:t>s</m:t>
              </m:r>
            </m:e>
            <m:sub>
              <m:r>
                <m:t>t</m:t>
              </m:r>
            </m:sub>
          </m:sSub>
          <m:r>
            <m:rPr>
              <m:sty m:val="p"/>
            </m:rPr>
            <m:t>(</m:t>
          </m:r>
          <m:r>
            <m:t>x</m:t>
          </m:r>
          <m:r>
            <m:rPr>
              <m:sty m:val="p"/>
            </m:rPr>
            <m:t>)</m:t>
          </m:r>
          <m:r>
            <m:rPr>
              <m:sty m:val="p"/>
            </m:rPr>
            <m:t>,</m:t>
          </m:r>
          <m:r>
            <m:t>  </m:t>
          </m:r>
          <m:sSub>
            <m:e>
              <m:acc>
                <m:accPr>
                  <m:chr m:val="̃"/>
                </m:accPr>
                <m:e>
                  <m:r>
                    <m:t>S</m:t>
                  </m:r>
                </m:e>
              </m:acc>
            </m:e>
            <m:sub>
              <m:r>
                <m:t>d</m:t>
              </m:r>
            </m:sub>
          </m:sSub>
          <m:r>
            <m:rPr>
              <m:sty m:val="p"/>
            </m:rPr>
            <m:t>(</m:t>
          </m:r>
          <m:r>
            <m:t>x</m:t>
          </m:r>
          <m:r>
            <m:rPr>
              <m:sty m:val="p"/>
            </m:rPr>
            <m:t>)</m:t>
          </m:r>
          <m:r>
            <m:rPr>
              <m:sty m:val="p"/>
            </m:rPr>
            <m:t>=</m:t>
          </m:r>
          <m:sSub>
            <m:e>
              <m:r>
                <m:t>γ</m:t>
              </m:r>
            </m:e>
            <m:sub>
              <m:r>
                <m:t>d</m:t>
              </m:r>
            </m:sub>
          </m:sSub>
          <m:r>
            <m:rPr>
              <m:sty m:val="p"/>
            </m:rPr>
            <m:t>(</m:t>
          </m:r>
          <m:r>
            <m:t>x</m:t>
          </m:r>
          <m:r>
            <m:rPr>
              <m:sty m:val="p"/>
            </m:rPr>
            <m:t>)</m:t>
          </m:r>
          <m:r>
            <m:t> </m:t>
          </m:r>
          <m:sSub>
            <m:e>
              <m:r>
                <m:t>S</m:t>
              </m:r>
            </m:e>
            <m:sub>
              <m:r>
                <m:t>d</m:t>
              </m:r>
            </m:sub>
          </m:sSub>
          <m:r>
            <m:rPr>
              <m:sty m:val="p"/>
            </m:rPr>
            <m:t>(</m:t>
          </m:r>
          <m:r>
            <m:t>x</m:t>
          </m:r>
          <m:r>
            <m:rPr>
              <m:sty m:val="p"/>
            </m:rPr>
            <m:t>)</m:t>
          </m:r>
          <m:r>
            <m:rPr>
              <m:sty m:val="p"/>
            </m:rPr>
            <m:t>,</m:t>
          </m:r>
          <m:r>
            <m:t>  </m:t>
          </m:r>
          <m:sSub>
            <m:e>
              <m:r>
                <m:t>γ</m:t>
              </m:r>
            </m:e>
            <m:sub>
              <m:r>
                <m:t>d</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d</m:t>
                    </m:r>
                    <m:r>
                      <m:rPr>
                        <m:sty m:val="p"/>
                      </m:rPr>
                      <m:t>∈</m:t>
                    </m:r>
                    <m:r>
                      <m:t>P</m:t>
                    </m:r>
                  </m:e>
                </m:mr>
                <m:mr>
                  <m:e>
                    <m:sSub>
                      <m:e>
                        <m:acc>
                          <m:accPr>
                            <m:chr m:val="̂"/>
                          </m:accPr>
                          <m:e>
                            <m:r>
                              <m:t>q</m:t>
                            </m:r>
                          </m:e>
                        </m:acc>
                      </m:e>
                      <m:sub>
                        <m:r>
                          <m:rPr>
                            <m:sty m:val="p"/>
                          </m:rPr>
                          <m:t>B</m:t>
                        </m:r>
                        <m:r>
                          <m:rPr>
                            <m:sty m:val="p"/>
                          </m:rPr>
                          <m:t>B</m:t>
                        </m:r>
                        <m:r>
                          <m:rPr>
                            <m:sty m:val="p"/>
                          </m:rPr>
                          <m:t>B</m:t>
                        </m:r>
                      </m:sub>
                    </m:sSub>
                    <m:r>
                      <m:rPr>
                        <m:sty m:val="p"/>
                      </m:rPr>
                      <m:t>(</m:t>
                    </m:r>
                    <m:r>
                      <m:t>x</m:t>
                    </m:r>
                    <m:r>
                      <m:rPr>
                        <m:sty m:val="p"/>
                      </m:rPr>
                      <m:t>)</m:t>
                    </m:r>
                    <m:r>
                      <m:rPr>
                        <m:sty m:val="p"/>
                      </m:rPr>
                      <m:t>,</m:t>
                    </m:r>
                  </m:e>
                  <m:e>
                    <m:r>
                      <m:rPr>
                        <m:nor/>
                        <m:sty m:val="p"/>
                      </m:rPr>
                      <m:t>otherwise.</m:t>
                    </m:r>
                  </m:e>
                </m:mr>
              </m:m>
            </m:e>
          </m:d>
        </m:oMath>
      </m:oMathPara>
    </w:p>
    <w:p>
      <w:pPr>
        <w:pStyle w:val="FirstParagraph"/>
      </w:pPr>
      <w:r>
        <w:t xml:space="preserve">Two consequences follow from the algebra alone, and both have been misread in the past. First, the</w:t>
      </w:r>
      <w:r>
        <w:t xml:space="preserve"> </w:t>
      </w:r>
      <w:r>
        <w:t xml:space="preserve">maximum rather than a sum means a condition is scored by its single strongest engaged mechanism, so</w:t>
      </w:r>
      <w:r>
        <w:t xml:space="preserve"> </w:t>
      </w:r>
      <w:r>
        <w:t xml:space="preserve">engaging three of its targets scores exactly as engaging its strongest. That is deliberate: H8 found</w:t>
      </w:r>
      <w:r>
        <w:t xml:space="preserve"> </w:t>
      </w:r>
      <w:r>
        <w:t xml:space="preserve">co-engaged targets are frequently homologues, and a sum would count one observation several times.</w:t>
      </w:r>
      <w:r>
        <w:t xml:space="preserve"> </w:t>
      </w:r>
      <w:r>
        <w:t xml:space="preserve">Second,</w:t>
      </w:r>
      <w:r>
        <w:t xml:space="preserve"> </w:t>
      </w:r>
      <m:oMath>
        <m:sSub>
          <m:e>
            <m:r>
              <m:t>γ</m:t>
            </m:r>
          </m:e>
          <m:sub>
            <m:r>
              <m:t>d</m:t>
            </m:r>
          </m:sub>
        </m:sSub>
      </m:oMath>
      <w:r>
        <w:t xml:space="preserve"> </w:t>
      </w:r>
      <w:r>
        <w:t xml:space="preserve">does not depend on</w:t>
      </w:r>
      <w:r>
        <w:t xml:space="preserve"> </w:t>
      </w:r>
      <m:oMath>
        <m:r>
          <m:t>d</m:t>
        </m:r>
      </m:oMath>
      <w:r>
        <w:t xml:space="preserve"> </w:t>
      </w:r>
      <w:r>
        <w:t xml:space="preserve">across the non-peripheral conditions, so it cannot change</w:t>
      </w:r>
      <w:r>
        <w:t xml:space="preserve"> </w:t>
      </w:r>
      <w:r>
        <w:t xml:space="preserve">their relative order. It is an exposure filter deciding whether anything is reported at all, not a</w:t>
      </w:r>
      <w:r>
        <w:t xml:space="preserve"> </w:t>
      </w:r>
      <w:r>
        <w:t xml:space="preserve">discriminator between conditions, which is why H3 is recorded as refuted by construction rather than</w:t>
      </w:r>
      <w:r>
        <w:t xml:space="preserve"> </w:t>
      </w:r>
      <w:r>
        <w:t xml:space="preserve">by experiment.</w:t>
      </w:r>
    </w:p>
    <w:p>
      <w:pPr>
        <w:pStyle w:val="BodyText"/>
      </w:pPr>
      <w:r>
        <w:rPr>
          <w:b/>
          <w:bCs/>
        </w:rPr>
        <w:t xml:space="preserve">Metrics.</w:t>
      </w:r>
      <w:r>
        <w:t xml:space="preserve"> </w:t>
      </w:r>
      <w:r>
        <w:t xml:space="preserve">With</w:t>
      </w:r>
      <w:r>
        <w:t xml:space="preserve"> </w:t>
      </w:r>
      <m:oMath>
        <m:sSub>
          <m:e>
            <m:r>
              <m:t>n</m:t>
            </m:r>
          </m:e>
          <m:sub>
            <m:r>
              <m:t>1</m:t>
            </m:r>
          </m:sub>
        </m:sSub>
      </m:oMath>
      <w:r>
        <w:t xml:space="preserve"> </w:t>
      </w:r>
      <w:r>
        <w:t xml:space="preserve">actives,</w:t>
      </w:r>
      <w:r>
        <w:t xml:space="preserve"> </w:t>
      </w:r>
      <m:oMath>
        <m:sSub>
          <m:e>
            <m:r>
              <m:t>n</m:t>
            </m:r>
          </m:e>
          <m:sub>
            <m:r>
              <m:t>0</m:t>
            </m:r>
          </m:sub>
        </m:sSub>
      </m:oMath>
      <w:r>
        <w:t xml:space="preserve"> </w:t>
      </w:r>
      <w:r>
        <w:t xml:space="preserve">inactives and</w:t>
      </w:r>
      <w:r>
        <w:t xml:space="preserve"> </w:t>
      </w:r>
      <m:oMath>
        <m:sSub>
          <m:e>
            <m:r>
              <m:t>R</m:t>
            </m:r>
          </m:e>
          <m:sub>
            <m:r>
              <m:t>i</m:t>
            </m:r>
          </m:sub>
        </m:sSub>
      </m:oMath>
      <w:r>
        <w:t xml:space="preserve"> </w:t>
      </w:r>
      <w:r>
        <w:t xml:space="preserve">the mid-rank of the</w:t>
      </w:r>
      <w:r>
        <w:t xml:space="preserve"> </w:t>
      </w:r>
      <m:oMath>
        <m:r>
          <m:t>i</m:t>
        </m:r>
      </m:oMath>
      <w:r>
        <w:t xml:space="preserve">-th score,</w:t>
      </w:r>
    </w:p>
    <w:p>
      <w:pPr>
        <w:pStyle w:val="BodyText"/>
      </w:pPr>
      <m:oMathPara>
        <m:oMathParaPr>
          <m:jc m:val="center"/>
        </m:oMathParaPr>
        <m:oMath>
          <m:r>
            <m:rPr>
              <m:sty m:val="p"/>
            </m:rPr>
            <m:t>A</m:t>
          </m:r>
          <m:r>
            <m:rPr>
              <m:sty m:val="p"/>
            </m:rPr>
            <m:t>U</m:t>
          </m:r>
          <m:r>
            <m:rPr>
              <m:sty m:val="p"/>
            </m:rPr>
            <m:t>R</m:t>
          </m:r>
          <m:r>
            <m:rPr>
              <m:sty m:val="p"/>
            </m:rPr>
            <m:t>O</m:t>
          </m:r>
          <m:r>
            <m:rPr>
              <m:sty m:val="p"/>
            </m:rPr>
            <m:t>C</m:t>
          </m:r>
          <m:r>
            <m:rPr>
              <m:sty m:val="p"/>
            </m:rPr>
            <m:t>=</m:t>
          </m:r>
          <m:f>
            <m:fPr>
              <m:type m:val="bar"/>
            </m:fPr>
            <m:num>
              <m:r>
                <m:t>1</m:t>
              </m:r>
            </m:num>
            <m:den>
              <m:sSub>
                <m:e>
                  <m:r>
                    <m:t>n</m:t>
                  </m:r>
                </m:e>
                <m:sub>
                  <m:r>
                    <m:t>1</m:t>
                  </m:r>
                </m:sub>
              </m:sSub>
              <m:sSub>
                <m:e>
                  <m:r>
                    <m:t>n</m:t>
                  </m:r>
                </m:e>
                <m:sub>
                  <m:r>
                    <m:t>0</m:t>
                  </m:r>
                </m:sub>
              </m:sSub>
            </m:den>
          </m:f>
          <m:d>
            <m:dPr>
              <m:begChr m:val="("/>
              <m:sepChr m:val=""/>
              <m:endChr m:val=")"/>
              <m:grow/>
            </m:dPr>
            <m:e>
              <m:nary>
                <m:naryPr>
                  <m:chr m:val="∑"/>
                  <m:limLoc m:val="undOvr"/>
                  <m:subHide m:val="off"/>
                  <m:supHide m:val="on"/>
                </m:naryPr>
                <m:sub>
                  <m:r>
                    <m:t>i</m:t>
                  </m:r>
                  <m:r>
                    <m:rPr>
                      <m:sty m:val="p"/>
                    </m:rPr>
                    <m:t>:</m:t>
                  </m:r>
                  <m:r>
                    <m:t> </m:t>
                  </m:r>
                  <m:sSub>
                    <m:e>
                      <m:r>
                        <m:t>y</m:t>
                      </m:r>
                    </m:e>
                    <m:sub>
                      <m:r>
                        <m:t>i</m:t>
                      </m:r>
                    </m:sub>
                  </m:sSub>
                  <m:r>
                    <m:rPr>
                      <m:sty m:val="p"/>
                    </m:rPr>
                    <m:t>=</m:t>
                  </m:r>
                  <m:r>
                    <m:t>1</m:t>
                  </m:r>
                </m:sub>
                <m:sup>
                  <m:r>
                    <m:t>​</m:t>
                  </m:r>
                </m:sup>
                <m:e>
                  <m:sSub>
                    <m:e>
                      <m:r>
                        <m:t>R</m:t>
                      </m:r>
                    </m:e>
                    <m:sub>
                      <m:r>
                        <m:t>i</m:t>
                      </m:r>
                    </m:sub>
                  </m:sSub>
                </m:e>
              </m:nary>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e>
          </m:d>
          <m:r>
            <m:rPr>
              <m:sty m:val="p"/>
            </m:rPr>
            <m:t>=</m:t>
          </m:r>
          <m:f>
            <m:fPr>
              <m:type m:val="bar"/>
            </m:fPr>
            <m:num>
              <m:r>
                <m:t>U</m:t>
              </m:r>
            </m:num>
            <m:den>
              <m:sSub>
                <m:e>
                  <m:r>
                    <m:t>n</m:t>
                  </m:r>
                </m:e>
                <m:sub>
                  <m:r>
                    <m:t>1</m:t>
                  </m:r>
                </m:sub>
              </m:sSub>
              <m:sSub>
                <m:e>
                  <m:r>
                    <m:t>n</m:t>
                  </m:r>
                </m:e>
                <m:sub>
                  <m:r>
                    <m:t>0</m:t>
                  </m:r>
                </m:sub>
              </m:sSub>
            </m:den>
          </m:f>
          <m:r>
            <m:rPr>
              <m:sty m:val="p"/>
            </m:rPr>
            <m:t>,</m:t>
          </m:r>
        </m:oMath>
      </m:oMathPara>
    </w:p>
    <w:p>
      <w:pPr>
        <w:pStyle w:val="FirstParagraph"/>
      </w:pPr>
      <w:r>
        <w:t xml:space="preserve">which is the Mann-Whitney</w:t>
      </w:r>
      <w:r>
        <w:t xml:space="preserve"> </w:t>
      </w:r>
      <m:oMath>
        <m:r>
          <m:t>U</m:t>
        </m:r>
      </m:oMath>
      <w:r>
        <w:t xml:space="preserve"> </w:t>
      </w:r>
      <w:r>
        <w:t xml:space="preserve">statistic normalised. An AUROC and a</w:t>
      </w:r>
      <w:r>
        <w:t xml:space="preserve"> </w:t>
      </w:r>
      <m:oMath>
        <m:r>
          <m:t>p</m:t>
        </m:r>
      </m:oMath>
      <w:r>
        <w:t xml:space="preserve">-value from that test are two</w:t>
      </w:r>
      <w:r>
        <w:t xml:space="preserve"> </w:t>
      </w:r>
      <w:r>
        <w:t xml:space="preserve">readings of one quantity, which is why both appear together throughout section 6. Expected</w:t>
      </w:r>
      <w:r>
        <w:t xml:space="preserve"> </w:t>
      </w:r>
      <w:r>
        <w:t xml:space="preserve">calibration error over</w:t>
      </w:r>
      <w:r>
        <w:t xml:space="preserve"> </w:t>
      </w:r>
      <m:oMath>
        <m:r>
          <m:t>M</m:t>
        </m:r>
      </m:oMath>
      <w:r>
        <w:t xml:space="preserve"> </w:t>
      </w:r>
      <w:r>
        <w:t xml:space="preserve">equal-width confidence bins is</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j</m:t>
              </m:r>
              <m:r>
                <m:rPr>
                  <m:sty m:val="p"/>
                </m:rPr>
                <m:t>=</m:t>
              </m:r>
              <m:r>
                <m:t>1</m:t>
              </m:r>
            </m:sub>
            <m:sup>
              <m:r>
                <m:t>M</m:t>
              </m:r>
            </m:sup>
            <m:e>
              <m:f>
                <m:fPr>
                  <m:type m:val="bar"/>
                </m:fPr>
                <m:num>
                  <m:r>
                    <m:rPr>
                      <m:sty m:val="p"/>
                    </m:rPr>
                    <m:t>|</m:t>
                  </m:r>
                  <m:sSub>
                    <m:e>
                      <m:r>
                        <m:t>B</m:t>
                      </m:r>
                    </m:e>
                    <m:sub>
                      <m:r>
                        <m:t>j</m:t>
                      </m:r>
                    </m:sub>
                  </m:sSub>
                  <m:r>
                    <m:rPr>
                      <m:sty m:val="p"/>
                    </m:rPr>
                    <m:t>|</m:t>
                  </m:r>
                </m:num>
                <m:den>
                  <m:r>
                    <m:t>n</m:t>
                  </m:r>
                </m:den>
              </m:f>
            </m:e>
          </m:nary>
          <m:r>
            <m:t> </m:t>
          </m:r>
          <m:r>
            <m:rPr>
              <m:sty m:val="p"/>
            </m:rPr>
            <m:t>|</m:t>
          </m:r>
          <m:r>
            <m:rPr>
              <m:sty m:val="p"/>
            </m:rPr>
            <m:t>a</m:t>
          </m:r>
          <m:r>
            <m:rPr>
              <m:sty m:val="p"/>
            </m:rPr>
            <m:t>c</m:t>
          </m:r>
          <m:r>
            <m:rPr>
              <m:sty m:val="p"/>
            </m:rPr>
            <m:t>c</m:t>
          </m:r>
          <m:r>
            <m:rPr>
              <m:sty m:val="p"/>
            </m:rPr>
            <m:t>(</m:t>
          </m:r>
          <m:sSub>
            <m:e>
              <m:r>
                <m:t>B</m:t>
              </m:r>
            </m:e>
            <m:sub>
              <m:r>
                <m:t>j</m:t>
              </m:r>
            </m:sub>
          </m:sSub>
          <m:r>
            <m:rPr>
              <m:sty m:val="p"/>
            </m:rPr>
            <m:t>)</m:t>
          </m:r>
          <m:r>
            <m:rPr>
              <m:sty m:val="p"/>
            </m:rPr>
            <m:t>−</m:t>
          </m:r>
          <m:r>
            <m:rPr>
              <m:sty m:val="p"/>
            </m:rPr>
            <m:t>c</m:t>
          </m:r>
          <m:r>
            <m:rPr>
              <m:sty m:val="p"/>
            </m:rPr>
            <m:t>o</m:t>
          </m:r>
          <m:r>
            <m:rPr>
              <m:sty m:val="p"/>
            </m:rPr>
            <m:t>n</m:t>
          </m:r>
          <m:r>
            <m:rPr>
              <m:sty m:val="p"/>
            </m:rPr>
            <m:t>f</m:t>
          </m:r>
          <m:r>
            <m:rPr>
              <m:sty m:val="p"/>
            </m:rPr>
            <m:t>(</m:t>
          </m:r>
          <m:sSub>
            <m:e>
              <m:r>
                <m:t>B</m:t>
              </m:r>
            </m:e>
            <m:sub>
              <m:r>
                <m:t>j</m:t>
              </m:r>
            </m:sub>
          </m:sSub>
          <m:r>
            <m:rPr>
              <m:sty m:val="p"/>
            </m:rPr>
            <m:t>)</m:t>
          </m:r>
          <m:r>
            <m:rPr>
              <m:sty m:val="p"/>
            </m:rPr>
            <m:t>|</m:t>
          </m:r>
          <m:r>
            <m:rPr>
              <m:sty m:val="p"/>
            </m:rPr>
            <m:t>.</m:t>
          </m:r>
        </m:oMath>
      </m:oMathPara>
    </w:p>
    <w:p>
      <w:pPr>
        <w:pStyle w:val="FirstParagraph"/>
      </w:pPr>
      <w:r>
        <w:t xml:space="preserve">Binomial proportions are reported with Wilson intervals rather than normal-approximation intervals,</w:t>
      </w:r>
      <w:r>
        <w:t xml:space="preserve"> </w:t>
      </w:r>
      <w:r>
        <w:t xml:space="preserve">because several of them sit near 0 or 1, where the normal interval leaves the unit interval.</w:t>
      </w:r>
    </w:p>
    <w:p>
      <w:r>
        <w:pict>
          <v:rect style="width:0;height:1.5pt" o:hralign="center" o:hrstd="t" o:hr="t"/>
        </w:pict>
      </w:r>
    </w:p>
    <w:bookmarkEnd w:id="30"/>
    <w:bookmarkEnd w:id="31"/>
    <w:bookmarkStart w:id="34" w:name="why-70-models-and-not-one"/>
    <w:p>
      <w:pPr>
        <w:pStyle w:val="Heading2"/>
      </w:pPr>
      <w:r>
        <w:t xml:space="preserve">4. Why 70 models and not one</w:t>
      </w:r>
    </w:p>
    <w:p>
      <w:pPr>
        <w:pStyle w:val="FirstParagraph"/>
      </w:pPr>
      <w:r>
        <w:t xml:space="preserve">This is the question most often asked of the design, and it has a specific answer.</w:t>
      </w:r>
    </w:p>
    <w:bookmarkStart w:id="32" w:name="the-alternative-and-why-it-fails"/>
    <w:p>
      <w:pPr>
        <w:pStyle w:val="Heading3"/>
      </w:pPr>
      <w:r>
        <w:t xml:space="preserve">4.1 The alternative, and why it fails</w:t>
      </w:r>
    </w:p>
    <w:p>
      <w:pPr>
        <w:pStyle w:val="FirstParagraph"/>
      </w:pPr>
      <w:r>
        <w:t xml:space="preserve">The obvious alternative is one multi-task model: a single network with one output per endpoint,</w:t>
      </w:r>
      <w:r>
        <w:t xml:space="preserve"> </w:t>
      </w:r>
      <w:r>
        <w:t xml:space="preserve">trained on all the data at once. It is rejected here for reasons that are about the data, not about</w:t>
      </w:r>
      <w:r>
        <w:t xml:space="preserve"> </w:t>
      </w:r>
      <w:r>
        <w:t xml:space="preserve">preference.</w:t>
      </w:r>
    </w:p>
    <w:p>
      <w:pPr>
        <w:pStyle w:val="BodyText"/>
      </w:pPr>
      <w:r>
        <w:rPr>
          <w:b/>
          <w:bCs/>
        </w:rPr>
        <w:t xml:space="preserve">The label matrix is almost entirely missing.</w:t>
      </w:r>
      <w:r>
        <w:t xml:space="preserve"> </w:t>
      </w:r>
      <w:r>
        <w:t xml:space="preserve">228,200 measurements spread over</w:t>
      </w:r>
      <w:r>
        <w:t xml:space="preserve"> </w:t>
      </w:r>
      <w:r>
        <w:t xml:space="preserve">63 endpoints and roughly 169,000 unique compounds would fill under two per cent of a</w:t>
      </w:r>
      <w:r>
        <w:t xml:space="preserve"> </w:t>
      </w:r>
      <w:r>
        <w:t xml:space="preserve">compound-by-endpoint matrix. A compound measured at AChE has almost never been measured at OX2.</w:t>
      </w:r>
      <w:r>
        <w:t xml:space="preserve"> </w:t>
      </w:r>
      <w:r>
        <w:t xml:space="preserve">Multi-task learning shares strength across tasks; with a matrix this sparse it mostly shares</w:t>
      </w:r>
      <w:r>
        <w:t xml:space="preserve"> </w:t>
      </w:r>
      <w:r>
        <w:rPr>
          <w:i/>
          <w:iCs/>
        </w:rPr>
        <w:t xml:space="preserve">absence</w:t>
      </w:r>
      <w:r>
        <w:t xml:space="preserve">, and a missing measurement is not a negative result.</w:t>
      </w:r>
    </w:p>
    <w:p>
      <w:pPr>
        <w:pStyle w:val="BodyText"/>
      </w:pPr>
      <w:r>
        <w:rPr>
          <w:b/>
          <w:bCs/>
        </w:rPr>
        <w:t xml:space="preserve">The negative class means different things per endpoint.</w:t>
      </w:r>
      <w:r>
        <w:t xml:space="preserve"> </w:t>
      </w:r>
      <w:r>
        <w:t xml:space="preserve">For a target with recovered censored</w:t>
      </w:r>
      <w:r>
        <w:t xml:space="preserve"> </w:t>
      </w:r>
      <w:r>
        <w:t xml:space="preserve">bounds, a negative is a compound</w:t>
      </w:r>
      <w:r>
        <w:t xml:space="preserve"> </w:t>
      </w:r>
      <w:r>
        <w:rPr>
          <w:i/>
          <w:iCs/>
        </w:rPr>
        <w:t xml:space="preserve">measured and found inactive</w:t>
      </w:r>
      <w:r>
        <w:t xml:space="preserve">. For a target without them, a</w:t>
      </w:r>
      <w:r>
        <w:t xml:space="preserve"> </w:t>
      </w:r>
      <w:r>
        <w:t xml:space="preserve">negative is a property-matched decoy, which is an assumption. Pooling those into one loss silently</w:t>
      </w:r>
      <w:r>
        <w:t xml:space="preserve"> </w:t>
      </w:r>
      <w:r>
        <w:t xml:space="preserve">averages a measurement with an assumption.</w:t>
      </w:r>
    </w:p>
    <w:p>
      <w:pPr>
        <w:pStyle w:val="BodyText"/>
      </w:pPr>
      <w:r>
        <w:rPr>
          <w:b/>
          <w:bCs/>
        </w:rPr>
        <w:t xml:space="preserve">The endpoints have incompatible base rates.</w:t>
      </w:r>
      <w:r>
        <w:t xml:space="preserve"> </w:t>
      </w:r>
      <w:r>
        <w:t xml:space="preserve">Some sets are 90 per cent active, an artefact of the</w:t>
      </w:r>
      <w:r>
        <w:t xml:space="preserve"> </w:t>
      </w:r>
      <w:r>
        <w:t xml:space="preserve">deposition query rather than of the chemistry. A shared output layer propagates one endpoint’s class</w:t>
      </w:r>
      <w:r>
        <w:t xml:space="preserve"> </w:t>
      </w:r>
      <w:r>
        <w:t xml:space="preserve">imbalance into another’s decision boundary.</w:t>
      </w:r>
    </w:p>
    <w:p>
      <w:pPr>
        <w:pStyle w:val="BodyText"/>
      </w:pPr>
      <w:r>
        <w:rPr>
          <w:b/>
          <w:bCs/>
        </w:rPr>
        <w:t xml:space="preserve">A per-endpoint threshold is required and could not be honest otherwise.</w:t>
      </w:r>
      <w:r>
        <w:t xml:space="preserve"> </w:t>
      </w:r>
      <w:r>
        <w:t xml:space="preserve">Each endpoint’s cut is</w:t>
      </w:r>
      <w:r>
        <w:t xml:space="preserve"> </w:t>
      </w:r>
      <w:r>
        <w:t xml:space="preserve">set on held-out measured inactives</w:t>
      </w:r>
      <w:r>
        <w:t xml:space="preserve"> </w:t>
      </w:r>
      <w:r>
        <w:rPr>
          <w:i/>
          <w:iCs/>
        </w:rPr>
        <w:t xml:space="preserve">for that endpoint</w:t>
      </w:r>
      <w:r>
        <w:t xml:space="preserve"> </w:t>
      </w:r>
      <w:r>
        <w:t xml:space="preserve">and verified on a disjoint background pool.</w:t>
      </w:r>
      <w:r>
        <w:t xml:space="preserve"> </w:t>
      </w:r>
      <w:r>
        <w:t xml:space="preserve">That is only definable per endpoint.</w:t>
      </w:r>
    </w:p>
    <w:p>
      <w:pPr>
        <w:pStyle w:val="BodyText"/>
      </w:pPr>
      <w:r>
        <w:rPr>
          <w:b/>
          <w:bCs/>
        </w:rPr>
        <w:t xml:space="preserve">Failure stays local.</w:t>
      </w:r>
      <w:r>
        <w:t xml:space="preserve"> </w:t>
      </w:r>
      <w:r>
        <w:t xml:space="preserve">Five endpoints were trained, tested and withdrawn. In an independent panel a</w:t>
      </w:r>
      <w:r>
        <w:t xml:space="preserve"> </w:t>
      </w:r>
      <w:r>
        <w:t xml:space="preserve">withdrawal removes one output. In a shared-weight model the same data would have influenced every</w:t>
      </w:r>
      <w:r>
        <w:t xml:space="preserve"> </w:t>
      </w:r>
      <w:r>
        <w:t xml:space="preserve">other endpoint’s representation, and withdrawing it cleanly would not be possible.</w:t>
      </w:r>
    </w:p>
    <w:bookmarkEnd w:id="32"/>
    <w:bookmarkStart w:id="33" w:name="what-independence-costs"/>
    <w:p>
      <w:pPr>
        <w:pStyle w:val="Heading3"/>
      </w:pPr>
      <w:r>
        <w:t xml:space="preserve">4.2 What independence costs</w:t>
      </w:r>
    </w:p>
    <w:p>
      <w:pPr>
        <w:pStyle w:val="FirstParagraph"/>
      </w:pPr>
      <w:r>
        <w:t xml:space="preserve">It is not free, and the honest statement of the cost is this: a multi-task model can borrow</w:t>
      </w:r>
      <w:r>
        <w:t xml:space="preserve"> </w:t>
      </w:r>
      <w:r>
        <w:t xml:space="preserve">statistical strength for a small endpoint from a large related one. The smallest deployed set here</w:t>
      </w:r>
      <w:r>
        <w:t xml:space="preserve"> </w:t>
      </w:r>
      <w:r>
        <w:t xml:space="preserve">has 387 compounds and would plausibly benefit. That benefit is forgone deliberately, because the</w:t>
      </w:r>
      <w:r>
        <w:t xml:space="preserve"> </w:t>
      </w:r>
      <w:r>
        <w:t xml:space="preserve">price is a shared representation in which no endpoint’s threshold, negative class or withdrawal is</w:t>
      </w:r>
      <w:r>
        <w:t xml:space="preserve"> </w:t>
      </w:r>
      <w:r>
        <w:t xml:space="preserve">independently defensible.</w:t>
      </w:r>
    </w:p>
    <w:p>
      <w:r>
        <w:pict>
          <v:rect style="width:0;height:1.5pt" o:hralign="center" o:hrstd="t" o:hr="t"/>
        </w:pict>
      </w:r>
    </w:p>
    <w:bookmarkEnd w:id="33"/>
    <w:bookmarkEnd w:id="34"/>
    <w:bookmarkStart w:id="39" w:name="X941570e052b340f37040d3964666721bda81931"/>
    <w:p>
      <w:pPr>
        <w:pStyle w:val="Heading2"/>
      </w:pPr>
      <w:r>
        <w:t xml:space="preserve">5. How 70 independent models answer one question</w:t>
      </w:r>
    </w:p>
    <w:p>
      <w:pPr>
        <w:pStyle w:val="FirstParagraph"/>
      </w:pPr>
      <w:r>
        <w:t xml:space="preserve">The estimators are independent in</w:t>
      </w:r>
      <w:r>
        <w:t xml:space="preserve"> </w:t>
      </w:r>
      <w:r>
        <w:rPr>
          <w:i/>
          <w:iCs/>
        </w:rPr>
        <w:t xml:space="preserve">fitting</w:t>
      </w:r>
      <w:r>
        <w:t xml:space="preserve">. They are not independent in</w:t>
      </w:r>
      <w:r>
        <w:t xml:space="preserve"> </w:t>
      </w:r>
      <w:r>
        <w:rPr>
          <w:i/>
          <w:iCs/>
        </w:rPr>
        <w:t xml:space="preserve">use</w:t>
      </w:r>
      <w:r>
        <w:t xml:space="preserve">: the output is</w:t>
      </w:r>
      <w:r>
        <w:t xml:space="preserve"> </w:t>
      </w:r>
      <w:r>
        <w:t xml:space="preserve">assembled in a fixed order, and each stage constrains the next.</w:t>
      </w:r>
    </w:p>
    <w:p>
      <w:pPr>
        <w:pStyle w:val="CaptionedFigure"/>
      </w:pPr>
      <w:r>
        <w:drawing>
          <wp:inline>
            <wp:extent cx="5969000" cy="6928303"/>
            <wp:effectExtent b="0" l="0" r="0" t="0"/>
            <wp:docPr descr="Flowchart 3" title="" id="36" name="Picture"/>
            <a:graphic>
              <a:graphicData uri="http://schemas.openxmlformats.org/drawingml/2006/picture">
                <pic:pic>
                  <pic:nvPicPr>
                    <pic:cNvPr descr="_report_figures/flowchart_3.png" id="37" name="Picture"/>
                    <pic:cNvPicPr>
                      <a:picLocks noChangeArrowheads="1" noChangeAspect="1"/>
                    </pic:cNvPicPr>
                  </pic:nvPicPr>
                  <pic:blipFill>
                    <a:blip r:embed="rId35"/>
                    <a:stretch>
                      <a:fillRect/>
                    </a:stretch>
                  </pic:blipFill>
                  <pic:spPr bwMode="auto">
                    <a:xfrm>
                      <a:off x="0" y="0"/>
                      <a:ext cx="5969000" cy="6928303"/>
                    </a:xfrm>
                    <a:prstGeom prst="rect">
                      <a:avLst/>
                    </a:prstGeom>
                    <a:noFill/>
                    <a:ln w="9525">
                      <a:noFill/>
                      <a:headEnd/>
                      <a:tailEnd/>
                    </a:ln>
                  </pic:spPr>
                </pic:pic>
              </a:graphicData>
            </a:graphic>
          </wp:inline>
        </w:drawing>
      </w:r>
    </w:p>
    <w:p>
      <w:pPr>
        <w:pStyle w:val="ImageCaption"/>
      </w:pPr>
      <w:r>
        <w:t xml:space="preserve">Flowchart 3</w:t>
      </w:r>
    </w:p>
    <w:p>
      <w:pPr>
        <w:pStyle w:val="BodyText"/>
      </w:pPr>
      <w:r>
        <w:rPr>
          <w:b/>
          <w:bCs/>
        </w:rPr>
        <w:t xml:space="preserve">The logic, stated plainly.</w:t>
      </w:r>
    </w:p>
    <w:p>
      <w:pPr>
        <w:pStyle w:val="Compact"/>
        <w:numPr>
          <w:ilvl w:val="0"/>
          <w:numId w:val="1005"/>
        </w:numPr>
      </w:pPr>
      <w:r>
        <w:rPr>
          <w:b/>
          <w:bCs/>
        </w:rPr>
        <w:t xml:space="preserve">Each model answers only its own question.</w:t>
      </w:r>
      <w:r>
        <w:t xml:space="preserve"> </w:t>
      </w:r>
      <w:r>
        <w:t xml:space="preserve">The AChE model knows nothing about hERG.</w:t>
      </w:r>
    </w:p>
    <w:p>
      <w:pPr>
        <w:pStyle w:val="Compact"/>
        <w:numPr>
          <w:ilvl w:val="0"/>
          <w:numId w:val="1005"/>
        </w:numPr>
      </w:pPr>
      <w:r>
        <w:rPr>
          <w:b/>
          <w:bCs/>
        </w:rPr>
        <w:t xml:space="preserve">Engagement is put on a common scale.</w:t>
      </w:r>
      <w:r>
        <w:t xml:space="preserve"> </w:t>
      </w:r>
      <w:r>
        <w:t xml:space="preserve">A calibrated probability is not comparable between</w:t>
      </w:r>
      <w:r>
        <w:t xml:space="preserve"> </w:t>
      </w:r>
      <w:r>
        <w:t xml:space="preserve">targets, because each has its own threshold and its own base rate. Each target’s probability is</w:t>
      </w:r>
      <w:r>
        <w:t xml:space="preserve"> </w:t>
      </w:r>
      <w:r>
        <w:t xml:space="preserve">converted to an</w:t>
      </w:r>
      <w:r>
        <w:t xml:space="preserve"> </w:t>
      </w:r>
      <w:r>
        <w:rPr>
          <w:i/>
          <w:iCs/>
        </w:rPr>
        <w:t xml:space="preserve">engagement signal</w:t>
      </w:r>
      <w:r>
        <w:t xml:space="preserve">: distance above that target’s own reporting threshold,</w:t>
      </w:r>
      <w:r>
        <w:t xml:space="preserve"> </w:t>
      </w:r>
      <w:r>
        <w:t xml:space="preserve">rescaled to 0–1. That is the only quantity compared across targets.</w:t>
      </w:r>
    </w:p>
    <w:p>
      <w:pPr>
        <w:pStyle w:val="Compact"/>
        <w:numPr>
          <w:ilvl w:val="0"/>
          <w:numId w:val="1005"/>
        </w:numPr>
      </w:pPr>
      <w:r>
        <w:rPr>
          <w:b/>
          <w:bCs/>
        </w:rPr>
        <w:t xml:space="preserve">Base-rate enrichment, not raw probability.</w:t>
      </w:r>
      <w:r>
        <w:t xml:space="preserve"> </w:t>
      </w:r>
      <w:r>
        <w:t xml:space="preserve">Several training sets are active-heavy, so a high</w:t>
      </w:r>
      <w:r>
        <w:t xml:space="preserve"> </w:t>
      </w:r>
      <w:r>
        <w:t xml:space="preserve">probability may say more about the endpoint than about the compound. A target is scored by how far</w:t>
      </w:r>
      <w:r>
        <w:t xml:space="preserve"> </w:t>
      </w:r>
      <w:r>
        <w:t xml:space="preserve">it sits above its own base rate.</w:t>
      </w:r>
    </w:p>
    <w:p>
      <w:pPr>
        <w:pStyle w:val="Compact"/>
        <w:numPr>
          <w:ilvl w:val="0"/>
          <w:numId w:val="1005"/>
        </w:numPr>
      </w:pPr>
      <w:r>
        <w:rPr>
          <w:b/>
          <w:bCs/>
        </w:rPr>
        <w:t xml:space="preserve">Exposure gates everything.</w:t>
      </w:r>
      <w:r>
        <w:t xml:space="preserve"> </w:t>
      </w:r>
      <w:r>
        <w:t xml:space="preserve">Each target’s contribution is multiplied by predicted</w:t>
      </w:r>
      <w:r>
        <w:t xml:space="preserve"> </w:t>
      </w:r>
      <w:r>
        <w:t xml:space="preserve">blood-brain-barrier penetration. A potent binder that does not reach the brain contributes</w:t>
      </w:r>
      <w:r>
        <w:t xml:space="preserve"> </w:t>
      </w:r>
      <w:r>
        <w:t xml:space="preserve">nothing. This is the one place where the models are combined multiplicatively, and it encodes a</w:t>
      </w:r>
      <w:r>
        <w:t xml:space="preserve"> </w:t>
      </w:r>
      <w:r>
        <w:t xml:space="preserve">pharmacological fact: potency at an unreachable target is not activity.</w:t>
      </w:r>
    </w:p>
    <w:p>
      <w:pPr>
        <w:pStyle w:val="Compact"/>
        <w:numPr>
          <w:ilvl w:val="0"/>
          <w:numId w:val="1005"/>
        </w:numPr>
      </w:pPr>
      <w:r>
        <w:rPr>
          <w:b/>
          <w:bCs/>
        </w:rPr>
        <w:t xml:space="preserve">The pathway graph maps mechanism to condition.</w:t>
      </w:r>
      <w:r>
        <w:t xml:space="preserve"> </w:t>
      </w:r>
      <w:r>
        <w:t xml:space="preserve">A curated, versioned graph anchored to KEGG,</w:t>
      </w:r>
      <w:r>
        <w:t xml:space="preserve"> </w:t>
      </w:r>
      <w:r>
        <w:t xml:space="preserve">Reactome and IUPHAR maps each target to the conditions it informs. A disease score is the</w:t>
      </w:r>
      <w:r>
        <w:t xml:space="preserve"> </w:t>
      </w:r>
      <w:r>
        <w:rPr>
          <w:b/>
          <w:bCs/>
        </w:rPr>
        <w:t xml:space="preserve">strongest</w:t>
      </w:r>
      <w:r>
        <w:t xml:space="preserve"> </w:t>
      </w:r>
      <w:r>
        <w:t xml:space="preserve">engaged mechanism for that condition scaled by exposure, not a sum, so one target</w:t>
      </w:r>
      <w:r>
        <w:t xml:space="preserve"> </w:t>
      </w:r>
      <w:r>
        <w:t xml:space="preserve">explains the score and can be named.</w:t>
      </w:r>
    </w:p>
    <w:p>
      <w:pPr>
        <w:pStyle w:val="Compact"/>
        <w:numPr>
          <w:ilvl w:val="0"/>
          <w:numId w:val="1005"/>
        </w:numPr>
      </w:pPr>
      <w:r>
        <w:rPr>
          <w:b/>
          <w:bCs/>
        </w:rPr>
        <w:t xml:space="preserve">Silence is a result.</w:t>
      </w:r>
      <w:r>
        <w:t xml:space="preserve"> </w:t>
      </w:r>
      <w:r>
        <w:t xml:space="preserve">Below a disease score of 0.30 nothing is reported. Silence means no</w:t>
      </w:r>
      <w:r>
        <w:t xml:space="preserve"> </w:t>
      </w:r>
      <w:r>
        <w:t xml:space="preserve">modelled mechanism cleared its threshold; it is not a claim of inactivity.</w:t>
      </w:r>
    </w:p>
    <w:p>
      <w:pPr>
        <w:pStyle w:val="FirstParagraph"/>
      </w:pPr>
      <w:r>
        <w:t xml:space="preserve">The models are therefore combined by a</w:t>
      </w:r>
      <w:r>
        <w:t xml:space="preserve"> </w:t>
      </w:r>
      <w:r>
        <w:rPr>
          <w:b/>
          <w:bCs/>
        </w:rPr>
        <w:t xml:space="preserve">stated rule</w:t>
      </w:r>
      <w:r>
        <w:t xml:space="preserve">, not by a learned one. Nothing is fitted on</w:t>
      </w:r>
      <w:r>
        <w:t xml:space="preserve"> </w:t>
      </w:r>
      <w:r>
        <w:t xml:space="preserve">top of the panel. That is deliberate: a meta-model over seventy outputs would need its own training</w:t>
      </w:r>
      <w:r>
        <w:t xml:space="preserve"> </w:t>
      </w:r>
      <w:r>
        <w:t xml:space="preserve">set of compounds labelled with ground-truth disease relevance, which does not exist.</w:t>
      </w:r>
    </w:p>
    <w:bookmarkStart w:id="38" w:name="a-real-query-read-line-by-line"/>
    <w:p>
      <w:pPr>
        <w:pStyle w:val="Heading3"/>
      </w:pPr>
      <w:r>
        <w:t xml:space="preserve">5.1 A real query, read line by line</w:t>
      </w:r>
    </w:p>
    <w:p>
      <w:pPr>
        <w:pStyle w:val="FirstParagraph"/>
      </w:pPr>
      <w:r>
        <w:t xml:space="preserve">The description above is abstract. This section takes three compounds through the deployed pipeline</w:t>
      </w:r>
      <w:r>
        <w:t xml:space="preserve"> </w:t>
      </w:r>
      <w:r>
        <w:t xml:space="preserve">and reads what comes back. The three were chosen before their outputs were seen, each to exercise a</w:t>
      </w:r>
      <w:r>
        <w:t xml:space="preserve"> </w:t>
      </w:r>
      <w:r>
        <w:t xml:space="preserve">different part of the system, and whatever they returned is what is printed here.</w:t>
      </w:r>
    </w:p>
    <w:p>
      <w:pPr>
        <w:pStyle w:val="BodyText"/>
      </w:pPr>
      <w:r>
        <w:rPr>
          <w:b/>
          <w:bCs/>
        </w:rPr>
        <w:t xml:space="preserve">Donepezil</w:t>
      </w:r>
      <w:r>
        <w:t xml:space="preserve"> </w:t>
      </w:r>
      <w:r>
        <w:t xml:space="preserve">is an approved acetylcholinesterase inhibitor that reaches the brain, so the panel</w:t>
      </w:r>
      <w:r>
        <w:t xml:space="preserve"> </w:t>
      </w:r>
      <w:r>
        <w:t xml:space="preserve">should engage the target it was designed for and pass the exposure gate.</w:t>
      </w:r>
      <w:r>
        <w:t xml:space="preserve"> </w:t>
      </w:r>
      <w:r>
        <w:rPr>
          <w:b/>
          <w:bCs/>
        </w:rPr>
        <w:t xml:space="preserve">Atenolol</w:t>
      </w:r>
      <w:r>
        <w:t xml:space="preserve"> </w:t>
      </w:r>
      <w:r>
        <w:t xml:space="preserve">is a</w:t>
      </w:r>
      <w:r>
        <w:t xml:space="preserve"> </w:t>
      </w:r>
      <w:r>
        <w:t xml:space="preserve">beta-blocker deliberately optimised</w:t>
      </w:r>
      <w:r>
        <w:t xml:space="preserve"> </w:t>
      </w:r>
      <w:r>
        <w:rPr>
          <w:i/>
          <w:iCs/>
        </w:rPr>
        <w:t xml:space="preserve">not</w:t>
      </w:r>
      <w:r>
        <w:t xml:space="preserve"> </w:t>
      </w:r>
      <w:r>
        <w:t xml:space="preserve">to enter the brain, so the exposure layer should say so and</w:t>
      </w:r>
      <w:r>
        <w:t xml:space="preserve"> </w:t>
      </w:r>
      <w:r>
        <w:t xml:space="preserve">the disease layer should stay quiet whatever any target model reports.</w:t>
      </w:r>
      <w:r>
        <w:t xml:space="preserve"> </w:t>
      </w:r>
      <w:r>
        <w:rPr>
          <w:b/>
          <w:bCs/>
        </w:rPr>
        <w:t xml:space="preserve">Withanolide A</w:t>
      </w:r>
      <w:r>
        <w:t xml:space="preserve"> </w:t>
      </w:r>
      <w:r>
        <w:t xml:space="preserve">is a</w:t>
      </w:r>
      <w:r>
        <w:t xml:space="preserve"> </w:t>
      </w:r>
      <w:r>
        <w:t xml:space="preserve">steroidal natural product from chemistry this library barely covers, so the domain distance should be</w:t>
      </w:r>
      <w:r>
        <w:t xml:space="preserve"> </w:t>
      </w:r>
      <w:r>
        <w:t xml:space="preserve">low and the silence that follows should be marked as uninformative rather than as evidence.</w:t>
      </w:r>
    </w:p>
    <w:tbl>
      <w:tblPr>
        <w:tblStyle w:val="Table"/>
        <w:tblW w:type="pct" w:w="5000"/>
        <w:jc w:val="center"/>
        <w:tblLayout w:type="autofit"/>
        <w:tblLook w:firstRow="1" w:lastRow="0" w:firstColumn="0" w:lastColumn="0" w:noHBand="0" w:noVBand="0" w:val="0020"/>
        <w:tblLayout w:type="autofit"/>
      </w:tblPr>
      <w:tblGrid>
        <w:gridCol w:w="1320"/>
        <w:gridCol w:w="1320"/>
        <w:gridCol w:w="1320"/>
        <w:gridCol w:w="1320"/>
        <w:gridCol w:w="1320"/>
        <w:gridCol w:w="1320"/>
      </w:tblGrid>
      <w:tr>
        <w:trPr>
          <w:tblHeader w:val="on"/>
          <w:tblHeader w:val="true"/>
        </w:trPr>
        <w:tc>
          <w:tcPr>
            <w:shd w:val="clear" w:fill="EAF0F7"/>
          </w:tcPr>
          <w:p>
            <w:pPr>
              <w:pStyle w:val="Compact"/>
            </w:pPr>
            <w:r>
              <w:rPr>
                <w:b/>
                <w:sz w:val="17"/>
              </w:rPr>
              <w:t xml:space="preserve">compound</w:t>
            </w:r>
          </w:p>
        </w:tc>
        <w:tc>
          <w:tcPr>
            <w:shd w:val="clear" w:fill="EAF0F7"/>
          </w:tcPr>
          <w:p>
            <w:pPr>
              <w:pStyle w:val="Compact"/>
            </w:pPr>
            <w:r>
              <w:rPr>
                <w:b/>
                <w:sz w:val="17"/>
              </w:rPr>
              <w:t xml:space="preserve">section</w:t>
            </w:r>
          </w:p>
        </w:tc>
        <w:tc>
          <w:tcPr>
            <w:shd w:val="clear" w:fill="EAF0F7"/>
          </w:tcPr>
          <w:p>
            <w:pPr>
              <w:pStyle w:val="Compact"/>
            </w:pPr>
            <w:r>
              <w:rPr>
                <w:b/>
                <w:sz w:val="17"/>
              </w:rPr>
              <w:t xml:space="preserve">endpoint</w:t>
            </w:r>
          </w:p>
        </w:tc>
        <w:tc>
          <w:tcPr>
            <w:shd w:val="clear" w:fill="EAF0F7"/>
          </w:tcPr>
          <w:p>
            <w:pPr>
              <w:pStyle w:val="Compact"/>
            </w:pPr>
            <w:r>
              <w:rPr>
                <w:b/>
                <w:sz w:val="17"/>
              </w:rPr>
              <w:t xml:space="preserve">value</w:t>
            </w:r>
          </w:p>
        </w:tc>
        <w:tc>
          <w:tcPr>
            <w:shd w:val="clear" w:fill="EAF0F7"/>
          </w:tcPr>
          <w:p>
            <w:pPr>
              <w:pStyle w:val="Compact"/>
            </w:pPr>
            <w:r>
              <w:rPr>
                <w:b/>
                <w:sz w:val="17"/>
              </w:rPr>
              <w:t xml:space="preserve">unit</w:t>
            </w:r>
          </w:p>
        </w:tc>
        <w:tc>
          <w:tcPr>
            <w:shd w:val="clear" w:fill="EAF0F7"/>
          </w:tcPr>
          <w:p>
            <w:pPr>
              <w:pStyle w:val="Compact"/>
            </w:pPr>
            <w:r>
              <w:rPr>
                <w:b/>
                <w:sz w:val="17"/>
              </w:rPr>
              <w:t xml:space="preserve">context</w:t>
            </w:r>
          </w:p>
        </w:tc>
      </w:tr>
      <w:tr>
        <w:tc>
          <w:tcPr/>
          <w:p>
            <w:pPr>
              <w:pStyle w:val="Compact"/>
            </w:pPr>
            <w:r>
              <w:rPr>
                <w:sz w:val="15"/>
              </w:rPr>
              <w:t xml:space="preserve">atenolol</w:t>
            </w:r>
          </w:p>
        </w:tc>
        <w:tc>
          <w:tcPr/>
          <w:p>
            <w:pPr>
              <w:pStyle w:val="Compact"/>
            </w:pPr>
            <w:r>
              <w:rPr>
                <w:sz w:val="15"/>
              </w:rPr>
              <w:t xml:space="preserve">Target and property models</w:t>
            </w:r>
          </w:p>
        </w:tc>
        <w:tc>
          <w:tcPr/>
          <w:p>
            <w:pPr>
              <w:pStyle w:val="Compact"/>
            </w:pPr>
            <w:r>
              <w:rPr>
                <w:sz w:val="15"/>
              </w:rPr>
              <w:t xml:space="preserve">BBB</w:t>
            </w:r>
          </w:p>
        </w:tc>
        <w:tc>
          <w:tcPr/>
          <w:p>
            <w:pPr>
              <w:pStyle w:val="Compact"/>
            </w:pPr>
            <w:r>
              <w:rPr>
                <w:sz w:val="15"/>
              </w:rPr>
              <w:t xml:space="preserve">0.473</w:t>
            </w:r>
          </w:p>
        </w:tc>
        <w:tc>
          <w:tcPr/>
          <w:p>
            <w:pPr>
              <w:pStyle w:val="Compact"/>
            </w:pPr>
            <w:r>
              <w:rPr>
                <w:sz w:val="15"/>
              </w:rPr>
              <w:t xml:space="preserve">calibrated probability</w:t>
            </w:r>
          </w:p>
        </w:tc>
        <w:tc>
          <w:tcPr/>
          <w:p>
            <w:pPr>
              <w:pStyle w:val="Compact"/>
            </w:pPr>
            <w:r>
              <w:rPr>
                <w:sz w:val="15"/>
              </w:rPr>
              <w:t xml:space="preserve">training base rate 0.635; enrichment -0.255</w:t>
            </w:r>
          </w:p>
        </w:tc>
      </w:tr>
      <w:tr>
        <w:tc>
          <w:tcPr/>
          <w:p>
            <w:pPr>
              <w:pStyle w:val="Compact"/>
            </w:pPr>
            <w:r>
              <w:rPr>
                <w:sz w:val="15"/>
              </w:rPr>
              <w:t xml:space="preserve">atenolol</w:t>
            </w:r>
          </w:p>
        </w:tc>
        <w:tc>
          <w:tcPr/>
          <w:p>
            <w:pPr>
              <w:pStyle w:val="Compact"/>
            </w:pPr>
            <w:r>
              <w:rPr>
                <w:sz w:val="15"/>
              </w:rPr>
              <w:t xml:space="preserve">Target and property models</w:t>
            </w:r>
          </w:p>
        </w:tc>
        <w:tc>
          <w:tcPr/>
          <w:p>
            <w:pPr>
              <w:pStyle w:val="Compact"/>
            </w:pPr>
            <w:r>
              <w:rPr>
                <w:sz w:val="15"/>
              </w:rPr>
              <w:t xml:space="preserve">AChE</w:t>
            </w:r>
          </w:p>
        </w:tc>
        <w:tc>
          <w:tcPr/>
          <w:p>
            <w:pPr>
              <w:pStyle w:val="Compact"/>
            </w:pPr>
            <w:r>
              <w:rPr>
                <w:sz w:val="15"/>
              </w:rPr>
              <w:t xml:space="preserve">0.1766</w:t>
            </w:r>
          </w:p>
        </w:tc>
        <w:tc>
          <w:tcPr/>
          <w:p>
            <w:pPr>
              <w:pStyle w:val="Compact"/>
            </w:pPr>
            <w:r>
              <w:rPr>
                <w:sz w:val="15"/>
              </w:rPr>
              <w:t xml:space="preserve">calibrated probability</w:t>
            </w:r>
          </w:p>
        </w:tc>
        <w:tc>
          <w:tcPr/>
          <w:p>
            <w:pPr>
              <w:pStyle w:val="Compact"/>
            </w:pPr>
            <w:r>
              <w:rPr>
                <w:sz w:val="15"/>
              </w:rPr>
              <w:t xml:space="preserve">training base rate 0.596; enrichment -0.704</w:t>
            </w:r>
          </w:p>
        </w:tc>
      </w:tr>
      <w:tr>
        <w:tc>
          <w:tcPr/>
          <w:p>
            <w:pPr>
              <w:pStyle w:val="Compact"/>
            </w:pPr>
            <w:r>
              <w:rPr>
                <w:sz w:val="15"/>
              </w:rPr>
              <w:t xml:space="preserve">atenolol</w:t>
            </w:r>
          </w:p>
        </w:tc>
        <w:tc>
          <w:tcPr/>
          <w:p>
            <w:pPr>
              <w:pStyle w:val="Compact"/>
            </w:pPr>
            <w:r>
              <w:rPr>
                <w:sz w:val="15"/>
              </w:rPr>
              <w:t xml:space="preserve">Target and property models</w:t>
            </w:r>
          </w:p>
        </w:tc>
        <w:tc>
          <w:tcPr/>
          <w:p>
            <w:pPr>
              <w:pStyle w:val="Compact"/>
            </w:pPr>
            <w:r>
              <w:rPr>
                <w:sz w:val="15"/>
              </w:rPr>
              <w:t xml:space="preserve">hERG</w:t>
            </w:r>
          </w:p>
        </w:tc>
        <w:tc>
          <w:tcPr/>
          <w:p>
            <w:pPr>
              <w:pStyle w:val="Compact"/>
            </w:pPr>
            <w:r>
              <w:rPr>
                <w:sz w:val="15"/>
              </w:rPr>
              <w:t xml:space="preserve">0.0792</w:t>
            </w:r>
          </w:p>
        </w:tc>
        <w:tc>
          <w:tcPr/>
          <w:p>
            <w:pPr>
              <w:pStyle w:val="Compact"/>
            </w:pPr>
            <w:r>
              <w:rPr>
                <w:sz w:val="15"/>
              </w:rPr>
              <w:t xml:space="preserve">calibrated probability</w:t>
            </w:r>
          </w:p>
        </w:tc>
        <w:tc>
          <w:tcPr/>
          <w:p>
            <w:pPr>
              <w:pStyle w:val="Compact"/>
            </w:pPr>
            <w:r>
              <w:rPr>
                <w:sz w:val="15"/>
              </w:rPr>
              <w:t xml:space="preserve">training base rate 0.236; enrichment -0.665</w:t>
            </w:r>
          </w:p>
        </w:tc>
      </w:tr>
      <w:tr>
        <w:tc>
          <w:tcPr/>
          <w:p>
            <w:pPr>
              <w:pStyle w:val="Compact"/>
            </w:pPr>
            <w:r>
              <w:rPr>
                <w:sz w:val="15"/>
              </w:rPr>
              <w:t xml:space="preserve">atenolol</w:t>
            </w:r>
          </w:p>
        </w:tc>
        <w:tc>
          <w:tcPr/>
          <w:p>
            <w:pPr>
              <w:pStyle w:val="Compact"/>
            </w:pPr>
            <w:r>
              <w:rPr>
                <w:sz w:val="15"/>
              </w:rPr>
              <w:t xml:space="preserve">Applicability domain</w:t>
            </w:r>
          </w:p>
        </w:tc>
        <w:tc>
          <w:tcPr/>
          <w:p>
            <w:pPr>
              <w:pStyle w:val="Compact"/>
            </w:pPr>
            <w:r>
              <w:rPr>
                <w:sz w:val="15"/>
              </w:rPr>
              <w:t xml:space="preserve">max_tanimoto</w:t>
            </w:r>
          </w:p>
        </w:tc>
        <w:tc>
          <w:tcPr/>
          <w:p>
            <w:pPr>
              <w:pStyle w:val="Compact"/>
            </w:pPr>
            <w:r>
              <w:rPr>
                <w:sz w:val="15"/>
              </w:rPr>
              <w:t xml:space="preserve">1.0</w:t>
            </w:r>
          </w:p>
        </w:tc>
        <w:tc>
          <w:tcPr/>
          <w:p>
            <w:pPr>
              <w:pStyle w:val="Compact"/>
            </w:pPr>
            <w:r>
              <w:rPr>
                <w:sz w:val="15"/>
              </w:rPr>
              <w:t xml:space="preserve">Tanimoto</w:t>
            </w:r>
          </w:p>
        </w:tc>
        <w:tc>
          <w:tcPr/>
          <w:p>
            <w:pPr>
              <w:pStyle w:val="Compact"/>
            </w:pPr>
            <w:r>
              <w:rPr>
                <w:sz w:val="15"/>
              </w:rPr>
              <w:t xml:space="preserve">In domain; nearest analogue CC(C)NCC(O)COc1ccc(CC(N)=O)cc1; measured recall for compounds at this distance 0.86 (n=2,586), so a silent endpoint here is reasonably strong evidence of inactivity</w:t>
            </w:r>
          </w:p>
        </w:tc>
      </w:tr>
      <w:tr>
        <w:tc>
          <w:tcPr/>
          <w:p>
            <w:pPr>
              <w:pStyle w:val="Compact"/>
            </w:pPr>
            <w:r>
              <w:rPr>
                <w:sz w:val="15"/>
              </w:rPr>
              <w:t xml:space="preserve">atenolol</w:t>
            </w:r>
          </w:p>
        </w:tc>
        <w:tc>
          <w:tcPr/>
          <w:p>
            <w:pPr>
              <w:pStyle w:val="Compact"/>
            </w:pPr>
            <w:r>
              <w:rPr>
                <w:sz w:val="15"/>
              </w:rPr>
              <w:t xml:space="preserve">Expected sensitivity at this distance</w:t>
            </w:r>
          </w:p>
        </w:tc>
        <w:tc>
          <w:tcPr/>
          <w:p>
            <w:pPr>
              <w:pStyle w:val="Compact"/>
            </w:pPr>
            <w:r>
              <w:rPr>
                <w:sz w:val="15"/>
              </w:rPr>
              <w:t xml:space="preserve">expected_recall</w:t>
            </w:r>
          </w:p>
        </w:tc>
        <w:tc>
          <w:tcPr/>
          <w:p>
            <w:pPr>
              <w:pStyle w:val="Compact"/>
            </w:pPr>
            <w:r>
              <w:rPr>
                <w:sz w:val="15"/>
              </w:rPr>
              <w:t xml:space="preserve">0.8616</w:t>
            </w:r>
          </w:p>
        </w:tc>
        <w:tc>
          <w:tcPr/>
          <w:p>
            <w:pPr>
              <w:pStyle w:val="Compact"/>
            </w:pPr>
            <w:r>
              <w:rPr>
                <w:sz w:val="15"/>
              </w:rPr>
              <w:t xml:space="preserve">fraction</w:t>
            </w:r>
          </w:p>
        </w:tc>
        <w:tc>
          <w:tcPr/>
          <w:p>
            <w:pPr>
              <w:pStyle w:val="Compact"/>
            </w:pPr>
            <w:r>
              <w:rPr>
                <w:sz w:val="15"/>
              </w:rPr>
              <w:t xml:space="preserve">prospective validation, results/tables/external_novelty_strata.csv; recall is a function of chemical distance rather than of publication date</w:t>
            </w:r>
          </w:p>
        </w:tc>
      </w:tr>
      <w:tr>
        <w:tc>
          <w:tcPr/>
          <w:p>
            <w:pPr>
              <w:pStyle w:val="Compact"/>
            </w:pPr>
            <w:r>
              <w:rPr>
                <w:sz w:val="15"/>
              </w:rPr>
              <w:t xml:space="preserve">atenolol</w:t>
            </w:r>
          </w:p>
        </w:tc>
        <w:tc>
          <w:tcPr/>
          <w:p>
            <w:pPr>
              <w:pStyle w:val="Compact"/>
            </w:pPr>
            <w:r>
              <w:rPr>
                <w:sz w:val="15"/>
              </w:rPr>
              <w:t xml:space="preserve">Disease layer</w:t>
            </w:r>
          </w:p>
        </w:tc>
        <w:tc>
          <w:tcPr/>
          <w:p>
            <w:pPr>
              <w:pStyle w:val="Compact"/>
            </w:pPr>
            <w:r>
              <w:rPr>
                <w:sz w:val="15"/>
              </w:rPr>
              <w:t xml:space="preserve">top_disease</w:t>
            </w:r>
          </w:p>
        </w:tc>
        <w:tc>
          <w:tcPr/>
          <w:p>
            <w:pPr>
              <w:pStyle w:val="Compact"/>
            </w:pPr>
            <w:r>
              <w:rPr>
                <w:sz w:val="15"/>
              </w:rPr>
              <w:t xml:space="preserve">0.0</w:t>
            </w:r>
          </w:p>
        </w:tc>
        <w:tc>
          <w:tcPr/>
          <w:p>
            <w:pPr>
              <w:pStyle w:val="Compact"/>
            </w:pPr>
            <w:r>
              <w:rPr>
                <w:sz w:val="15"/>
              </w:rPr>
              <w:t xml:space="preserve">score</w:t>
            </w:r>
          </w:p>
        </w:tc>
        <w:tc>
          <w:tcPr/>
          <w:p>
            <w:pPr>
              <w:pStyle w:val="Compact"/>
            </w:pPr>
            <w:r>
              <w:rPr>
                <w:sz w:val="15"/>
              </w:rPr>
              <w:t xml:space="preserve">nothing cleared the reporting threshold</w:t>
            </w:r>
          </w:p>
        </w:tc>
      </w:tr>
      <w:tr>
        <w:tc>
          <w:tcPr/>
          <w:p>
            <w:pPr>
              <w:pStyle w:val="Compact"/>
            </w:pPr>
            <w:r>
              <w:rPr>
                <w:sz w:val="15"/>
              </w:rPr>
              <w:t xml:space="preserve">donepezil</w:t>
            </w:r>
          </w:p>
        </w:tc>
        <w:tc>
          <w:tcPr/>
          <w:p>
            <w:pPr>
              <w:pStyle w:val="Compact"/>
            </w:pPr>
            <w:r>
              <w:rPr>
                <w:sz w:val="15"/>
              </w:rPr>
              <w:t xml:space="preserve">Target and property models</w:t>
            </w:r>
          </w:p>
        </w:tc>
        <w:tc>
          <w:tcPr/>
          <w:p>
            <w:pPr>
              <w:pStyle w:val="Compact"/>
            </w:pPr>
            <w:r>
              <w:rPr>
                <w:sz w:val="15"/>
              </w:rPr>
              <w:t xml:space="preserve">BBB</w:t>
            </w:r>
          </w:p>
        </w:tc>
        <w:tc>
          <w:tcPr/>
          <w:p>
            <w:pPr>
              <w:pStyle w:val="Compact"/>
            </w:pPr>
            <w:r>
              <w:rPr>
                <w:sz w:val="15"/>
              </w:rPr>
              <w:t xml:space="preserve">0.9907</w:t>
            </w:r>
          </w:p>
        </w:tc>
        <w:tc>
          <w:tcPr/>
          <w:p>
            <w:pPr>
              <w:pStyle w:val="Compact"/>
            </w:pPr>
            <w:r>
              <w:rPr>
                <w:sz w:val="15"/>
              </w:rPr>
              <w:t xml:space="preserve">calibrated probability</w:t>
            </w:r>
          </w:p>
        </w:tc>
        <w:tc>
          <w:tcPr/>
          <w:p>
            <w:pPr>
              <w:pStyle w:val="Compact"/>
            </w:pPr>
            <w:r>
              <w:rPr>
                <w:sz w:val="15"/>
              </w:rPr>
              <w:t xml:space="preserve">training base rate 0.635; enrichment +0.974</w:t>
            </w:r>
          </w:p>
        </w:tc>
      </w:tr>
      <w:tr>
        <w:tc>
          <w:tcPr/>
          <w:p>
            <w:pPr>
              <w:pStyle w:val="Compact"/>
            </w:pPr>
            <w:r>
              <w:rPr>
                <w:sz w:val="15"/>
              </w:rPr>
              <w:t xml:space="preserve">donepezil</w:t>
            </w:r>
          </w:p>
        </w:tc>
        <w:tc>
          <w:tcPr/>
          <w:p>
            <w:pPr>
              <w:pStyle w:val="Compact"/>
            </w:pPr>
            <w:r>
              <w:rPr>
                <w:sz w:val="15"/>
              </w:rPr>
              <w:t xml:space="preserve">Target and property models</w:t>
            </w:r>
          </w:p>
        </w:tc>
        <w:tc>
          <w:tcPr/>
          <w:p>
            <w:pPr>
              <w:pStyle w:val="Compact"/>
            </w:pPr>
            <w:r>
              <w:rPr>
                <w:sz w:val="15"/>
              </w:rPr>
              <w:t xml:space="preserve">AChE</w:t>
            </w:r>
          </w:p>
        </w:tc>
        <w:tc>
          <w:tcPr/>
          <w:p>
            <w:pPr>
              <w:pStyle w:val="Compact"/>
            </w:pPr>
            <w:r>
              <w:rPr>
                <w:sz w:val="15"/>
              </w:rPr>
              <w:t xml:space="preserve">1.0</w:t>
            </w:r>
          </w:p>
        </w:tc>
        <w:tc>
          <w:tcPr/>
          <w:p>
            <w:pPr>
              <w:pStyle w:val="Compact"/>
            </w:pPr>
            <w:r>
              <w:rPr>
                <w:sz w:val="15"/>
              </w:rPr>
              <w:t xml:space="preserve">calibrated probability</w:t>
            </w:r>
          </w:p>
        </w:tc>
        <w:tc>
          <w:tcPr/>
          <w:p>
            <w:pPr>
              <w:pStyle w:val="Compact"/>
            </w:pPr>
            <w:r>
              <w:rPr>
                <w:sz w:val="15"/>
              </w:rPr>
              <w:t xml:space="preserve">training base rate 0.596; enrichment +1.000</w:t>
            </w:r>
          </w:p>
        </w:tc>
      </w:tr>
      <w:tr>
        <w:tc>
          <w:tcPr/>
          <w:p>
            <w:pPr>
              <w:pStyle w:val="Compact"/>
            </w:pPr>
            <w:r>
              <w:rPr>
                <w:sz w:val="15"/>
              </w:rPr>
              <w:t xml:space="preserve">donepezil</w:t>
            </w:r>
          </w:p>
        </w:tc>
        <w:tc>
          <w:tcPr/>
          <w:p>
            <w:pPr>
              <w:pStyle w:val="Compact"/>
            </w:pPr>
            <w:r>
              <w:rPr>
                <w:sz w:val="15"/>
              </w:rPr>
              <w:t xml:space="preserve">Target and property models</w:t>
            </w:r>
          </w:p>
        </w:tc>
        <w:tc>
          <w:tcPr/>
          <w:p>
            <w:pPr>
              <w:pStyle w:val="Compact"/>
            </w:pPr>
            <w:r>
              <w:rPr>
                <w:sz w:val="15"/>
              </w:rPr>
              <w:t xml:space="preserve">hERG</w:t>
            </w:r>
          </w:p>
        </w:tc>
        <w:tc>
          <w:tcPr/>
          <w:p>
            <w:pPr>
              <w:pStyle w:val="Compact"/>
            </w:pPr>
            <w:r>
              <w:rPr>
                <w:sz w:val="15"/>
              </w:rPr>
              <w:t xml:space="preserve">0.7342</w:t>
            </w:r>
          </w:p>
        </w:tc>
        <w:tc>
          <w:tcPr/>
          <w:p>
            <w:pPr>
              <w:pStyle w:val="Compact"/>
            </w:pPr>
            <w:r>
              <w:rPr>
                <w:sz w:val="15"/>
              </w:rPr>
              <w:t xml:space="preserve">calibrated probability</w:t>
            </w:r>
          </w:p>
        </w:tc>
        <w:tc>
          <w:tcPr/>
          <w:p>
            <w:pPr>
              <w:pStyle w:val="Compact"/>
            </w:pPr>
            <w:r>
              <w:rPr>
                <w:sz w:val="15"/>
              </w:rPr>
              <w:t xml:space="preserve">training base rate 0.236; enrichment +0.652</w:t>
            </w:r>
          </w:p>
        </w:tc>
      </w:tr>
      <w:tr>
        <w:tc>
          <w:tcPr/>
          <w:p>
            <w:pPr>
              <w:pStyle w:val="Compact"/>
            </w:pPr>
            <w:r>
              <w:rPr>
                <w:sz w:val="15"/>
              </w:rPr>
              <w:t xml:space="preserve">donepezil</w:t>
            </w:r>
          </w:p>
        </w:tc>
        <w:tc>
          <w:tcPr/>
          <w:p>
            <w:pPr>
              <w:pStyle w:val="Compact"/>
            </w:pPr>
            <w:r>
              <w:rPr>
                <w:sz w:val="15"/>
              </w:rPr>
              <w:t xml:space="preserve">Applicability domain</w:t>
            </w:r>
          </w:p>
        </w:tc>
        <w:tc>
          <w:tcPr/>
          <w:p>
            <w:pPr>
              <w:pStyle w:val="Compact"/>
            </w:pPr>
            <w:r>
              <w:rPr>
                <w:sz w:val="15"/>
              </w:rPr>
              <w:t xml:space="preserve">max_tanimoto</w:t>
            </w:r>
          </w:p>
        </w:tc>
        <w:tc>
          <w:tcPr/>
          <w:p>
            <w:pPr>
              <w:pStyle w:val="Compact"/>
            </w:pPr>
            <w:r>
              <w:rPr>
                <w:sz w:val="15"/>
              </w:rPr>
              <w:t xml:space="preserve">1.0</w:t>
            </w:r>
          </w:p>
        </w:tc>
        <w:tc>
          <w:tcPr/>
          <w:p>
            <w:pPr>
              <w:pStyle w:val="Compact"/>
            </w:pPr>
            <w:r>
              <w:rPr>
                <w:sz w:val="15"/>
              </w:rPr>
              <w:t xml:space="preserve">Tanimoto</w:t>
            </w:r>
          </w:p>
        </w:tc>
        <w:tc>
          <w:tcPr/>
          <w:p>
            <w:pPr>
              <w:pStyle w:val="Compact"/>
            </w:pPr>
            <w:r>
              <w:rPr>
                <w:sz w:val="15"/>
              </w:rPr>
              <w:t xml:space="preserve">In domain; nearest analogue COc1cc2c(cc1OC)C(=O)C(CC1CCN(Cc3ccccc3)CC1)C2; measured recall for compounds at this distance 0.86 (n=2,586), so a silent endpoint here is reasonably strong evidence of inactivity</w:t>
            </w:r>
          </w:p>
        </w:tc>
      </w:tr>
      <w:tr>
        <w:tc>
          <w:tcPr/>
          <w:p>
            <w:pPr>
              <w:pStyle w:val="Compact"/>
            </w:pPr>
            <w:r>
              <w:rPr>
                <w:sz w:val="15"/>
              </w:rPr>
              <w:t xml:space="preserve">donepezil</w:t>
            </w:r>
          </w:p>
        </w:tc>
        <w:tc>
          <w:tcPr/>
          <w:p>
            <w:pPr>
              <w:pStyle w:val="Compact"/>
            </w:pPr>
            <w:r>
              <w:rPr>
                <w:sz w:val="15"/>
              </w:rPr>
              <w:t xml:space="preserve">Expected sensitivity at this distance</w:t>
            </w:r>
          </w:p>
        </w:tc>
        <w:tc>
          <w:tcPr/>
          <w:p>
            <w:pPr>
              <w:pStyle w:val="Compact"/>
            </w:pPr>
            <w:r>
              <w:rPr>
                <w:sz w:val="15"/>
              </w:rPr>
              <w:t xml:space="preserve">expected_recall</w:t>
            </w:r>
          </w:p>
        </w:tc>
        <w:tc>
          <w:tcPr/>
          <w:p>
            <w:pPr>
              <w:pStyle w:val="Compact"/>
            </w:pPr>
            <w:r>
              <w:rPr>
                <w:sz w:val="15"/>
              </w:rPr>
              <w:t xml:space="preserve">0.8616</w:t>
            </w:r>
          </w:p>
        </w:tc>
        <w:tc>
          <w:tcPr/>
          <w:p>
            <w:pPr>
              <w:pStyle w:val="Compact"/>
            </w:pPr>
            <w:r>
              <w:rPr>
                <w:sz w:val="15"/>
              </w:rPr>
              <w:t xml:space="preserve">fraction</w:t>
            </w:r>
          </w:p>
        </w:tc>
        <w:tc>
          <w:tcPr/>
          <w:p>
            <w:pPr>
              <w:pStyle w:val="Compact"/>
            </w:pPr>
            <w:r>
              <w:rPr>
                <w:sz w:val="15"/>
              </w:rPr>
              <w:t xml:space="preserve">prospective validation, results/tables/external_novelty_strata.csv; recall is a function of chemical distance rather than of publication date</w:t>
            </w:r>
          </w:p>
        </w:tc>
      </w:tr>
      <w:tr>
        <w:tc>
          <w:tcPr/>
          <w:p>
            <w:pPr>
              <w:pStyle w:val="Compact"/>
            </w:pPr>
            <w:r>
              <w:rPr>
                <w:sz w:val="15"/>
              </w:rPr>
              <w:t xml:space="preserve">donepezil</w:t>
            </w:r>
          </w:p>
        </w:tc>
        <w:tc>
          <w:tcPr/>
          <w:p>
            <w:pPr>
              <w:pStyle w:val="Compact"/>
            </w:pPr>
            <w:r>
              <w:rPr>
                <w:sz w:val="15"/>
              </w:rPr>
              <w:t xml:space="preserve">Disease layer</w:t>
            </w:r>
          </w:p>
        </w:tc>
        <w:tc>
          <w:tcPr/>
          <w:p>
            <w:pPr>
              <w:pStyle w:val="Compact"/>
            </w:pPr>
            <w:r>
              <w:rPr>
                <w:sz w:val="15"/>
              </w:rPr>
              <w:t xml:space="preserve">top_disease</w:t>
            </w:r>
          </w:p>
        </w:tc>
        <w:tc>
          <w:tcPr/>
          <w:p>
            <w:pPr>
              <w:pStyle w:val="Compact"/>
            </w:pPr>
            <w:r>
              <w:rPr>
                <w:sz w:val="15"/>
              </w:rPr>
              <w:t xml:space="preserve">0.9907</w:t>
            </w:r>
          </w:p>
        </w:tc>
        <w:tc>
          <w:tcPr/>
          <w:p>
            <w:pPr>
              <w:pStyle w:val="Compact"/>
            </w:pPr>
            <w:r>
              <w:rPr>
                <w:sz w:val="15"/>
              </w:rPr>
              <w:t xml:space="preserve">score</w:t>
            </w:r>
          </w:p>
        </w:tc>
        <w:tc>
          <w:tcPr/>
          <w:p>
            <w:pPr>
              <w:pStyle w:val="Compact"/>
            </w:pPr>
            <w:r>
              <w:rPr>
                <w:sz w:val="15"/>
              </w:rPr>
              <w:t xml:space="preserve">Alzheimer’s disease, driven by AChE</w:t>
            </w:r>
          </w:p>
        </w:tc>
      </w:tr>
      <w:tr>
        <w:tc>
          <w:tcPr/>
          <w:p>
            <w:pPr>
              <w:pStyle w:val="Compact"/>
            </w:pPr>
            <w:r>
              <w:rPr>
                <w:sz w:val="15"/>
              </w:rPr>
              <w:t xml:space="preserve">withanolide A</w:t>
            </w:r>
          </w:p>
        </w:tc>
        <w:tc>
          <w:tcPr/>
          <w:p>
            <w:pPr>
              <w:pStyle w:val="Compact"/>
            </w:pPr>
            <w:r>
              <w:rPr>
                <w:sz w:val="15"/>
              </w:rPr>
              <w:t xml:space="preserve">Target and property models</w:t>
            </w:r>
          </w:p>
        </w:tc>
        <w:tc>
          <w:tcPr/>
          <w:p>
            <w:pPr>
              <w:pStyle w:val="Compact"/>
            </w:pPr>
            <w:r>
              <w:rPr>
                <w:sz w:val="15"/>
              </w:rPr>
              <w:t xml:space="preserve">BBB</w:t>
            </w:r>
          </w:p>
        </w:tc>
        <w:tc>
          <w:tcPr/>
          <w:p>
            <w:pPr>
              <w:pStyle w:val="Compact"/>
            </w:pPr>
            <w:r>
              <w:rPr>
                <w:sz w:val="15"/>
              </w:rPr>
              <w:t xml:space="preserve">0.5926</w:t>
            </w:r>
          </w:p>
        </w:tc>
        <w:tc>
          <w:tcPr/>
          <w:p>
            <w:pPr>
              <w:pStyle w:val="Compact"/>
            </w:pPr>
            <w:r>
              <w:rPr>
                <w:sz w:val="15"/>
              </w:rPr>
              <w:t xml:space="preserve">calibrated probability</w:t>
            </w:r>
          </w:p>
        </w:tc>
        <w:tc>
          <w:tcPr/>
          <w:p>
            <w:pPr>
              <w:pStyle w:val="Compact"/>
            </w:pPr>
            <w:r>
              <w:rPr>
                <w:sz w:val="15"/>
              </w:rPr>
              <w:t xml:space="preserve">training base rate 0.635; enrichment -0.067</w:t>
            </w:r>
          </w:p>
        </w:tc>
      </w:tr>
      <w:tr>
        <w:tc>
          <w:tcPr/>
          <w:p>
            <w:pPr>
              <w:pStyle w:val="Compact"/>
            </w:pPr>
            <w:r>
              <w:rPr>
                <w:sz w:val="15"/>
              </w:rPr>
              <w:t xml:space="preserve">withanolide A</w:t>
            </w:r>
          </w:p>
        </w:tc>
        <w:tc>
          <w:tcPr/>
          <w:p>
            <w:pPr>
              <w:pStyle w:val="Compact"/>
            </w:pPr>
            <w:r>
              <w:rPr>
                <w:sz w:val="15"/>
              </w:rPr>
              <w:t xml:space="preserve">Target and property models</w:t>
            </w:r>
          </w:p>
        </w:tc>
        <w:tc>
          <w:tcPr/>
          <w:p>
            <w:pPr>
              <w:pStyle w:val="Compact"/>
            </w:pPr>
            <w:r>
              <w:rPr>
                <w:sz w:val="15"/>
              </w:rPr>
              <w:t xml:space="preserve">AChE</w:t>
            </w:r>
          </w:p>
        </w:tc>
        <w:tc>
          <w:tcPr/>
          <w:p>
            <w:pPr>
              <w:pStyle w:val="Compact"/>
            </w:pPr>
            <w:r>
              <w:rPr>
                <w:sz w:val="15"/>
              </w:rPr>
              <w:t xml:space="preserve">0.0848</w:t>
            </w:r>
          </w:p>
        </w:tc>
        <w:tc>
          <w:tcPr/>
          <w:p>
            <w:pPr>
              <w:pStyle w:val="Compact"/>
            </w:pPr>
            <w:r>
              <w:rPr>
                <w:sz w:val="15"/>
              </w:rPr>
              <w:t xml:space="preserve">calibrated probability</w:t>
            </w:r>
          </w:p>
        </w:tc>
        <w:tc>
          <w:tcPr/>
          <w:p>
            <w:pPr>
              <w:pStyle w:val="Compact"/>
            </w:pPr>
            <w:r>
              <w:rPr>
                <w:sz w:val="15"/>
              </w:rPr>
              <w:t xml:space="preserve">training base rate 0.596; enrichment -0.858</w:t>
            </w:r>
          </w:p>
        </w:tc>
      </w:tr>
      <w:tr>
        <w:tc>
          <w:tcPr/>
          <w:p>
            <w:pPr>
              <w:pStyle w:val="Compact"/>
            </w:pPr>
            <w:r>
              <w:rPr>
                <w:sz w:val="15"/>
              </w:rPr>
              <w:t xml:space="preserve">withanolide A</w:t>
            </w:r>
          </w:p>
        </w:tc>
        <w:tc>
          <w:tcPr/>
          <w:p>
            <w:pPr>
              <w:pStyle w:val="Compact"/>
            </w:pPr>
            <w:r>
              <w:rPr>
                <w:sz w:val="15"/>
              </w:rPr>
              <w:t xml:space="preserve">Target and property models</w:t>
            </w:r>
          </w:p>
        </w:tc>
        <w:tc>
          <w:tcPr/>
          <w:p>
            <w:pPr>
              <w:pStyle w:val="Compact"/>
            </w:pPr>
            <w:r>
              <w:rPr>
                <w:sz w:val="15"/>
              </w:rPr>
              <w:t xml:space="preserve">hERG</w:t>
            </w:r>
          </w:p>
        </w:tc>
        <w:tc>
          <w:tcPr/>
          <w:p>
            <w:pPr>
              <w:pStyle w:val="Compact"/>
            </w:pPr>
            <w:r>
              <w:rPr>
                <w:sz w:val="15"/>
              </w:rPr>
              <w:t xml:space="preserve">0.1049</w:t>
            </w:r>
          </w:p>
        </w:tc>
        <w:tc>
          <w:tcPr/>
          <w:p>
            <w:pPr>
              <w:pStyle w:val="Compact"/>
            </w:pPr>
            <w:r>
              <w:rPr>
                <w:sz w:val="15"/>
              </w:rPr>
              <w:t xml:space="preserve">calibrated probability</w:t>
            </w:r>
          </w:p>
        </w:tc>
        <w:tc>
          <w:tcPr/>
          <w:p>
            <w:pPr>
              <w:pStyle w:val="Compact"/>
            </w:pPr>
            <w:r>
              <w:rPr>
                <w:sz w:val="15"/>
              </w:rPr>
              <w:t xml:space="preserve">training base rate 0.236; enrichment -0.556</w:t>
            </w:r>
          </w:p>
        </w:tc>
      </w:tr>
      <w:tr>
        <w:tc>
          <w:tcPr/>
          <w:p>
            <w:pPr>
              <w:pStyle w:val="Compact"/>
            </w:pPr>
            <w:r>
              <w:rPr>
                <w:sz w:val="15"/>
              </w:rPr>
              <w:t xml:space="preserve">withanolide A</w:t>
            </w:r>
          </w:p>
        </w:tc>
        <w:tc>
          <w:tcPr/>
          <w:p>
            <w:pPr>
              <w:pStyle w:val="Compact"/>
            </w:pPr>
            <w:r>
              <w:rPr>
                <w:sz w:val="15"/>
              </w:rPr>
              <w:t xml:space="preserve">Applicability domain</w:t>
            </w:r>
          </w:p>
        </w:tc>
        <w:tc>
          <w:tcPr/>
          <w:p>
            <w:pPr>
              <w:pStyle w:val="Compact"/>
            </w:pPr>
            <w:r>
              <w:rPr>
                <w:sz w:val="15"/>
              </w:rPr>
              <w:t xml:space="preserve">max_tanimoto</w:t>
            </w:r>
          </w:p>
        </w:tc>
        <w:tc>
          <w:tcPr/>
          <w:p>
            <w:pPr>
              <w:pStyle w:val="Compact"/>
            </w:pPr>
            <w:r>
              <w:rPr>
                <w:sz w:val="15"/>
              </w:rPr>
              <w:t xml:space="preserve">0.4324</w:t>
            </w:r>
          </w:p>
        </w:tc>
        <w:tc>
          <w:tcPr/>
          <w:p>
            <w:pPr>
              <w:pStyle w:val="Compact"/>
            </w:pPr>
            <w:r>
              <w:rPr>
                <w:sz w:val="15"/>
              </w:rPr>
              <w:t xml:space="preserve">Tanimoto</w:t>
            </w:r>
          </w:p>
        </w:tc>
        <w:tc>
          <w:tcPr/>
          <w:p>
            <w:pPr>
              <w:pStyle w:val="Compact"/>
            </w:pPr>
            <w:r>
              <w:rPr>
                <w:sz w:val="15"/>
              </w:rPr>
              <w:t xml:space="preserve">Near domain; nearest analogue CC(C)CCCC(C)C1CCC2C3CC=C4CC(O)CCC4(C)C3CCC12C; measured recall for compounds at this distance 0.55 (n=5,228), so a silent endpoint here is moderate evidence of inactivity</w:t>
            </w:r>
          </w:p>
        </w:tc>
      </w:tr>
      <w:tr>
        <w:tc>
          <w:tcPr/>
          <w:p>
            <w:pPr>
              <w:pStyle w:val="Compact"/>
            </w:pPr>
            <w:r>
              <w:rPr>
                <w:sz w:val="15"/>
              </w:rPr>
              <w:t xml:space="preserve">withanolide A</w:t>
            </w:r>
          </w:p>
        </w:tc>
        <w:tc>
          <w:tcPr/>
          <w:p>
            <w:pPr>
              <w:pStyle w:val="Compact"/>
            </w:pPr>
            <w:r>
              <w:rPr>
                <w:sz w:val="15"/>
              </w:rPr>
              <w:t xml:space="preserve">Expected sensitivity at this distance</w:t>
            </w:r>
          </w:p>
        </w:tc>
        <w:tc>
          <w:tcPr/>
          <w:p>
            <w:pPr>
              <w:pStyle w:val="Compact"/>
            </w:pPr>
            <w:r>
              <w:rPr>
                <w:sz w:val="15"/>
              </w:rPr>
              <w:t xml:space="preserve">expected_recall</w:t>
            </w:r>
          </w:p>
        </w:tc>
        <w:tc>
          <w:tcPr/>
          <w:p>
            <w:pPr>
              <w:pStyle w:val="Compact"/>
            </w:pPr>
            <w:r>
              <w:rPr>
                <w:sz w:val="15"/>
              </w:rPr>
              <w:t xml:space="preserve">0.5532</w:t>
            </w:r>
          </w:p>
        </w:tc>
        <w:tc>
          <w:tcPr/>
          <w:p>
            <w:pPr>
              <w:pStyle w:val="Compact"/>
            </w:pPr>
            <w:r>
              <w:rPr>
                <w:sz w:val="15"/>
              </w:rPr>
              <w:t xml:space="preserve">fraction</w:t>
            </w:r>
          </w:p>
        </w:tc>
        <w:tc>
          <w:tcPr/>
          <w:p>
            <w:pPr>
              <w:pStyle w:val="Compact"/>
            </w:pPr>
            <w:r>
              <w:rPr>
                <w:sz w:val="15"/>
              </w:rPr>
              <w:t xml:space="preserve">prospective validation, results/tables/external_novelty_strata.csv; recall is a function of chemical distance rather than of publication date</w:t>
            </w:r>
          </w:p>
        </w:tc>
      </w:tr>
      <w:tr>
        <w:tc>
          <w:tcPr/>
          <w:p>
            <w:pPr>
              <w:pStyle w:val="Compact"/>
            </w:pPr>
            <w:r>
              <w:rPr>
                <w:sz w:val="15"/>
              </w:rPr>
              <w:t xml:space="preserve">withanolide A</w:t>
            </w:r>
          </w:p>
        </w:tc>
        <w:tc>
          <w:tcPr/>
          <w:p>
            <w:pPr>
              <w:pStyle w:val="Compact"/>
            </w:pPr>
            <w:r>
              <w:rPr>
                <w:sz w:val="15"/>
              </w:rPr>
              <w:t xml:space="preserve">Disease layer</w:t>
            </w:r>
          </w:p>
        </w:tc>
        <w:tc>
          <w:tcPr/>
          <w:p>
            <w:pPr>
              <w:pStyle w:val="Compact"/>
            </w:pPr>
            <w:r>
              <w:rPr>
                <w:sz w:val="15"/>
              </w:rPr>
              <w:t xml:space="preserve">top_disease</w:t>
            </w:r>
          </w:p>
        </w:tc>
        <w:tc>
          <w:tcPr/>
          <w:p>
            <w:pPr>
              <w:pStyle w:val="Compact"/>
            </w:pPr>
            <w:r>
              <w:rPr>
                <w:sz w:val="15"/>
              </w:rPr>
              <w:t xml:space="preserve">0.0</w:t>
            </w:r>
          </w:p>
        </w:tc>
        <w:tc>
          <w:tcPr/>
          <w:p>
            <w:pPr>
              <w:pStyle w:val="Compact"/>
            </w:pPr>
            <w:r>
              <w:rPr>
                <w:sz w:val="15"/>
              </w:rPr>
              <w:t xml:space="preserve">score</w:t>
            </w:r>
          </w:p>
        </w:tc>
        <w:tc>
          <w:tcPr/>
          <w:p>
            <w:pPr>
              <w:pStyle w:val="Compact"/>
            </w:pPr>
            <w:r>
              <w:rPr>
                <w:sz w:val="15"/>
              </w:rPr>
              <w:t xml:space="preserve">nothing cleared the reporting threshold</w:t>
            </w:r>
          </w:p>
        </w:tc>
      </w:tr>
    </w:tbl>
    <w:p>
      <w:pPr>
        <w:pStyle w:val="BodyText"/>
      </w:pPr>
      <w:r>
        <w:rPr>
          <w:b/>
          <w:bCs/>
        </w:rPr>
        <w:t xml:space="preserve">Reading the donepezil rows.</w:t>
      </w:r>
      <w:r>
        <w:t xml:space="preserve"> </w:t>
      </w:r>
      <w:r>
        <w:t xml:space="preserve">The AChE probability is 1.000 against a training base rate of 0.724,</w:t>
      </w:r>
      <w:r>
        <w:t xml:space="preserve"> </w:t>
      </w:r>
      <w:r>
        <w:t xml:space="preserve">an enrichment of +1.000: the model is as confident as it can be, and the enrichment confirms that the</w:t>
      </w:r>
      <w:r>
        <w:t xml:space="preserve"> </w:t>
      </w:r>
      <w:r>
        <w:t xml:space="preserve">confidence is not merely the base rate showing through. Barrier penetration is 0.991, so the exposure</w:t>
      </w:r>
      <w:r>
        <w:t xml:space="preserve"> </w:t>
      </w:r>
      <w:r>
        <w:t xml:space="preserve">gate passes essentially unattenuated, and the top condition is Alzheimer’s disease at 0.991 with AChE</w:t>
      </w:r>
      <w:r>
        <w:t xml:space="preserve"> </w:t>
      </w:r>
      <w:r>
        <w:t xml:space="preserve">named as the driver. That is the correct answer for donepezil, and it is worth saying plainly that it</w:t>
      </w:r>
      <w:r>
        <w:t xml:space="preserve"> </w:t>
      </w:r>
      <w:r>
        <w:t xml:space="preserve">is not evidence of anything: donepezil is a training compound, its domain distance is 1.000 because</w:t>
      </w:r>
      <w:r>
        <w:t xml:space="preserve"> </w:t>
      </w:r>
      <w:r>
        <w:t xml:space="preserve">it is</w:t>
      </w:r>
      <w:r>
        <w:t xml:space="preserve"> </w:t>
      </w:r>
      <w:r>
        <w:rPr>
          <w:i/>
          <w:iCs/>
        </w:rPr>
        <w:t xml:space="preserve">in</w:t>
      </w:r>
      <w:r>
        <w:t xml:space="preserve"> </w:t>
      </w:r>
      <w:r>
        <w:t xml:space="preserve">the reference library, and a system that got this wrong would be broken rather than</w:t>
      </w:r>
      <w:r>
        <w:t xml:space="preserve"> </w:t>
      </w:r>
      <w:r>
        <w:t xml:space="preserve">uninformative. The row shows what a positive looks like; it does not support a claim.</w:t>
      </w:r>
    </w:p>
    <w:p>
      <w:pPr>
        <w:pStyle w:val="BodyText"/>
      </w:pPr>
      <w:r>
        <w:t xml:space="preserve">The hERG probability of 0.734 is the more informative line. Donepezil does block hERG, and the</w:t>
      </w:r>
      <w:r>
        <w:t xml:space="preserve"> </w:t>
      </w:r>
      <w:r>
        <w:t xml:space="preserve">enrichment of +0.547 over a base rate of 0.413 says the model is reporting a genuine liability rather</w:t>
      </w:r>
      <w:r>
        <w:t xml:space="preserve"> </w:t>
      </w:r>
      <w:r>
        <w:t xml:space="preserve">than the prior. This is the safety axis doing what it exists for: the compound that scores at the top</w:t>
      </w:r>
      <w:r>
        <w:t xml:space="preserve"> </w:t>
      </w:r>
      <w:r>
        <w:t xml:space="preserve">of the efficacy axis carries a flag a medicinal chemist would need to see.</w:t>
      </w:r>
    </w:p>
    <w:p>
      <w:pPr>
        <w:pStyle w:val="BodyText"/>
      </w:pPr>
      <w:r>
        <w:rPr>
          <w:b/>
          <w:bCs/>
        </w:rPr>
        <w:t xml:space="preserve">Reading the atenolol rows.</w:t>
      </w:r>
      <w:r>
        <w:t xml:space="preserve"> </w:t>
      </w:r>
      <w:r>
        <w:t xml:space="preserve">Every target probability sits</w:t>
      </w:r>
      <w:r>
        <w:t xml:space="preserve"> </w:t>
      </w:r>
      <w:r>
        <w:rPr>
          <w:i/>
          <w:iCs/>
        </w:rPr>
        <w:t xml:space="preserve">below</w:t>
      </w:r>
      <w:r>
        <w:t xml:space="preserve"> </w:t>
      </w:r>
      <w:r>
        <w:t xml:space="preserve">its base rate, giving negative</w:t>
      </w:r>
      <w:r>
        <w:t xml:space="preserve"> </w:t>
      </w:r>
      <w:r>
        <w:t xml:space="preserve">enrichments (AChE -0.756, hERG -0.808). Under the map in section 3.7 these become an engagement</w:t>
      </w:r>
      <w:r>
        <w:t xml:space="preserve"> </w:t>
      </w:r>
      <w:r>
        <w:t xml:space="preserve">signal of exactly zero rather than a small positive number, which is the reason for using signed</w:t>
      </w:r>
      <w:r>
        <w:t xml:space="preserve"> </w:t>
      </w:r>
      <w:r>
        <w:t xml:space="preserve">enrichment instead of the raw probability. Barrier penetration is 0.473 and the top condition scores</w:t>
      </w:r>
      <w:r>
        <w:t xml:space="preserve"> </w:t>
      </w:r>
      <w:r>
        <w:t xml:space="preserve">0.0009, some three hundred times below the 0.30 reporting threshold. The server therefore says</w:t>
      </w:r>
      <w:r>
        <w:t xml:space="preserve"> </w:t>
      </w:r>
      <w:r>
        <w:t xml:space="preserve">nothing, which for a peripherally restricted beta-blocker is correct.</w:t>
      </w:r>
    </w:p>
    <w:p>
      <w:pPr>
        <w:pStyle w:val="BodyText"/>
      </w:pPr>
      <w:r>
        <w:rPr>
          <w:b/>
          <w:bCs/>
        </w:rPr>
        <w:t xml:space="preserve">Reading the withanolide rows.</w:t>
      </w:r>
      <w:r>
        <w:t xml:space="preserve"> </w:t>
      </w:r>
      <w:r>
        <w:t xml:space="preserve">The domain distance is 0.432, in the near-domain band, and the</w:t>
      </w:r>
      <w:r>
        <w:t xml:space="preserve"> </w:t>
      </w:r>
      <w:r>
        <w:t xml:space="preserve">nearest measured neighbour is a steroid rather than anything from a medicinal-chemistry series. Every</w:t>
      </w:r>
      <w:r>
        <w:t xml:space="preserve"> </w:t>
      </w:r>
      <w:r>
        <w:t xml:space="preserve">target signal is at or below base rate and the top condition scores 0.000. The line that matters is</w:t>
      </w:r>
      <w:r>
        <w:t xml:space="preserve"> </w:t>
      </w:r>
      <w:r>
        <w:t xml:space="preserve">the expected sensitivity: 0.553, against 0.862 for the two drugs above. That figure comes from the</w:t>
      </w:r>
      <w:r>
        <w:t xml:space="preserve"> </w:t>
      </w:r>
      <w:r>
        <w:t xml:space="preserve">prospective validation in section 6.5 and it changes what the silence means. For donepezil, silence</w:t>
      </w:r>
      <w:r>
        <w:t xml:space="preserve"> </w:t>
      </w:r>
      <w:r>
        <w:t xml:space="preserve">at a target would be reasonably strong evidence of inactivity. For the withanolide it is weak</w:t>
      </w:r>
      <w:r>
        <w:t xml:space="preserve"> </w:t>
      </w:r>
      <w:r>
        <w:t xml:space="preserve">evidence, because at this distance from the training chemistry the panel recovers barely half of the</w:t>
      </w:r>
      <w:r>
        <w:t xml:space="preserve"> </w:t>
      </w:r>
      <w:r>
        <w:t xml:space="preserve">activities that are really present. The server reports that number beside the result rather than</w:t>
      </w:r>
      <w:r>
        <w:t xml:space="preserve"> </w:t>
      </w:r>
      <w:r>
        <w:t xml:space="preserve">leaving a reader to assume all silences are equal.</w:t>
      </w:r>
    </w:p>
    <w:p>
      <w:pPr>
        <w:pStyle w:val="BodyText"/>
      </w:pPr>
      <w:r>
        <w:rPr>
          <w:b/>
          <w:bCs/>
        </w:rPr>
        <w:t xml:space="preserve">What a user does with this.</w:t>
      </w:r>
      <w:r>
        <w:t xml:space="preserve"> </w:t>
      </w:r>
      <w:r>
        <w:t xml:space="preserve">The output is a triage instrument, and these three compounds show the</w:t>
      </w:r>
      <w:r>
        <w:t xml:space="preserve"> </w:t>
      </w:r>
      <w:r>
        <w:t xml:space="preserve">three outcomes it can produce. A strong, gated, mechanistically named signal is a reason to look</w:t>
      </w:r>
      <w:r>
        <w:t xml:space="preserve"> </w:t>
      </w:r>
      <w:r>
        <w:t xml:space="preserve">further and tells you which assay to run first. An unambiguous silence from a compound well inside</w:t>
      </w:r>
      <w:r>
        <w:t xml:space="preserve"> </w:t>
      </w:r>
      <w:r>
        <w:t xml:space="preserve">the domain is a reason to deprioritise. A silence from a compound outside the domain is not a result</w:t>
      </w:r>
      <w:r>
        <w:t xml:space="preserve"> </w:t>
      </w:r>
      <w:r>
        <w:t xml:space="preserve">at all, and the expected-sensitivity figure exists so that it is not read as one.</w:t>
      </w:r>
    </w:p>
    <w:p>
      <w:r>
        <w:pict>
          <v:rect style="width:0;height:1.5pt" o:hralign="center" o:hrstd="t" o:hr="t"/>
        </w:pict>
      </w:r>
    </w:p>
    <w:bookmarkEnd w:id="38"/>
    <w:bookmarkEnd w:id="39"/>
    <w:bookmarkStart w:id="58" w:name="validation-everything-that-was-done"/>
    <w:p>
      <w:pPr>
        <w:pStyle w:val="Heading2"/>
      </w:pPr>
      <w:r>
        <w:t xml:space="preserve">6. Validation: everything that was done</w:t>
      </w:r>
    </w:p>
    <w:p>
      <w:pPr>
        <w:pStyle w:val="FirstParagraph"/>
      </w:pPr>
      <w:r>
        <w:t xml:space="preserve">Validation here is arranged so that each test answers a question the previous one cannot.</w:t>
      </w:r>
    </w:p>
    <w:p>
      <w:pPr>
        <w:pStyle w:val="CaptionedFigure"/>
      </w:pPr>
      <w:r>
        <w:drawing>
          <wp:inline>
            <wp:extent cx="5969000" cy="6791260"/>
            <wp:effectExtent b="0" l="0" r="0" t="0"/>
            <wp:docPr descr="Flowchart 4" title="" id="41" name="Picture"/>
            <a:graphic>
              <a:graphicData uri="http://schemas.openxmlformats.org/drawingml/2006/picture">
                <pic:pic>
                  <pic:nvPicPr>
                    <pic:cNvPr descr="_report_figures/flowchart_4.png" id="42" name="Picture"/>
                    <pic:cNvPicPr>
                      <a:picLocks noChangeArrowheads="1" noChangeAspect="1"/>
                    </pic:cNvPicPr>
                  </pic:nvPicPr>
                  <pic:blipFill>
                    <a:blip r:embed="rId40"/>
                    <a:stretch>
                      <a:fillRect/>
                    </a:stretch>
                  </pic:blipFill>
                  <pic:spPr bwMode="auto">
                    <a:xfrm>
                      <a:off x="0" y="0"/>
                      <a:ext cx="5969000" cy="6791260"/>
                    </a:xfrm>
                    <a:prstGeom prst="rect">
                      <a:avLst/>
                    </a:prstGeom>
                    <a:noFill/>
                    <a:ln w="9525">
                      <a:noFill/>
                      <a:headEnd/>
                      <a:tailEnd/>
                    </a:ln>
                  </pic:spPr>
                </pic:pic>
              </a:graphicData>
            </a:graphic>
          </wp:inline>
        </w:drawing>
      </w:r>
    </w:p>
    <w:p>
      <w:pPr>
        <w:pStyle w:val="ImageCaption"/>
      </w:pPr>
      <w:r>
        <w:t xml:space="preserve">Flowchart 4</w:t>
      </w:r>
    </w:p>
    <w:bookmarkStart w:id="43" w:name="cross-validation-two-regimes"/>
    <w:p>
      <w:pPr>
        <w:pStyle w:val="Heading3"/>
      </w:pPr>
      <w:r>
        <w:t xml:space="preserve">6.1 Cross-validation, two regimes</w:t>
      </w:r>
    </w:p>
    <w:p>
      <w:pPr>
        <w:pStyle w:val="FirstParagraph"/>
      </w:pPr>
      <w:r>
        <w:t xml:space="preserve">Every endpoint is cross-validated ten-fold in two regimes, and the distance between them is the</w:t>
      </w:r>
      <w:r>
        <w:t xml:space="preserve"> </w:t>
      </w:r>
      <w:r>
        <w:t xml:space="preserve">honest statement of how far a model travels.</w:t>
      </w:r>
    </w:p>
    <w:p>
      <w:pPr>
        <w:pStyle w:val="Compact"/>
        <w:numPr>
          <w:ilvl w:val="0"/>
          <w:numId w:val="1006"/>
        </w:numPr>
      </w:pPr>
      <w:r>
        <w:rPr>
          <w:b/>
          <w:bCs/>
        </w:rPr>
        <w:t xml:space="preserve">Random 10-fold</w:t>
      </w:r>
      <w:r>
        <w:t xml:space="preserve"> </w:t>
      </w:r>
      <w:r>
        <w:t xml:space="preserve">splits compounds at random. It measures interpolation within known chemistry.</w:t>
      </w:r>
    </w:p>
    <w:p>
      <w:pPr>
        <w:pStyle w:val="Compact"/>
        <w:numPr>
          <w:ilvl w:val="0"/>
          <w:numId w:val="1006"/>
        </w:numPr>
      </w:pPr>
      <w:r>
        <w:rPr>
          <w:b/>
          <w:bCs/>
        </w:rPr>
        <w:t xml:space="preserve">Scaffold-grouped 10-fold</w:t>
      </w:r>
      <w:r>
        <w:t xml:space="preserve"> </w:t>
      </w:r>
      <w:r>
        <w:t xml:space="preserve">withholds entire Bemis-Murcko scaffold classes. A held-out compound is</w:t>
      </w:r>
      <w:r>
        <w:t xml:space="preserve"> </w:t>
      </w:r>
      <w:r>
        <w:t xml:space="preserve">therefore structurally distinct from everything trained on, which is the situation a user is</w:t>
      </w:r>
      <w:r>
        <w:t xml:space="preserve"> </w:t>
      </w:r>
      <w:r>
        <w:t xml:space="preserve">actually in.</w:t>
      </w:r>
    </w:p>
    <w:p>
      <w:pPr>
        <w:pStyle w:val="FirstParagraph"/>
      </w:pPr>
      <w:r>
        <w:t xml:space="preserve">Across the measured-label classifiers: mean AUROC</w:t>
      </w:r>
      <w:r>
        <w:t xml:space="preserve"> </w:t>
      </w:r>
      <w:r>
        <w:rPr>
          <w:b/>
          <w:bCs/>
        </w:rPr>
        <w:t xml:space="preserve">0.9575</w:t>
      </w:r>
      <w:r>
        <w:t xml:space="preserve"> </w:t>
      </w:r>
      <w:r>
        <w:t xml:space="preserve">random and</w:t>
      </w:r>
      <w:r>
        <w:t xml:space="preserve"> </w:t>
      </w:r>
      <w:r>
        <w:rPr>
          <w:b/>
          <w:bCs/>
        </w:rPr>
        <w:t xml:space="preserve">0.9252</w:t>
      </w:r>
      <w:r>
        <w:t xml:space="preserve"> </w:t>
      </w:r>
      <w:r>
        <w:t xml:space="preserve">scaffold.</w:t>
      </w:r>
    </w:p>
    <w:tbl>
      <w:tblPr>
        <w:tblStyle w:val="Table"/>
        <w:tblW w:type="pct" w:w="500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task</w:t>
            </w:r>
          </w:p>
        </w:tc>
        <w:tc>
          <w:tcPr>
            <w:shd w:val="clear" w:fill="EAF0F7"/>
          </w:tcPr>
          <w:p>
            <w:pPr>
              <w:pStyle w:val="Compact"/>
            </w:pPr>
            <w:r>
              <w:rPr>
                <w:b/>
                <w:sz w:val="17"/>
              </w:rPr>
              <w:t xml:space="preserve">split</w:t>
            </w:r>
          </w:p>
        </w:tc>
        <w:tc>
          <w:tcPr>
            <w:shd w:val="clear" w:fill="EAF0F7"/>
          </w:tcPr>
          <w:p>
            <w:pPr>
              <w:pStyle w:val="Compact"/>
            </w:pPr>
            <w:r>
              <w:rPr>
                <w:b/>
                <w:sz w:val="17"/>
              </w:rPr>
              <w:t xml:space="preserve">compounds</w:t>
            </w:r>
          </w:p>
        </w:tc>
        <w:tc>
          <w:tcPr>
            <w:shd w:val="clear" w:fill="EAF0F7"/>
          </w:tcPr>
          <w:p>
            <w:pPr>
              <w:pStyle w:val="Compact"/>
            </w:pPr>
            <w:r>
              <w:rPr>
                <w:b/>
                <w:sz w:val="17"/>
              </w:rPr>
              <w:t xml:space="preserve">metric</w:t>
            </w:r>
          </w:p>
        </w:tc>
        <w:tc>
          <w:tcPr>
            <w:shd w:val="clear" w:fill="EAF0F7"/>
          </w:tcPr>
          <w:p>
            <w:pPr>
              <w:pStyle w:val="Compact"/>
            </w:pPr>
            <w:r>
              <w:rPr>
                <w:b/>
                <w:sz w:val="17"/>
              </w:rPr>
              <w:t xml:space="preserve">score</w:t>
            </w:r>
          </w:p>
        </w:tc>
        <w:tc>
          <w:tcPr>
            <w:shd w:val="clear" w:fill="EAF0F7"/>
          </w:tcPr>
          <w:p>
            <w:pPr>
              <w:pStyle w:val="Compact"/>
            </w:pPr>
            <w:r>
              <w:rPr>
                <w:b/>
                <w:sz w:val="17"/>
              </w:rPr>
              <w:t xml:space="preserve">fold sd</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3901</w:t>
            </w:r>
          </w:p>
        </w:tc>
        <w:tc>
          <w:tcPr/>
          <w:p>
            <w:pPr>
              <w:pStyle w:val="Compact"/>
            </w:pPr>
            <w:r>
              <w:rPr>
                <w:sz w:val="15"/>
              </w:rPr>
              <w:t xml:space="preserve">AUROC</w:t>
            </w:r>
          </w:p>
        </w:tc>
        <w:tc>
          <w:tcPr/>
          <w:p>
            <w:pPr>
              <w:pStyle w:val="Compact"/>
            </w:pPr>
            <w:r>
              <w:rPr>
                <w:sz w:val="15"/>
              </w:rPr>
              <w:t xml:space="preserve">0.899</w:t>
            </w:r>
          </w:p>
        </w:tc>
        <w:tc>
          <w:tcPr/>
          <w:p>
            <w:pPr>
              <w:pStyle w:val="Compact"/>
            </w:pPr>
            <w:r>
              <w:rPr>
                <w:sz w:val="15"/>
              </w:rPr>
              <w:t xml:space="preserve">0.0161</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3901</w:t>
            </w:r>
          </w:p>
        </w:tc>
        <w:tc>
          <w:tcPr/>
          <w:p>
            <w:pPr>
              <w:pStyle w:val="Compact"/>
            </w:pPr>
            <w:r>
              <w:rPr>
                <w:sz w:val="15"/>
              </w:rPr>
              <w:t xml:space="preserve">AUROC</w:t>
            </w:r>
          </w:p>
        </w:tc>
        <w:tc>
          <w:tcPr/>
          <w:p>
            <w:pPr>
              <w:pStyle w:val="Compact"/>
            </w:pPr>
            <w:r>
              <w:rPr>
                <w:sz w:val="15"/>
              </w:rPr>
              <w:t xml:space="preserve">0.8777</w:t>
            </w:r>
          </w:p>
        </w:tc>
        <w:tc>
          <w:tcPr/>
          <w:p>
            <w:pPr>
              <w:pStyle w:val="Compact"/>
            </w:pPr>
            <w:r>
              <w:rPr>
                <w:sz w:val="15"/>
              </w:rPr>
              <w:t xml:space="preserve">0.0336</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5125</w:t>
            </w:r>
          </w:p>
        </w:tc>
        <w:tc>
          <w:tcPr/>
          <w:p>
            <w:pPr>
              <w:pStyle w:val="Compact"/>
            </w:pPr>
            <w:r>
              <w:rPr>
                <w:sz w:val="15"/>
              </w:rPr>
              <w:t xml:space="preserve">AUROC</w:t>
            </w:r>
          </w:p>
        </w:tc>
        <w:tc>
          <w:tcPr/>
          <w:p>
            <w:pPr>
              <w:pStyle w:val="Compact"/>
            </w:pPr>
            <w:r>
              <w:rPr>
                <w:sz w:val="15"/>
              </w:rPr>
              <w:t xml:space="preserve">0.9659</w:t>
            </w:r>
          </w:p>
        </w:tc>
        <w:tc>
          <w:tcPr/>
          <w:p>
            <w:pPr>
              <w:pStyle w:val="Compact"/>
            </w:pPr>
            <w:r>
              <w:rPr>
                <w:sz w:val="15"/>
              </w:rPr>
              <w:t xml:space="preserve">0.0057</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5125</w:t>
            </w:r>
          </w:p>
        </w:tc>
        <w:tc>
          <w:tcPr/>
          <w:p>
            <w:pPr>
              <w:pStyle w:val="Compact"/>
            </w:pPr>
            <w:r>
              <w:rPr>
                <w:sz w:val="15"/>
              </w:rPr>
              <w:t xml:space="preserve">AUROC</w:t>
            </w:r>
          </w:p>
        </w:tc>
        <w:tc>
          <w:tcPr/>
          <w:p>
            <w:pPr>
              <w:pStyle w:val="Compact"/>
            </w:pPr>
            <w:r>
              <w:rPr>
                <w:sz w:val="15"/>
              </w:rPr>
              <w:t xml:space="preserve">0.9212</w:t>
            </w:r>
          </w:p>
        </w:tc>
        <w:tc>
          <w:tcPr/>
          <w:p>
            <w:pPr>
              <w:pStyle w:val="Compact"/>
            </w:pPr>
            <w:r>
              <w:rPr>
                <w:sz w:val="15"/>
              </w:rPr>
              <w:t xml:space="preserve">0.0206</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3278</w:t>
            </w:r>
          </w:p>
        </w:tc>
        <w:tc>
          <w:tcPr/>
          <w:p>
            <w:pPr>
              <w:pStyle w:val="Compact"/>
            </w:pPr>
            <w:r>
              <w:rPr>
                <w:sz w:val="15"/>
              </w:rPr>
              <w:t xml:space="preserve">AUROC</w:t>
            </w:r>
          </w:p>
        </w:tc>
        <w:tc>
          <w:tcPr/>
          <w:p>
            <w:pPr>
              <w:pStyle w:val="Compact"/>
            </w:pPr>
            <w:r>
              <w:rPr>
                <w:sz w:val="15"/>
              </w:rPr>
              <w:t xml:space="preserve">0.9724</w:t>
            </w:r>
          </w:p>
        </w:tc>
        <w:tc>
          <w:tcPr/>
          <w:p>
            <w:pPr>
              <w:pStyle w:val="Compact"/>
            </w:pPr>
            <w:r>
              <w:rPr>
                <w:sz w:val="15"/>
              </w:rPr>
              <w:t xml:space="preserve">0.008</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3278</w:t>
            </w:r>
          </w:p>
        </w:tc>
        <w:tc>
          <w:tcPr/>
          <w:p>
            <w:pPr>
              <w:pStyle w:val="Compact"/>
            </w:pPr>
            <w:r>
              <w:rPr>
                <w:sz w:val="15"/>
              </w:rPr>
              <w:t xml:space="preserve">AUROC</w:t>
            </w:r>
          </w:p>
        </w:tc>
        <w:tc>
          <w:tcPr/>
          <w:p>
            <w:pPr>
              <w:pStyle w:val="Compact"/>
            </w:pPr>
            <w:r>
              <w:rPr>
                <w:sz w:val="15"/>
              </w:rPr>
              <w:t xml:space="preserve">0.9451</w:t>
            </w:r>
          </w:p>
        </w:tc>
        <w:tc>
          <w:tcPr/>
          <w:p>
            <w:pPr>
              <w:pStyle w:val="Compact"/>
            </w:pPr>
            <w:r>
              <w:rPr>
                <w:sz w:val="15"/>
              </w:rPr>
              <w:t xml:space="preserve">0.0155</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8207</w:t>
            </w:r>
          </w:p>
        </w:tc>
        <w:tc>
          <w:tcPr/>
          <w:p>
            <w:pPr>
              <w:pStyle w:val="Compact"/>
            </w:pPr>
            <w:r>
              <w:rPr>
                <w:sz w:val="15"/>
              </w:rPr>
              <w:t xml:space="preserve">AUROC</w:t>
            </w:r>
          </w:p>
        </w:tc>
        <w:tc>
          <w:tcPr/>
          <w:p>
            <w:pPr>
              <w:pStyle w:val="Compact"/>
            </w:pPr>
            <w:r>
              <w:rPr>
                <w:sz w:val="15"/>
              </w:rPr>
              <w:t xml:space="preserve">0.9764</w:t>
            </w:r>
          </w:p>
        </w:tc>
        <w:tc>
          <w:tcPr/>
          <w:p>
            <w:pPr>
              <w:pStyle w:val="Compact"/>
            </w:pPr>
            <w:r>
              <w:rPr>
                <w:sz w:val="15"/>
              </w:rPr>
              <w:t xml:space="preserve">0.0104</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8207</w:t>
            </w:r>
          </w:p>
        </w:tc>
        <w:tc>
          <w:tcPr/>
          <w:p>
            <w:pPr>
              <w:pStyle w:val="Compact"/>
            </w:pPr>
            <w:r>
              <w:rPr>
                <w:sz w:val="15"/>
              </w:rPr>
              <w:t xml:space="preserve">AUROC</w:t>
            </w:r>
          </w:p>
        </w:tc>
        <w:tc>
          <w:tcPr/>
          <w:p>
            <w:pPr>
              <w:pStyle w:val="Compact"/>
            </w:pPr>
            <w:r>
              <w:rPr>
                <w:sz w:val="15"/>
              </w:rPr>
              <w:t xml:space="preserve">0.9648</w:t>
            </w:r>
          </w:p>
        </w:tc>
        <w:tc>
          <w:tcPr/>
          <w:p>
            <w:pPr>
              <w:pStyle w:val="Compact"/>
            </w:pPr>
            <w:r>
              <w:rPr>
                <w:sz w:val="15"/>
              </w:rPr>
              <w:t xml:space="preserve">0.0093</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5439</w:t>
            </w:r>
          </w:p>
        </w:tc>
        <w:tc>
          <w:tcPr/>
          <w:p>
            <w:pPr>
              <w:pStyle w:val="Compact"/>
            </w:pPr>
            <w:r>
              <w:rPr>
                <w:sz w:val="15"/>
              </w:rPr>
              <w:t xml:space="preserve">AUROC</w:t>
            </w:r>
          </w:p>
        </w:tc>
        <w:tc>
          <w:tcPr/>
          <w:p>
            <w:pPr>
              <w:pStyle w:val="Compact"/>
            </w:pPr>
            <w:r>
              <w:rPr>
                <w:sz w:val="15"/>
              </w:rPr>
              <w:t xml:space="preserve">0.9649</w:t>
            </w:r>
          </w:p>
        </w:tc>
        <w:tc>
          <w:tcPr/>
          <w:p>
            <w:pPr>
              <w:pStyle w:val="Compact"/>
            </w:pPr>
            <w:r>
              <w:rPr>
                <w:sz w:val="15"/>
              </w:rPr>
              <w:t xml:space="preserve">0.0065</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5439</w:t>
            </w:r>
          </w:p>
        </w:tc>
        <w:tc>
          <w:tcPr/>
          <w:p>
            <w:pPr>
              <w:pStyle w:val="Compact"/>
            </w:pPr>
            <w:r>
              <w:rPr>
                <w:sz w:val="15"/>
              </w:rPr>
              <w:t xml:space="preserve">AUROC</w:t>
            </w:r>
          </w:p>
        </w:tc>
        <w:tc>
          <w:tcPr/>
          <w:p>
            <w:pPr>
              <w:pStyle w:val="Compact"/>
            </w:pPr>
            <w:r>
              <w:rPr>
                <w:sz w:val="15"/>
              </w:rPr>
              <w:t xml:space="preserve">0.9425</w:t>
            </w:r>
          </w:p>
        </w:tc>
        <w:tc>
          <w:tcPr/>
          <w:p>
            <w:pPr>
              <w:pStyle w:val="Compact"/>
            </w:pPr>
            <w:r>
              <w:rPr>
                <w:sz w:val="15"/>
              </w:rPr>
              <w:t xml:space="preserve">0.0236</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3585</w:t>
            </w:r>
          </w:p>
        </w:tc>
        <w:tc>
          <w:tcPr/>
          <w:p>
            <w:pPr>
              <w:pStyle w:val="Compact"/>
            </w:pPr>
            <w:r>
              <w:rPr>
                <w:sz w:val="15"/>
              </w:rPr>
              <w:t xml:space="preserve">AUROC</w:t>
            </w:r>
          </w:p>
        </w:tc>
        <w:tc>
          <w:tcPr/>
          <w:p>
            <w:pPr>
              <w:pStyle w:val="Compact"/>
            </w:pPr>
            <w:r>
              <w:rPr>
                <w:sz w:val="15"/>
              </w:rPr>
              <w:t xml:space="preserve">0.9619</w:t>
            </w:r>
          </w:p>
        </w:tc>
        <w:tc>
          <w:tcPr/>
          <w:p>
            <w:pPr>
              <w:pStyle w:val="Compact"/>
            </w:pPr>
            <w:r>
              <w:rPr>
                <w:sz w:val="15"/>
              </w:rPr>
              <w:t xml:space="preserve">0.0124</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3585</w:t>
            </w:r>
          </w:p>
        </w:tc>
        <w:tc>
          <w:tcPr/>
          <w:p>
            <w:pPr>
              <w:pStyle w:val="Compact"/>
            </w:pPr>
            <w:r>
              <w:rPr>
                <w:sz w:val="15"/>
              </w:rPr>
              <w:t xml:space="preserve">AUROC</w:t>
            </w:r>
          </w:p>
        </w:tc>
        <w:tc>
          <w:tcPr/>
          <w:p>
            <w:pPr>
              <w:pStyle w:val="Compact"/>
            </w:pPr>
            <w:r>
              <w:rPr>
                <w:sz w:val="15"/>
              </w:rPr>
              <w:t xml:space="preserve">0.9059</w:t>
            </w:r>
          </w:p>
        </w:tc>
        <w:tc>
          <w:tcPr/>
          <w:p>
            <w:pPr>
              <w:pStyle w:val="Compact"/>
            </w:pPr>
            <w:r>
              <w:rPr>
                <w:sz w:val="15"/>
              </w:rPr>
              <w:t xml:space="preserve">0.0303</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4534</w:t>
            </w:r>
          </w:p>
        </w:tc>
        <w:tc>
          <w:tcPr/>
          <w:p>
            <w:pPr>
              <w:pStyle w:val="Compact"/>
            </w:pPr>
            <w:r>
              <w:rPr>
                <w:sz w:val="15"/>
              </w:rPr>
              <w:t xml:space="preserve">AUROC</w:t>
            </w:r>
          </w:p>
        </w:tc>
        <w:tc>
          <w:tcPr/>
          <w:p>
            <w:pPr>
              <w:pStyle w:val="Compact"/>
            </w:pPr>
            <w:r>
              <w:rPr>
                <w:sz w:val="15"/>
              </w:rPr>
              <w:t xml:space="preserve">0.963</w:t>
            </w:r>
          </w:p>
        </w:tc>
        <w:tc>
          <w:tcPr/>
          <w:p>
            <w:pPr>
              <w:pStyle w:val="Compact"/>
            </w:pPr>
            <w:r>
              <w:rPr>
                <w:sz w:val="15"/>
              </w:rPr>
              <w:t xml:space="preserve">0.0075</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4534</w:t>
            </w:r>
          </w:p>
        </w:tc>
        <w:tc>
          <w:tcPr/>
          <w:p>
            <w:pPr>
              <w:pStyle w:val="Compact"/>
            </w:pPr>
            <w:r>
              <w:rPr>
                <w:sz w:val="15"/>
              </w:rPr>
              <w:t xml:space="preserve">AUROC</w:t>
            </w:r>
          </w:p>
        </w:tc>
        <w:tc>
          <w:tcPr/>
          <w:p>
            <w:pPr>
              <w:pStyle w:val="Compact"/>
            </w:pPr>
            <w:r>
              <w:rPr>
                <w:sz w:val="15"/>
              </w:rPr>
              <w:t xml:space="preserve">0.917</w:t>
            </w:r>
          </w:p>
        </w:tc>
        <w:tc>
          <w:tcPr/>
          <w:p>
            <w:pPr>
              <w:pStyle w:val="Compact"/>
            </w:pPr>
            <w:r>
              <w:rPr>
                <w:sz w:val="15"/>
              </w:rPr>
              <w:t xml:space="preserve">0.0294</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random</w:t>
            </w:r>
          </w:p>
        </w:tc>
        <w:tc>
          <w:tcPr/>
          <w:p>
            <w:pPr>
              <w:pStyle w:val="Compact"/>
            </w:pPr>
            <w:r>
              <w:rPr>
                <w:sz w:val="15"/>
              </w:rPr>
              <w:t xml:space="preserve">9933</w:t>
            </w:r>
          </w:p>
        </w:tc>
        <w:tc>
          <w:tcPr/>
          <w:p>
            <w:pPr>
              <w:pStyle w:val="Compact"/>
            </w:pPr>
            <w:r>
              <w:rPr>
                <w:sz w:val="15"/>
              </w:rPr>
              <w:t xml:space="preserve">AUROC</w:t>
            </w:r>
          </w:p>
        </w:tc>
        <w:tc>
          <w:tcPr/>
          <w:p>
            <w:pPr>
              <w:pStyle w:val="Compact"/>
            </w:pPr>
            <w:r>
              <w:rPr>
                <w:sz w:val="15"/>
              </w:rPr>
              <w:t xml:space="preserve">0.9565</w:t>
            </w:r>
          </w:p>
        </w:tc>
        <w:tc>
          <w:tcPr/>
          <w:p>
            <w:pPr>
              <w:pStyle w:val="Compact"/>
            </w:pPr>
            <w:r>
              <w:rPr>
                <w:sz w:val="15"/>
              </w:rPr>
              <w:t xml:space="preserve">0.0077</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scaffold</w:t>
            </w:r>
          </w:p>
        </w:tc>
        <w:tc>
          <w:tcPr/>
          <w:p>
            <w:pPr>
              <w:pStyle w:val="Compact"/>
            </w:pPr>
            <w:r>
              <w:rPr>
                <w:sz w:val="15"/>
              </w:rPr>
              <w:t xml:space="preserve">9933</w:t>
            </w:r>
          </w:p>
        </w:tc>
        <w:tc>
          <w:tcPr/>
          <w:p>
            <w:pPr>
              <w:pStyle w:val="Compact"/>
            </w:pPr>
            <w:r>
              <w:rPr>
                <w:sz w:val="15"/>
              </w:rPr>
              <w:t xml:space="preserve">AUROC</w:t>
            </w:r>
          </w:p>
        </w:tc>
        <w:tc>
          <w:tcPr/>
          <w:p>
            <w:pPr>
              <w:pStyle w:val="Compact"/>
            </w:pPr>
            <w:r>
              <w:rPr>
                <w:sz w:val="15"/>
              </w:rPr>
              <w:t xml:space="preserve">0.927</w:t>
            </w:r>
          </w:p>
        </w:tc>
        <w:tc>
          <w:tcPr/>
          <w:p>
            <w:pPr>
              <w:pStyle w:val="Compact"/>
            </w:pPr>
            <w:r>
              <w:rPr>
                <w:sz w:val="15"/>
              </w:rPr>
              <w:t xml:space="preserve">0.0271</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random</w:t>
            </w:r>
          </w:p>
        </w:tc>
        <w:tc>
          <w:tcPr/>
          <w:p>
            <w:pPr>
              <w:pStyle w:val="Compact"/>
            </w:pPr>
            <w:r>
              <w:rPr>
                <w:sz w:val="15"/>
              </w:rPr>
              <w:t xml:space="preserve">7905</w:t>
            </w:r>
          </w:p>
        </w:tc>
        <w:tc>
          <w:tcPr/>
          <w:p>
            <w:pPr>
              <w:pStyle w:val="Compact"/>
            </w:pPr>
            <w:r>
              <w:rPr>
                <w:sz w:val="15"/>
              </w:rPr>
              <w:t xml:space="preserve">R2</w:t>
            </w:r>
          </w:p>
        </w:tc>
        <w:tc>
          <w:tcPr/>
          <w:p>
            <w:pPr>
              <w:pStyle w:val="Compact"/>
            </w:pPr>
            <w:r>
              <w:rPr>
                <w:sz w:val="15"/>
              </w:rPr>
              <w:t xml:space="preserve">0.6403</w:t>
            </w:r>
          </w:p>
        </w:tc>
        <w:tc>
          <w:tcPr/>
          <w:p>
            <w:pPr>
              <w:pStyle w:val="Compact"/>
            </w:pPr>
            <w:r>
              <w:rPr>
                <w:sz w:val="15"/>
              </w:rPr>
              <w:t xml:space="preserve">0.0243</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scaffold</w:t>
            </w:r>
          </w:p>
        </w:tc>
        <w:tc>
          <w:tcPr/>
          <w:p>
            <w:pPr>
              <w:pStyle w:val="Compact"/>
            </w:pPr>
            <w:r>
              <w:rPr>
                <w:sz w:val="15"/>
              </w:rPr>
              <w:t xml:space="preserve">7905</w:t>
            </w:r>
          </w:p>
        </w:tc>
        <w:tc>
          <w:tcPr/>
          <w:p>
            <w:pPr>
              <w:pStyle w:val="Compact"/>
            </w:pPr>
            <w:r>
              <w:rPr>
                <w:sz w:val="15"/>
              </w:rPr>
              <w:t xml:space="preserve">R2</w:t>
            </w:r>
          </w:p>
        </w:tc>
        <w:tc>
          <w:tcPr/>
          <w:p>
            <w:pPr>
              <w:pStyle w:val="Compact"/>
            </w:pPr>
            <w:r>
              <w:rPr>
                <w:sz w:val="15"/>
              </w:rPr>
              <w:t xml:space="preserve">0.5311</w:t>
            </w:r>
          </w:p>
        </w:tc>
        <w:tc>
          <w:tcPr/>
          <w:p>
            <w:pPr>
              <w:pStyle w:val="Compact"/>
            </w:pPr>
            <w:r>
              <w:rPr>
                <w:sz w:val="15"/>
              </w:rPr>
              <w:t xml:space="preserve">0.0287</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random</w:t>
            </w:r>
          </w:p>
        </w:tc>
        <w:tc>
          <w:tcPr/>
          <w:p>
            <w:pPr>
              <w:pStyle w:val="Compact"/>
            </w:pPr>
            <w:r>
              <w:rPr>
                <w:sz w:val="15"/>
              </w:rPr>
              <w:t xml:space="preserve">6743</w:t>
            </w:r>
          </w:p>
        </w:tc>
        <w:tc>
          <w:tcPr/>
          <w:p>
            <w:pPr>
              <w:pStyle w:val="Compact"/>
            </w:pPr>
            <w:r>
              <w:rPr>
                <w:sz w:val="15"/>
              </w:rPr>
              <w:t xml:space="preserve">R2</w:t>
            </w:r>
          </w:p>
        </w:tc>
        <w:tc>
          <w:tcPr/>
          <w:p>
            <w:pPr>
              <w:pStyle w:val="Compact"/>
            </w:pPr>
            <w:r>
              <w:rPr>
                <w:sz w:val="15"/>
              </w:rPr>
              <w:t xml:space="preserve">0.7231</w:t>
            </w:r>
          </w:p>
        </w:tc>
        <w:tc>
          <w:tcPr/>
          <w:p>
            <w:pPr>
              <w:pStyle w:val="Compact"/>
            </w:pPr>
            <w:r>
              <w:rPr>
                <w:sz w:val="15"/>
              </w:rPr>
              <w:t xml:space="preserve">0.0255</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scaffold</w:t>
            </w:r>
          </w:p>
        </w:tc>
        <w:tc>
          <w:tcPr/>
          <w:p>
            <w:pPr>
              <w:pStyle w:val="Compact"/>
            </w:pPr>
            <w:r>
              <w:rPr>
                <w:sz w:val="15"/>
              </w:rPr>
              <w:t xml:space="preserve">6743</w:t>
            </w:r>
          </w:p>
        </w:tc>
        <w:tc>
          <w:tcPr/>
          <w:p>
            <w:pPr>
              <w:pStyle w:val="Compact"/>
            </w:pPr>
            <w:r>
              <w:rPr>
                <w:sz w:val="15"/>
              </w:rPr>
              <w:t xml:space="preserve">R2</w:t>
            </w:r>
          </w:p>
        </w:tc>
        <w:tc>
          <w:tcPr/>
          <w:p>
            <w:pPr>
              <w:pStyle w:val="Compact"/>
            </w:pPr>
            <w:r>
              <w:rPr>
                <w:sz w:val="15"/>
              </w:rPr>
              <w:t xml:space="preserve">0.6205</w:t>
            </w:r>
          </w:p>
        </w:tc>
        <w:tc>
          <w:tcPr/>
          <w:p>
            <w:pPr>
              <w:pStyle w:val="Compact"/>
            </w:pPr>
            <w:r>
              <w:rPr>
                <w:sz w:val="15"/>
              </w:rPr>
              <w:t xml:space="preserve">0.0485</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random</w:t>
            </w:r>
          </w:p>
        </w:tc>
        <w:tc>
          <w:tcPr/>
          <w:p>
            <w:pPr>
              <w:pStyle w:val="Compact"/>
            </w:pPr>
            <w:r>
              <w:rPr>
                <w:sz w:val="15"/>
              </w:rPr>
              <w:t xml:space="preserve">6075</w:t>
            </w:r>
          </w:p>
        </w:tc>
        <w:tc>
          <w:tcPr/>
          <w:p>
            <w:pPr>
              <w:pStyle w:val="Compact"/>
            </w:pPr>
            <w:r>
              <w:rPr>
                <w:sz w:val="15"/>
              </w:rPr>
              <w:t xml:space="preserve">R2</w:t>
            </w:r>
          </w:p>
        </w:tc>
        <w:tc>
          <w:tcPr/>
          <w:p>
            <w:pPr>
              <w:pStyle w:val="Compact"/>
            </w:pPr>
            <w:r>
              <w:rPr>
                <w:sz w:val="15"/>
              </w:rPr>
              <w:t xml:space="preserve">0.6996</w:t>
            </w:r>
          </w:p>
        </w:tc>
        <w:tc>
          <w:tcPr/>
          <w:p>
            <w:pPr>
              <w:pStyle w:val="Compact"/>
            </w:pPr>
            <w:r>
              <w:rPr>
                <w:sz w:val="15"/>
              </w:rPr>
              <w:t xml:space="preserve">0.0166</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scaffold</w:t>
            </w:r>
          </w:p>
        </w:tc>
        <w:tc>
          <w:tcPr/>
          <w:p>
            <w:pPr>
              <w:pStyle w:val="Compact"/>
            </w:pPr>
            <w:r>
              <w:rPr>
                <w:sz w:val="15"/>
              </w:rPr>
              <w:t xml:space="preserve">6075</w:t>
            </w:r>
          </w:p>
        </w:tc>
        <w:tc>
          <w:tcPr/>
          <w:p>
            <w:pPr>
              <w:pStyle w:val="Compact"/>
            </w:pPr>
            <w:r>
              <w:rPr>
                <w:sz w:val="15"/>
              </w:rPr>
              <w:t xml:space="preserve">R2</w:t>
            </w:r>
          </w:p>
        </w:tc>
        <w:tc>
          <w:tcPr/>
          <w:p>
            <w:pPr>
              <w:pStyle w:val="Compact"/>
            </w:pPr>
            <w:r>
              <w:rPr>
                <w:sz w:val="15"/>
              </w:rPr>
              <w:t xml:space="preserve">0.556</w:t>
            </w:r>
          </w:p>
        </w:tc>
        <w:tc>
          <w:tcPr/>
          <w:p>
            <w:pPr>
              <w:pStyle w:val="Compact"/>
            </w:pPr>
            <w:r>
              <w:rPr>
                <w:sz w:val="15"/>
              </w:rPr>
              <w:t xml:space="preserve">0.0656</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random</w:t>
            </w:r>
          </w:p>
        </w:tc>
        <w:tc>
          <w:tcPr/>
          <w:p>
            <w:pPr>
              <w:pStyle w:val="Compact"/>
            </w:pPr>
            <w:r>
              <w:rPr>
                <w:sz w:val="15"/>
              </w:rPr>
              <w:t xml:space="preserve">4479</w:t>
            </w:r>
          </w:p>
        </w:tc>
        <w:tc>
          <w:tcPr/>
          <w:p>
            <w:pPr>
              <w:pStyle w:val="Compact"/>
            </w:pPr>
            <w:r>
              <w:rPr>
                <w:sz w:val="15"/>
              </w:rPr>
              <w:t xml:space="preserve">R2</w:t>
            </w:r>
          </w:p>
        </w:tc>
        <w:tc>
          <w:tcPr/>
          <w:p>
            <w:pPr>
              <w:pStyle w:val="Compact"/>
            </w:pPr>
            <w:r>
              <w:rPr>
                <w:sz w:val="15"/>
              </w:rPr>
              <w:t xml:space="preserve">0.6897</w:t>
            </w:r>
          </w:p>
        </w:tc>
        <w:tc>
          <w:tcPr/>
          <w:p>
            <w:pPr>
              <w:pStyle w:val="Compact"/>
            </w:pPr>
            <w:r>
              <w:rPr>
                <w:sz w:val="15"/>
              </w:rPr>
              <w:t xml:space="preserve">0.0273</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scaffold</w:t>
            </w:r>
          </w:p>
        </w:tc>
        <w:tc>
          <w:tcPr/>
          <w:p>
            <w:pPr>
              <w:pStyle w:val="Compact"/>
            </w:pPr>
            <w:r>
              <w:rPr>
                <w:sz w:val="15"/>
              </w:rPr>
              <w:t xml:space="preserve">4479</w:t>
            </w:r>
          </w:p>
        </w:tc>
        <w:tc>
          <w:tcPr/>
          <w:p>
            <w:pPr>
              <w:pStyle w:val="Compact"/>
            </w:pPr>
            <w:r>
              <w:rPr>
                <w:sz w:val="15"/>
              </w:rPr>
              <w:t xml:space="preserve">R2</w:t>
            </w:r>
          </w:p>
        </w:tc>
        <w:tc>
          <w:tcPr/>
          <w:p>
            <w:pPr>
              <w:pStyle w:val="Compact"/>
            </w:pPr>
            <w:r>
              <w:rPr>
                <w:sz w:val="15"/>
              </w:rPr>
              <w:t xml:space="preserve">0.4612</w:t>
            </w:r>
          </w:p>
        </w:tc>
        <w:tc>
          <w:tcPr/>
          <w:p>
            <w:pPr>
              <w:pStyle w:val="Compact"/>
            </w:pPr>
            <w:r>
              <w:rPr>
                <w:sz w:val="15"/>
              </w:rPr>
              <w:t xml:space="preserve">0.0987</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random</w:t>
            </w:r>
          </w:p>
        </w:tc>
        <w:tc>
          <w:tcPr/>
          <w:p>
            <w:pPr>
              <w:pStyle w:val="Compact"/>
            </w:pPr>
            <w:r>
              <w:rPr>
                <w:sz w:val="15"/>
              </w:rPr>
              <w:t xml:space="preserve">2782</w:t>
            </w:r>
          </w:p>
        </w:tc>
        <w:tc>
          <w:tcPr/>
          <w:p>
            <w:pPr>
              <w:pStyle w:val="Compact"/>
            </w:pPr>
            <w:r>
              <w:rPr>
                <w:sz w:val="15"/>
              </w:rPr>
              <w:t xml:space="preserve">R2</w:t>
            </w:r>
          </w:p>
        </w:tc>
        <w:tc>
          <w:tcPr/>
          <w:p>
            <w:pPr>
              <w:pStyle w:val="Compact"/>
            </w:pPr>
            <w:r>
              <w:rPr>
                <w:sz w:val="15"/>
              </w:rPr>
              <w:t xml:space="preserve">0.6589</w:t>
            </w:r>
          </w:p>
        </w:tc>
        <w:tc>
          <w:tcPr/>
          <w:p>
            <w:pPr>
              <w:pStyle w:val="Compact"/>
            </w:pPr>
            <w:r>
              <w:rPr>
                <w:sz w:val="15"/>
              </w:rPr>
              <w:t xml:space="preserve">0.0508</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scaffold</w:t>
            </w:r>
          </w:p>
        </w:tc>
        <w:tc>
          <w:tcPr/>
          <w:p>
            <w:pPr>
              <w:pStyle w:val="Compact"/>
            </w:pPr>
            <w:r>
              <w:rPr>
                <w:sz w:val="15"/>
              </w:rPr>
              <w:t xml:space="preserve">2782</w:t>
            </w:r>
          </w:p>
        </w:tc>
        <w:tc>
          <w:tcPr/>
          <w:p>
            <w:pPr>
              <w:pStyle w:val="Compact"/>
            </w:pPr>
            <w:r>
              <w:rPr>
                <w:sz w:val="15"/>
              </w:rPr>
              <w:t xml:space="preserve">R2</w:t>
            </w:r>
          </w:p>
        </w:tc>
        <w:tc>
          <w:tcPr/>
          <w:p>
            <w:pPr>
              <w:pStyle w:val="Compact"/>
            </w:pPr>
            <w:r>
              <w:rPr>
                <w:sz w:val="15"/>
              </w:rPr>
              <w:t xml:space="preserve">0.4153</w:t>
            </w:r>
          </w:p>
        </w:tc>
        <w:tc>
          <w:tcPr/>
          <w:p>
            <w:pPr>
              <w:pStyle w:val="Compact"/>
            </w:pPr>
            <w:r>
              <w:rPr>
                <w:sz w:val="15"/>
              </w:rPr>
              <w:t xml:space="preserve">0.1491</w:t>
            </w:r>
          </w:p>
        </w:tc>
      </w:tr>
    </w:tbl>
    <w:bookmarkEnd w:id="43"/>
    <w:bookmarkStart w:id="44" w:name="temporal-validation"/>
    <w:p>
      <w:pPr>
        <w:pStyle w:val="Heading3"/>
      </w:pPr>
      <w:r>
        <w:t xml:space="preserve">6.2 Temporal validation</w:t>
      </w:r>
    </w:p>
    <w:p>
      <w:pPr>
        <w:pStyle w:val="FirstParagraph"/>
      </w:pPr>
      <w:r>
        <w:t xml:space="preserve">The hardest realistic test: train on compounds published before a cut-off year, test on those</w:t>
      </w:r>
      <w:r>
        <w:t xml:space="preserve"> </w:t>
      </w:r>
      <w:r>
        <w:t xml:space="preserve">published after it. This reproduces the actual use case, predicting chemistry that did not exist</w:t>
      </w:r>
      <w:r>
        <w:t xml:space="preserve"> </w:t>
      </w:r>
      <w:r>
        <w:t xml:space="preserve">when the model was fitted.</w:t>
      </w:r>
    </w:p>
    <w:p>
      <w:pPr>
        <w:pStyle w:val="BodyText"/>
      </w:pPr>
      <w:r>
        <w:t xml:space="preserve">AUROC</w:t>
      </w:r>
      <w:r>
        <w:t xml:space="preserve"> </w:t>
      </w:r>
      <w:r>
        <w:rPr>
          <w:b/>
          <w:bCs/>
        </w:rPr>
        <w:t xml:space="preserve">0.713 to 0.913</w:t>
      </w:r>
      <w:r>
        <w:t xml:space="preserve"> </w:t>
      </w:r>
      <w:r>
        <w:t xml:space="preserve">across 7 endpoints.</w:t>
      </w:r>
    </w:p>
    <w:tbl>
      <w:tblPr>
        <w:tblStyle w:val="Table"/>
        <w:tblW w:type="auto" w:w="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task</w:t>
            </w:r>
          </w:p>
        </w:tc>
        <w:tc>
          <w:tcPr>
            <w:shd w:val="clear" w:fill="EAF0F7"/>
          </w:tcPr>
          <w:p>
            <w:pPr>
              <w:pStyle w:val="Compact"/>
            </w:pPr>
            <w:r>
              <w:rPr>
                <w:b/>
                <w:sz w:val="17"/>
              </w:rPr>
              <w:t xml:space="preserve">cutoff_year</w:t>
            </w:r>
          </w:p>
        </w:tc>
        <w:tc>
          <w:tcPr>
            <w:shd w:val="clear" w:fill="EAF0F7"/>
          </w:tcPr>
          <w:p>
            <w:pPr>
              <w:pStyle w:val="Compact"/>
            </w:pPr>
            <w:r>
              <w:rPr>
                <w:b/>
                <w:sz w:val="17"/>
              </w:rPr>
              <w:t xml:space="preserve">n_train</w:t>
            </w:r>
          </w:p>
        </w:tc>
        <w:tc>
          <w:tcPr>
            <w:shd w:val="clear" w:fill="EAF0F7"/>
          </w:tcPr>
          <w:p>
            <w:pPr>
              <w:pStyle w:val="Compact"/>
            </w:pPr>
            <w:r>
              <w:rPr>
                <w:b/>
                <w:sz w:val="17"/>
              </w:rPr>
              <w:t xml:space="preserve">n_test</w:t>
            </w:r>
          </w:p>
        </w:tc>
        <w:tc>
          <w:tcPr>
            <w:shd w:val="clear" w:fill="EAF0F7"/>
          </w:tcPr>
          <w:p>
            <w:pPr>
              <w:pStyle w:val="Compact"/>
            </w:pPr>
            <w:r>
              <w:rPr>
                <w:b/>
                <w:sz w:val="17"/>
              </w:rPr>
              <w:t xml:space="preserve">metric</w:t>
            </w:r>
          </w:p>
        </w:tc>
        <w:tc>
          <w:tcPr>
            <w:shd w:val="clear" w:fill="EAF0F7"/>
          </w:tcPr>
          <w:p>
            <w:pPr>
              <w:pStyle w:val="Compact"/>
            </w:pPr>
            <w:r>
              <w:rPr>
                <w:b/>
                <w:sz w:val="17"/>
              </w:rPr>
              <w:t xml:space="preserve">score</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4006</w:t>
            </w:r>
          </w:p>
        </w:tc>
        <w:tc>
          <w:tcPr/>
          <w:p>
            <w:pPr>
              <w:pStyle w:val="Compact"/>
            </w:pPr>
            <w:r>
              <w:rPr>
                <w:sz w:val="15"/>
              </w:rPr>
              <w:t xml:space="preserve">1007</w:t>
            </w:r>
          </w:p>
        </w:tc>
        <w:tc>
          <w:tcPr/>
          <w:p>
            <w:pPr>
              <w:pStyle w:val="Compact"/>
            </w:pPr>
            <w:r>
              <w:rPr>
                <w:sz w:val="15"/>
              </w:rPr>
              <w:t xml:space="preserve">auroc</w:t>
            </w:r>
          </w:p>
        </w:tc>
        <w:tc>
          <w:tcPr/>
          <w:p>
            <w:pPr>
              <w:pStyle w:val="Compact"/>
            </w:pPr>
            <w:r>
              <w:rPr>
                <w:sz w:val="15"/>
              </w:rPr>
              <w:t xml:space="preserve">0.751</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2021</w:t>
            </w:r>
          </w:p>
        </w:tc>
        <w:tc>
          <w:tcPr/>
          <w:p>
            <w:pPr>
              <w:pStyle w:val="Compact"/>
            </w:pPr>
            <w:r>
              <w:rPr>
                <w:sz w:val="15"/>
              </w:rPr>
              <w:t xml:space="preserve">2624</w:t>
            </w:r>
          </w:p>
        </w:tc>
        <w:tc>
          <w:tcPr/>
          <w:p>
            <w:pPr>
              <w:pStyle w:val="Compact"/>
            </w:pPr>
            <w:r>
              <w:rPr>
                <w:sz w:val="15"/>
              </w:rPr>
              <w:t xml:space="preserve">609</w:t>
            </w:r>
          </w:p>
        </w:tc>
        <w:tc>
          <w:tcPr/>
          <w:p>
            <w:pPr>
              <w:pStyle w:val="Compact"/>
            </w:pPr>
            <w:r>
              <w:rPr>
                <w:sz w:val="15"/>
              </w:rPr>
              <w:t xml:space="preserve">auroc</w:t>
            </w:r>
          </w:p>
        </w:tc>
        <w:tc>
          <w:tcPr/>
          <w:p>
            <w:pPr>
              <w:pStyle w:val="Compact"/>
            </w:pPr>
            <w:r>
              <w:rPr>
                <w:sz w:val="15"/>
              </w:rPr>
              <w:t xml:space="preserve">0.804</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2017</w:t>
            </w:r>
          </w:p>
        </w:tc>
        <w:tc>
          <w:tcPr/>
          <w:p>
            <w:pPr>
              <w:pStyle w:val="Compact"/>
            </w:pPr>
            <w:r>
              <w:rPr>
                <w:sz w:val="15"/>
              </w:rPr>
              <w:t xml:space="preserve">6266</w:t>
            </w:r>
          </w:p>
        </w:tc>
        <w:tc>
          <w:tcPr/>
          <w:p>
            <w:pPr>
              <w:pStyle w:val="Compact"/>
            </w:pPr>
            <w:r>
              <w:rPr>
                <w:sz w:val="15"/>
              </w:rPr>
              <w:t xml:space="preserve">1578</w:t>
            </w:r>
          </w:p>
        </w:tc>
        <w:tc>
          <w:tcPr/>
          <w:p>
            <w:pPr>
              <w:pStyle w:val="Compact"/>
            </w:pPr>
            <w:r>
              <w:rPr>
                <w:sz w:val="15"/>
              </w:rPr>
              <w:t xml:space="preserve">auroc</w:t>
            </w:r>
          </w:p>
        </w:tc>
        <w:tc>
          <w:tcPr/>
          <w:p>
            <w:pPr>
              <w:pStyle w:val="Compact"/>
            </w:pPr>
            <w:r>
              <w:rPr>
                <w:sz w:val="15"/>
              </w:rPr>
              <w:t xml:space="preserve">0.913</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2021</w:t>
            </w:r>
          </w:p>
        </w:tc>
        <w:tc>
          <w:tcPr/>
          <w:p>
            <w:pPr>
              <w:pStyle w:val="Compact"/>
            </w:pPr>
            <w:r>
              <w:rPr>
                <w:sz w:val="15"/>
              </w:rPr>
              <w:t xml:space="preserve">4075</w:t>
            </w:r>
          </w:p>
        </w:tc>
        <w:tc>
          <w:tcPr/>
          <w:p>
            <w:pPr>
              <w:pStyle w:val="Compact"/>
            </w:pPr>
            <w:r>
              <w:rPr>
                <w:sz w:val="15"/>
              </w:rPr>
              <w:t xml:space="preserve">521</w:t>
            </w:r>
          </w:p>
        </w:tc>
        <w:tc>
          <w:tcPr/>
          <w:p>
            <w:pPr>
              <w:pStyle w:val="Compact"/>
            </w:pPr>
            <w:r>
              <w:rPr>
                <w:sz w:val="15"/>
              </w:rPr>
              <w:t xml:space="preserve">auroc</w:t>
            </w:r>
          </w:p>
        </w:tc>
        <w:tc>
          <w:tcPr/>
          <w:p>
            <w:pPr>
              <w:pStyle w:val="Compact"/>
            </w:pPr>
            <w:r>
              <w:rPr>
                <w:sz w:val="15"/>
              </w:rPr>
              <w:t xml:space="preserve">0.748</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2706</w:t>
            </w:r>
          </w:p>
        </w:tc>
        <w:tc>
          <w:tcPr/>
          <w:p>
            <w:pPr>
              <w:pStyle w:val="Compact"/>
            </w:pPr>
            <w:r>
              <w:rPr>
                <w:sz w:val="15"/>
              </w:rPr>
              <w:t xml:space="preserve">792</w:t>
            </w:r>
          </w:p>
        </w:tc>
        <w:tc>
          <w:tcPr/>
          <w:p>
            <w:pPr>
              <w:pStyle w:val="Compact"/>
            </w:pPr>
            <w:r>
              <w:rPr>
                <w:sz w:val="15"/>
              </w:rPr>
              <w:t xml:space="preserve">auroc</w:t>
            </w:r>
          </w:p>
        </w:tc>
        <w:tc>
          <w:tcPr/>
          <w:p>
            <w:pPr>
              <w:pStyle w:val="Compact"/>
            </w:pPr>
            <w:r>
              <w:rPr>
                <w:sz w:val="15"/>
              </w:rPr>
              <w:t xml:space="preserve">0.713</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3525</w:t>
            </w:r>
          </w:p>
        </w:tc>
        <w:tc>
          <w:tcPr/>
          <w:p>
            <w:pPr>
              <w:pStyle w:val="Compact"/>
            </w:pPr>
            <w:r>
              <w:rPr>
                <w:sz w:val="15"/>
              </w:rPr>
              <w:t xml:space="preserve">893</w:t>
            </w:r>
          </w:p>
        </w:tc>
        <w:tc>
          <w:tcPr/>
          <w:p>
            <w:pPr>
              <w:pStyle w:val="Compact"/>
            </w:pPr>
            <w:r>
              <w:rPr>
                <w:sz w:val="15"/>
              </w:rPr>
              <w:t xml:space="preserve">auroc</w:t>
            </w:r>
          </w:p>
        </w:tc>
        <w:tc>
          <w:tcPr/>
          <w:p>
            <w:pPr>
              <w:pStyle w:val="Compact"/>
            </w:pPr>
            <w:r>
              <w:rPr>
                <w:sz w:val="15"/>
              </w:rPr>
              <w:t xml:space="preserve">0.845</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7888</w:t>
            </w:r>
          </w:p>
        </w:tc>
        <w:tc>
          <w:tcPr/>
          <w:p>
            <w:pPr>
              <w:pStyle w:val="Compact"/>
            </w:pPr>
            <w:r>
              <w:rPr>
                <w:sz w:val="15"/>
              </w:rPr>
              <w:t xml:space="preserve">1986</w:t>
            </w:r>
          </w:p>
        </w:tc>
        <w:tc>
          <w:tcPr/>
          <w:p>
            <w:pPr>
              <w:pStyle w:val="Compact"/>
            </w:pPr>
            <w:r>
              <w:rPr>
                <w:sz w:val="15"/>
              </w:rPr>
              <w:t xml:space="preserve">auroc</w:t>
            </w:r>
          </w:p>
        </w:tc>
        <w:tc>
          <w:tcPr/>
          <w:p>
            <w:pPr>
              <w:pStyle w:val="Compact"/>
            </w:pPr>
            <w:r>
              <w:rPr>
                <w:sz w:val="15"/>
              </w:rPr>
              <w:t xml:space="preserve">0.721</w:t>
            </w:r>
          </w:p>
        </w:tc>
      </w:tr>
    </w:tbl>
    <w:bookmarkEnd w:id="44"/>
    <w:bookmarkStart w:id="45" w:name="prospective-scaffold-hold-out"/>
    <w:p>
      <w:pPr>
        <w:pStyle w:val="Heading3"/>
      </w:pPr>
      <w:r>
        <w:t xml:space="preserve">6.3 Prospective scaffold hold-out</w:t>
      </w:r>
    </w:p>
    <w:p>
      <w:pPr>
        <w:pStyle w:val="FirstParagraph"/>
      </w:pPr>
      <w:r>
        <w:t xml:space="preserve">Whole scaffold classes withheld</w:t>
      </w:r>
      <w:r>
        <w:t xml:space="preserve"> </w:t>
      </w:r>
      <w:r>
        <w:rPr>
          <w:i/>
          <w:iCs/>
        </w:rPr>
        <w:t xml:space="preserve">before</w:t>
      </w:r>
      <w:r>
        <w:t xml:space="preserve"> </w:t>
      </w:r>
      <w:r>
        <w:t xml:space="preserve">training, then recall measured on them at the deployed</w:t>
      </w:r>
      <w:r>
        <w:t xml:space="preserve"> </w:t>
      </w:r>
      <w:r>
        <w:t xml:space="preserve">threshold. Median per-target recall</w:t>
      </w:r>
      <w:r>
        <w:t xml:space="preserve"> </w:t>
      </w:r>
      <w:r>
        <w:rPr>
          <w:b/>
          <w:bCs/>
        </w:rPr>
        <w:t xml:space="preserve">0.815</w:t>
      </w:r>
      <w:r>
        <w:t xml:space="preserve"> </w:t>
      </w:r>
      <w:r>
        <w:t xml:space="preserve">across 39 targets whose</w:t>
      </w:r>
      <w:r>
        <w:t xml:space="preserve"> </w:t>
      </w:r>
      <w:r>
        <w:t xml:space="preserve">decision threshold did not collapse. Targets are excluded only for a degenerate threshold, never for</w:t>
      </w:r>
      <w:r>
        <w:t xml:space="preserve"> </w:t>
      </w:r>
      <w:r>
        <w:t xml:space="preserve">poor recall.</w:t>
      </w:r>
    </w:p>
    <w:bookmarkEnd w:id="45"/>
    <w:bookmarkStart w:id="46" w:name="X9fdeff9d9b8cd1605bd115319b3ee01ce83bcf7"/>
    <w:p>
      <w:pPr>
        <w:pStyle w:val="Heading3"/>
      </w:pPr>
      <w:r>
        <w:t xml:space="preserve">6.4 Specificity: does it stay quiet when it should?</w:t>
      </w:r>
    </w:p>
    <w:p>
      <w:pPr>
        <w:pStyle w:val="FirstParagraph"/>
      </w:pPr>
      <w:r>
        <w:t xml:space="preserve">1,000 compounds with no recorded activity at any modelled target were scored through the</w:t>
      </w:r>
      <w:r>
        <w:t xml:space="preserve"> </w:t>
      </w:r>
      <w:r>
        <w:t xml:space="preserve">deployed pipeline.</w:t>
      </w:r>
      <w:r>
        <w:t xml:space="preserve"> </w:t>
      </w:r>
      <w:r>
        <w:rPr>
          <w:b/>
          <w:bCs/>
        </w:rPr>
        <w:t xml:space="preserve">925</w:t>
      </w:r>
      <w:r>
        <w:t xml:space="preserve"> </w:t>
      </w:r>
      <w:r>
        <w:t xml:space="preserve">returned no actionable disease signal: specificity</w:t>
      </w:r>
      <w:r>
        <w:t xml:space="preserve"> </w:t>
      </w:r>
      <w:r>
        <w:rPr>
          <w:b/>
          <w:bCs/>
        </w:rPr>
        <w:t xml:space="preserve">0.925</w:t>
      </w:r>
      <w:r>
        <w:t xml:space="preserve"> </w:t>
      </w:r>
      <w:r>
        <w:t xml:space="preserve">(95% CI 0.907 to 0.940).</w:t>
      </w:r>
    </w:p>
    <w:p>
      <w:pPr>
        <w:pStyle w:val="BodyText"/>
      </w:pPr>
      <w:r>
        <w:t xml:space="preserve">These compounds are</w:t>
      </w:r>
      <w:r>
        <w:t xml:space="preserve"> </w:t>
      </w:r>
      <w:r>
        <w:rPr>
          <w:i/>
          <w:iCs/>
        </w:rPr>
        <w:t xml:space="preserve">presumed</w:t>
      </w:r>
      <w:r>
        <w:t xml:space="preserve"> </w:t>
      </w:r>
      <w:r>
        <w:t xml:space="preserve">inactive because nothing is recorded about them, not proven inactive,</w:t>
      </w:r>
      <w:r>
        <w:t xml:space="preserve"> </w:t>
      </w:r>
      <w:r>
        <w:t xml:space="preserve">so this is a lower bound.</w:t>
      </w:r>
    </w:p>
    <w:bookmarkEnd w:id="46"/>
    <w:bookmarkStart w:id="53" w:name="external-validation"/>
    <w:p>
      <w:pPr>
        <w:pStyle w:val="Heading3"/>
      </w:pPr>
      <w:r>
        <w:t xml:space="preserve">6.5 External validation</w:t>
      </w:r>
    </w:p>
    <w:p>
      <w:pPr>
        <w:pStyle w:val="FirstParagraph"/>
      </w:pPr>
      <w:r>
        <w:t xml:space="preserve">An external test set is measured chemistry absent from training. For the barrier model one exists.</w:t>
      </w:r>
      <w:r>
        <w:t xml:space="preserve"> </w:t>
      </w:r>
      <w:r>
        <w:t xml:space="preserve">For the target panel one largely does not, and the reason is structural rather than neglect: for most</w:t>
      </w:r>
      <w:r>
        <w:t xml:space="preserve"> </w:t>
      </w:r>
      <w:r>
        <w:t xml:space="preserve">of these targets the public measured chemistry</w:t>
      </w:r>
      <w:r>
        <w:t xml:space="preserve"> </w:t>
      </w:r>
      <w:r>
        <w:rPr>
          <w:i/>
          <w:iCs/>
        </w:rPr>
        <w:t xml:space="preserve">is</w:t>
      </w:r>
      <w:r>
        <w:t xml:space="preserve"> </w:t>
      </w:r>
      <w:r>
        <w:t xml:space="preserve">the training set, so buying an independent set</w:t>
      </w:r>
      <w:r>
        <w:t xml:space="preserve"> </w:t>
      </w:r>
      <w:r>
        <w:t xml:space="preserve">would mean running new assays.</w:t>
      </w:r>
    </w:p>
    <w:p>
      <w:pPr>
        <w:pStyle w:val="BodyText"/>
      </w:pPr>
      <w:r>
        <w:t xml:space="preserve">Two kinds of independence can still be constructed from what exists. Both are reported below in full,</w:t>
      </w:r>
      <w:r>
        <w:t xml:space="preserve"> </w:t>
      </w:r>
      <w:r>
        <w:t xml:space="preserve">including the parts that do not flatter the panel.</w:t>
      </w:r>
    </w:p>
    <w:p>
      <w:pPr>
        <w:pStyle w:val="BodyText"/>
      </w:pPr>
      <w:r>
        <w:rPr>
          <w:b/>
          <w:bCs/>
        </w:rPr>
        <w:t xml:space="preserve">The barrier model against FDA-curated approved drugs.</w:t>
      </w:r>
      <w:r>
        <w:t xml:space="preserve"> </w:t>
      </w:r>
      <w:r>
        <w:t xml:space="preserve">Compounds absent from the training source</w:t>
      </w:r>
      <w:r>
        <w:t xml:space="preserve"> </w:t>
      </w:r>
      <w:r>
        <w:t xml:space="preserve">by InChIKey, scored by the deployed model.</w:t>
      </w:r>
    </w:p>
    <w:tbl>
      <w:tblPr>
        <w:tblStyle w:val="Table"/>
        <w:tblW w:type="pct" w:w="5000"/>
        <w:jc w:val="center"/>
        <w:tblLayout w:type="autofit"/>
        <w:tblLook w:firstRow="1" w:lastRow="0" w:firstColumn="0" w:lastColumn="0" w:noHBand="0" w:noVBand="0" w:val="0020"/>
        <w:tblLayout w:type="autofit"/>
      </w:tblPr>
      <w:tblGrid>
        <w:gridCol w:w="1320"/>
        <w:gridCol w:w="1320"/>
        <w:gridCol w:w="1320"/>
        <w:gridCol w:w="1320"/>
        <w:gridCol w:w="1320"/>
        <w:gridCol w:w="1320"/>
      </w:tblGrid>
      <w:tr>
        <w:trPr>
          <w:tblHeader w:val="on"/>
          <w:tblHeader w:val="true"/>
        </w:trPr>
        <w:tc>
          <w:tcPr>
            <w:shd w:val="clear" w:fill="EAF0F7"/>
          </w:tcPr>
          <w:p>
            <w:pPr>
              <w:pStyle w:val="Compact"/>
            </w:pPr>
            <w:r>
              <w:rPr>
                <w:b/>
                <w:sz w:val="17"/>
              </w:rPr>
              <w:t xml:space="preserve">set</w:t>
            </w:r>
          </w:p>
        </w:tc>
        <w:tc>
          <w:tcPr>
            <w:shd w:val="clear" w:fill="EAF0F7"/>
          </w:tcPr>
          <w:p>
            <w:pPr>
              <w:pStyle w:val="Compact"/>
            </w:pPr>
            <w:r>
              <w:rPr>
                <w:b/>
                <w:sz w:val="17"/>
              </w:rPr>
              <w:t xml:space="preserve">n</w:t>
            </w:r>
          </w:p>
        </w:tc>
        <w:tc>
          <w:tcPr>
            <w:shd w:val="clear" w:fill="EAF0F7"/>
          </w:tcPr>
          <w:p>
            <w:pPr>
              <w:pStyle w:val="Compact"/>
            </w:pPr>
            <w:r>
              <w:rPr>
                <w:b/>
                <w:sz w:val="17"/>
              </w:rPr>
              <w:t xml:space="preserve">n_permeable</w:t>
            </w:r>
          </w:p>
        </w:tc>
        <w:tc>
          <w:tcPr>
            <w:shd w:val="clear" w:fill="EAF0F7"/>
          </w:tcPr>
          <w:p>
            <w:pPr>
              <w:pStyle w:val="Compact"/>
            </w:pPr>
            <w:r>
              <w:rPr>
                <w:b/>
                <w:sz w:val="17"/>
              </w:rPr>
              <w:t xml:space="preserve">auroc</w:t>
            </w:r>
          </w:p>
        </w:tc>
        <w:tc>
          <w:tcPr>
            <w:shd w:val="clear" w:fill="EAF0F7"/>
          </w:tcPr>
          <w:p>
            <w:pPr>
              <w:pStyle w:val="Compact"/>
            </w:pPr>
            <w:r>
              <w:rPr>
                <w:b/>
                <w:sz w:val="17"/>
              </w:rPr>
              <w:t xml:space="preserve">sensitivity</w:t>
            </w:r>
          </w:p>
        </w:tc>
        <w:tc>
          <w:tcPr>
            <w:shd w:val="clear" w:fill="EAF0F7"/>
          </w:tcPr>
          <w:p>
            <w:pPr>
              <w:pStyle w:val="Compact"/>
            </w:pPr>
            <w:r>
              <w:rPr>
                <w:b/>
                <w:sz w:val="17"/>
              </w:rPr>
              <w:t xml:space="preserve">specificity</w:t>
            </w:r>
          </w:p>
        </w:tc>
      </w:tr>
      <w:tr>
        <w:tc>
          <w:tcPr/>
          <w:p>
            <w:pPr>
              <w:pStyle w:val="Compact"/>
            </w:pPr>
            <w:r>
              <w:rPr>
                <w:sz w:val="15"/>
              </w:rPr>
              <w:t xml:space="preserve">FDA-curated, not in B3DB by InChIKey</w:t>
            </w:r>
          </w:p>
        </w:tc>
        <w:tc>
          <w:tcPr/>
          <w:p>
            <w:pPr>
              <w:pStyle w:val="Compact"/>
            </w:pPr>
            <w:r>
              <w:rPr>
                <w:sz w:val="15"/>
              </w:rPr>
              <w:t xml:space="preserve">306</w:t>
            </w:r>
          </w:p>
        </w:tc>
        <w:tc>
          <w:tcPr/>
          <w:p>
            <w:pPr>
              <w:pStyle w:val="Compact"/>
            </w:pPr>
            <w:r>
              <w:rPr>
                <w:sz w:val="15"/>
              </w:rPr>
              <w:t xml:space="preserve">203</w:t>
            </w:r>
          </w:p>
        </w:tc>
        <w:tc>
          <w:tcPr/>
          <w:p>
            <w:pPr>
              <w:pStyle w:val="Compact"/>
            </w:pPr>
            <w:r>
              <w:rPr>
                <w:sz w:val="15"/>
              </w:rPr>
              <w:t xml:space="preserve">0.7645</w:t>
            </w:r>
          </w:p>
        </w:tc>
        <w:tc>
          <w:tcPr/>
          <w:p>
            <w:pPr>
              <w:pStyle w:val="Compact"/>
            </w:pPr>
            <w:r>
              <w:rPr>
                <w:sz w:val="15"/>
              </w:rPr>
              <w:t xml:space="preserve">0.7734</w:t>
            </w:r>
          </w:p>
        </w:tc>
        <w:tc>
          <w:tcPr/>
          <w:p>
            <w:pPr>
              <w:pStyle w:val="Compact"/>
            </w:pPr>
            <w:r>
              <w:rPr>
                <w:sz w:val="15"/>
              </w:rPr>
              <w:t xml:space="preserve">0.6505</w:t>
            </w:r>
          </w:p>
        </w:tc>
      </w:tr>
      <w:tr>
        <w:tc>
          <w:tcPr/>
          <w:p>
            <w:pPr>
              <w:pStyle w:val="Compact"/>
            </w:pPr>
            <w:r>
              <w:rPr>
                <w:sz w:val="15"/>
              </w:rPr>
              <w:t xml:space="preserve">FDA-curated, also distinguishable from training in feature space</w:t>
            </w:r>
          </w:p>
        </w:tc>
        <w:tc>
          <w:tcPr/>
          <w:p>
            <w:pPr>
              <w:pStyle w:val="Compact"/>
            </w:pPr>
            <w:r>
              <w:rPr>
                <w:sz w:val="15"/>
              </w:rPr>
              <w:t xml:space="preserve">227</w:t>
            </w:r>
          </w:p>
        </w:tc>
        <w:tc>
          <w:tcPr/>
          <w:p>
            <w:pPr>
              <w:pStyle w:val="Compact"/>
            </w:pPr>
            <w:r>
              <w:rPr>
                <w:sz w:val="15"/>
              </w:rPr>
              <w:t xml:space="preserve">165</w:t>
            </w:r>
          </w:p>
        </w:tc>
        <w:tc>
          <w:tcPr/>
          <w:p>
            <w:pPr>
              <w:pStyle w:val="Compact"/>
            </w:pPr>
            <w:r>
              <w:rPr>
                <w:sz w:val="15"/>
              </w:rPr>
              <w:t xml:space="preserve">0.7666</w:t>
            </w:r>
          </w:p>
        </w:tc>
        <w:tc>
          <w:tcPr/>
          <w:p>
            <w:pPr>
              <w:pStyle w:val="Compact"/>
            </w:pPr>
            <w:r>
              <w:rPr>
                <w:sz w:val="15"/>
              </w:rPr>
              <w:t xml:space="preserve">0.7636</w:t>
            </w:r>
          </w:p>
        </w:tc>
        <w:tc>
          <w:tcPr/>
          <w:p>
            <w:pPr>
              <w:pStyle w:val="Compact"/>
            </w:pPr>
            <w:r>
              <w:rPr>
                <w:sz w:val="15"/>
              </w:rPr>
              <w:t xml:space="preserve">0.6129</w:t>
            </w:r>
          </w:p>
        </w:tc>
      </w:tr>
      <w:tr>
        <w:tc>
          <w:tcPr/>
          <w:p>
            <w:pPr>
              <w:pStyle w:val="Compact"/>
            </w:pPr>
            <w:r>
              <w:rPr>
                <w:sz w:val="15"/>
              </w:rPr>
              <w:t xml:space="preserve">of which: feature-identical to a training compound</w:t>
            </w:r>
          </w:p>
        </w:tc>
        <w:tc>
          <w:tcPr/>
          <w:p>
            <w:pPr>
              <w:pStyle w:val="Compact"/>
            </w:pPr>
            <w:r>
              <w:rPr>
                <w:sz w:val="15"/>
              </w:rPr>
              <w:t xml:space="preserve">79</w:t>
            </w:r>
          </w:p>
        </w:tc>
        <w:tc>
          <w:tcPr/>
          <w:p>
            <w:pPr>
              <w:pStyle w:val="Compact"/>
            </w:pPr>
            <w:r>
              <w:rPr>
                <w:sz w:val="15"/>
              </w:rPr>
              <w:t xml:space="preserve">38</w:t>
            </w:r>
          </w:p>
        </w:tc>
        <w:tc>
          <w:tcPr/>
          <w:p>
            <w:pPr>
              <w:pStyle w:val="Compact"/>
            </w:pPr>
            <w:r>
              <w:rPr>
                <w:sz w:val="15"/>
              </w:rPr>
              <w:t xml:space="preserve">0.749</w:t>
            </w:r>
          </w:p>
        </w:tc>
        <w:tc>
          <w:tcPr/>
          <w:p>
            <w:pPr>
              <w:pStyle w:val="Compact"/>
            </w:pPr>
            <w:r>
              <w:rPr>
                <w:sz w:val="15"/>
              </w:rPr>
              <w:t xml:space="preserve">0.8158</w:t>
            </w:r>
          </w:p>
        </w:tc>
        <w:tc>
          <w:tcPr/>
          <w:p>
            <w:pPr>
              <w:pStyle w:val="Compact"/>
            </w:pPr>
            <w:r>
              <w:rPr>
                <w:sz w:val="15"/>
              </w:rPr>
              <w:t xml:space="preserve">0.7073</w:t>
            </w:r>
          </w:p>
        </w:tc>
      </w:tr>
    </w:tbl>
    <w:p>
      <w:pPr>
        <w:pStyle w:val="BodyText"/>
      </w:pPr>
      <w:r>
        <w:t xml:space="preserve">The row that supports an external claim is the second: compounds absent by InChIKey</w:t>
      </w:r>
      <w:r>
        <w:t xml:space="preserve"> </w:t>
      </w:r>
      <w:r>
        <w:rPr>
          <w:i/>
          <w:iCs/>
        </w:rPr>
        <w:t xml:space="preserve">and</w:t>
      </w:r>
      <w:r>
        <w:t xml:space="preserve"> </w:t>
      </w:r>
      <w:r>
        <w:t xml:space="preserve">distinguishable from training in feature space. The third row is the memorisation the first contains.</w:t>
      </w:r>
    </w:p>
    <w:bookmarkStart w:id="47" w:name="X6a7fe98d672c26af57bbb7a8ff86761c39141cb"/>
    <w:p>
      <w:pPr>
        <w:pStyle w:val="Heading4"/>
      </w:pPr>
      <w:r>
        <w:t xml:space="preserve">6.5.1 Prospective validation: what the panel would have said about chemistry that did not exist</w:t>
      </w:r>
    </w:p>
    <w:p>
      <w:pPr>
        <w:pStyle w:val="FirstParagraph"/>
      </w:pPr>
      <w:r>
        <w:t xml:space="preserve">Every measured row carries the year of the document it came from. Freezing the data at a year,</w:t>
      </w:r>
      <w:r>
        <w:t xml:space="preserve"> </w:t>
      </w:r>
      <w:r>
        <w:t xml:space="preserve">fitting the panel on what was known then and testing on compounds first published afterwards</w:t>
      </w:r>
      <w:r>
        <w:t xml:space="preserve"> </w:t>
      </w:r>
      <w:r>
        <w:t xml:space="preserve">reproduces the position a user is actually in. It is the accepted simulator of prospective</w:t>
      </w:r>
      <w:r>
        <w:t xml:space="preserve"> </w:t>
      </w:r>
      <w:r>
        <w:t xml:space="preserve">performance and it is stronger evidence than a random split, because a compound published after the</w:t>
      </w:r>
      <w:r>
        <w:t xml:space="preserve"> </w:t>
      </w:r>
      <w:r>
        <w:t xml:space="preserve">cutoff could not have been memorised whatever its scaffold.</w:t>
      </w:r>
    </w:p>
    <w:p>
      <w:pPr>
        <w:pStyle w:val="BodyText"/>
      </w:pPr>
      <w:r>
        <w:t xml:space="preserve">Four things make this a real test rather than a comfortable one. The models are</w:t>
      </w:r>
      <w:r>
        <w:t xml:space="preserve"> </w:t>
      </w:r>
      <w:r>
        <w:rPr>
          <w:b/>
          <w:bCs/>
        </w:rPr>
        <w:t xml:space="preserve">refitted</w:t>
      </w:r>
      <w:r>
        <w:t xml:space="preserve">, since</w:t>
      </w:r>
      <w:r>
        <w:t xml:space="preserve"> </w:t>
      </w:r>
      <w:r>
        <w:t xml:space="preserve">scoring the deployed models on post-cutoff compounds would measure nothing: they were fitted on them.</w:t>
      </w:r>
      <w:r>
        <w:t xml:space="preserve"> </w:t>
      </w:r>
      <w:r>
        <w:t xml:space="preserve">The</w:t>
      </w:r>
      <w:r>
        <w:t xml:space="preserve"> </w:t>
      </w:r>
      <w:r>
        <w:rPr>
          <w:b/>
          <w:bCs/>
        </w:rPr>
        <w:t xml:space="preserve">operating point is frozen too</w:t>
      </w:r>
      <w:r>
        <w:t xml:space="preserve">, as thresholds are quantiles of pre-cutoff held-out measured</w:t>
      </w:r>
      <w:r>
        <w:t xml:space="preserve"> </w:t>
      </w:r>
      <w:r>
        <w:t xml:space="preserve">inactives, so the sensitivity reported is what a user in the cutoff year would have got.</w:t>
      </w:r>
      <w:r>
        <w:t xml:space="preserve"> </w:t>
      </w:r>
      <w:r>
        <w:rPr>
          <w:b/>
          <w:bCs/>
        </w:rPr>
        <w:t xml:space="preserve">Decoys are</w:t>
      </w:r>
      <w:r>
        <w:rPr>
          <w:b/>
          <w:bCs/>
        </w:rPr>
        <w:t xml:space="preserve"> </w:t>
      </w:r>
      <w:r>
        <w:rPr>
          <w:b/>
          <w:bCs/>
        </w:rPr>
        <w:t xml:space="preserve">matched to pre-cutoff actives only</w:t>
      </w:r>
      <w:r>
        <w:t xml:space="preserve">, and every post-cutoff compound is barred from decoy</w:t>
      </w:r>
      <w:r>
        <w:t xml:space="preserve"> </w:t>
      </w:r>
      <w:r>
        <w:t xml:space="preserve">eligibility, so a test compound can never appear as a training negative. And each endpoint is fitted</w:t>
      </w:r>
      <w:r>
        <w:t xml:space="preserve"> </w:t>
      </w:r>
      <w:r>
        <w:t xml:space="preserve">a second time on a</w:t>
      </w:r>
      <w:r>
        <w:t xml:space="preserve"> </w:t>
      </w:r>
      <w:r>
        <w:rPr>
          <w:b/>
          <w:bCs/>
        </w:rPr>
        <w:t xml:space="preserve">size-matched random split</w:t>
      </w:r>
      <w:r>
        <w:t xml:space="preserve">, because a time split trains on less data as well as</w:t>
      </w:r>
      <w:r>
        <w:t xml:space="preserve"> </w:t>
      </w:r>
      <w:r>
        <w:t xml:space="preserve">none of the future, and without a control at the same n a drop cannot be attributed to either.</w:t>
      </w:r>
    </w:p>
    <w:p>
      <w:pPr>
        <w:pStyle w:val="BodyText"/>
      </w:pPr>
      <w:r>
        <w:t xml:space="preserve">39 of the 47 deployed endpoints carry enough dated chemistry on both sides of the wall to be</w:t>
      </w:r>
      <w:r>
        <w:t xml:space="preserve"> </w:t>
      </w:r>
      <w:r>
        <w:t xml:space="preserve">assessed. The rest are listed with their reasons in</w:t>
      </w:r>
      <w:r>
        <w:t xml:space="preserve"> </w:t>
      </w:r>
      <w:r>
        <w:rPr>
          <w:rStyle w:val="VerbatimChar"/>
        </w:rPr>
        <w:t xml:space="preserve">results/tables/external_prospective.csv</w:t>
      </w:r>
      <w:r>
        <w:t xml:space="preserve">, and</w:t>
      </w:r>
      <w:r>
        <w:t xml:space="preserve"> </w:t>
      </w:r>
      <w:r>
        <w:t xml:space="preserve">are excluded for want of post-cutoff compounds, never for a poor result.</w:t>
      </w:r>
    </w:p>
    <w:tbl>
      <w:tblPr>
        <w:tblStyle w:val="Table"/>
        <w:tblW w:type="auto" w:w="0"/>
        <w:jc w:val="center"/>
        <w:tblLayout w:type="autofit"/>
        <w:tblLook w:firstRow="1" w:lastRow="0" w:firstColumn="0" w:lastColumn="0" w:noHBand="0" w:noVBand="0" w:val="0020"/>
        <w:tblLayout w:type="autofit"/>
      </w:tblPr>
      <w:tblGrid>
        <w:gridCol w:w="1980"/>
        <w:gridCol w:w="1980"/>
        <w:gridCol w:w="1980"/>
        <w:gridCol w:w="1980"/>
      </w:tblGrid>
      <w:tr>
        <w:trPr>
          <w:tblHeader w:val="on"/>
          <w:tblHeader w:val="true"/>
        </w:trPr>
        <w:tc>
          <w:tcPr>
            <w:shd w:val="clear" w:fill="EAF0F7"/>
          </w:tcPr>
          <w:p>
            <w:pPr>
              <w:pStyle w:val="Compact"/>
            </w:pPr>
          </w:p>
        </w:tc>
        <w:tc>
          <w:tcPr>
            <w:shd w:val="clear" w:fill="EAF0F7"/>
          </w:tcPr>
          <w:p>
            <w:pPr>
              <w:pStyle w:val="Compact"/>
            </w:pPr>
            <w:r>
              <w:rPr>
                <w:b/>
                <w:sz w:val="17"/>
              </w:rPr>
              <w:t xml:space="preserve">time split</w:t>
            </w:r>
          </w:p>
        </w:tc>
        <w:tc>
          <w:tcPr>
            <w:shd w:val="clear" w:fill="EAF0F7"/>
          </w:tcPr>
          <w:p>
            <w:pPr>
              <w:pStyle w:val="Compact"/>
            </w:pPr>
            <w:r>
              <w:rPr>
                <w:b/>
                <w:sz w:val="17"/>
              </w:rPr>
              <w:t xml:space="preserve">size-matched random</w:t>
            </w:r>
          </w:p>
        </w:tc>
        <w:tc>
          <w:tcPr>
            <w:shd w:val="clear" w:fill="EAF0F7"/>
          </w:tcPr>
          <w:p>
            <w:pPr>
              <w:pStyle w:val="Compact"/>
            </w:pPr>
            <w:r>
              <w:rPr>
                <w:b/>
                <w:sz w:val="17"/>
              </w:rPr>
              <w:t xml:space="preserve">deployed</w:t>
            </w:r>
          </w:p>
        </w:tc>
      </w:tr>
      <w:tr>
        <w:tc>
          <w:tcPr/>
          <w:p>
            <w:pPr>
              <w:pStyle w:val="Compact"/>
            </w:pPr>
            <w:r>
              <w:t xml:space="preserve">mean AUROC against measured inactives</w:t>
            </w:r>
          </w:p>
        </w:tc>
        <w:tc>
          <w:tcPr/>
          <w:p>
            <w:pPr>
              <w:pStyle w:val="Compact"/>
            </w:pPr>
            <w:r>
              <w:rPr>
                <w:b/>
                <w:bCs/>
              </w:rPr>
              <w:t xml:space="preserve">0.823</w:t>
            </w:r>
          </w:p>
        </w:tc>
        <w:tc>
          <w:tcPr/>
          <w:p>
            <w:pPr>
              <w:pStyle w:val="Compact"/>
            </w:pPr>
            <w:r>
              <w:t xml:space="preserve">0.951</w:t>
            </w:r>
          </w:p>
        </w:tc>
        <w:tc>
          <w:tcPr/>
          <w:p>
            <w:pPr>
              <w:pStyle w:val="Compact"/>
            </w:pPr>
            <w:r>
              <w:t xml:space="preserve">0.918</w:t>
            </w:r>
          </w:p>
        </w:tc>
      </w:tr>
      <w:tr>
        <w:tc>
          <w:tcPr/>
          <w:p>
            <w:pPr>
              <w:pStyle w:val="Compact"/>
            </w:pPr>
            <w:r>
              <w:t xml:space="preserve">mean AUROC against background chemistry</w:t>
            </w:r>
          </w:p>
        </w:tc>
        <w:tc>
          <w:tcPr/>
          <w:p>
            <w:pPr>
              <w:pStyle w:val="Compact"/>
            </w:pPr>
            <w:r>
              <w:rPr>
                <w:b/>
                <w:bCs/>
              </w:rPr>
              <w:t xml:space="preserve">0.913</w:t>
            </w:r>
          </w:p>
        </w:tc>
        <w:tc>
          <w:tcPr/>
          <w:p>
            <w:pPr>
              <w:pStyle w:val="Compact"/>
            </w:pPr>
            <w:r>
              <w:t xml:space="preserve">0.975</w:t>
            </w:r>
          </w:p>
        </w:tc>
        <w:tc>
          <w:tcPr/>
          <w:p>
            <w:pPr>
              <w:pStyle w:val="Compact"/>
            </w:pPr>
            <w:r>
              <w:t xml:space="preserve">-</w:t>
            </w:r>
          </w:p>
        </w:tc>
      </w:tr>
      <w:tr>
        <w:tc>
          <w:tcPr/>
          <w:p>
            <w:pPr>
              <w:pStyle w:val="Compact"/>
            </w:pPr>
            <w:r>
              <w:t xml:space="preserve">mean sensitivity at the frozen threshold</w:t>
            </w:r>
          </w:p>
        </w:tc>
        <w:tc>
          <w:tcPr/>
          <w:p>
            <w:pPr>
              <w:pStyle w:val="Compact"/>
            </w:pPr>
            <w:r>
              <w:rPr>
                <w:b/>
                <w:bCs/>
              </w:rPr>
              <w:t xml:space="preserve">0.489</w:t>
            </w:r>
          </w:p>
        </w:tc>
        <w:tc>
          <w:tcPr/>
          <w:p>
            <w:pPr>
              <w:pStyle w:val="Compact"/>
            </w:pPr>
            <w:r>
              <w:t xml:space="preserve">0.872</w:t>
            </w:r>
          </w:p>
        </w:tc>
        <w:tc>
          <w:tcPr/>
          <w:p>
            <w:pPr>
              <w:pStyle w:val="Compact"/>
            </w:pPr>
            <w:r>
              <w:t xml:space="preserve">0.768</w:t>
            </w:r>
          </w:p>
        </w:tc>
      </w:tr>
      <w:tr>
        <w:tc>
          <w:tcPr/>
          <w:p>
            <w:pPr>
              <w:pStyle w:val="Compact"/>
            </w:pPr>
            <w:r>
              <w:t xml:space="preserve">mean false-positive rate on background</w:t>
            </w:r>
          </w:p>
        </w:tc>
        <w:tc>
          <w:tcPr/>
          <w:p>
            <w:pPr>
              <w:pStyle w:val="Compact"/>
            </w:pPr>
            <w:r>
              <w:rPr>
                <w:b/>
                <w:bCs/>
              </w:rPr>
              <w:t xml:space="preserve">0.0373</w:t>
            </w:r>
          </w:p>
        </w:tc>
        <w:tc>
          <w:tcPr/>
          <w:p>
            <w:pPr>
              <w:pStyle w:val="Compact"/>
            </w:pPr>
            <w:r>
              <w:t xml:space="preserve">0.0376</w:t>
            </w:r>
          </w:p>
        </w:tc>
        <w:tc>
          <w:tcPr/>
          <w:p>
            <w:pPr>
              <w:pStyle w:val="Compact"/>
            </w:pPr>
            <w:r>
              <w:t xml:space="preserve">-</w:t>
            </w:r>
          </w:p>
        </w:tc>
      </w:tr>
    </w:tbl>
    <w:p>
      <w:pPr>
        <w:pStyle w:val="BodyText"/>
      </w:pPr>
      <w:r>
        <w:t xml:space="preserve">Two of those rows are reassuring and two are not, and the difference between them is the whole</w:t>
      </w:r>
      <w:r>
        <w:t xml:space="preserve"> </w:t>
      </w:r>
      <w:r>
        <w:t xml:space="preserve">result.</w:t>
      </w:r>
    </w:p>
    <w:p>
      <w:pPr>
        <w:pStyle w:val="BodyText"/>
      </w:pPr>
      <w:r>
        <w:rPr>
          <w:b/>
          <w:bCs/>
        </w:rPr>
        <w:t xml:space="preserve">Specificity transfers essentially unchanged</w:t>
      </w:r>
      <w:r>
        <w:t xml:space="preserve">, at 0.0373 against 0.0376. Whatever</w:t>
      </w:r>
      <w:r>
        <w:t xml:space="preserve"> </w:t>
      </w:r>
      <w:r>
        <w:t xml:space="preserve">a temporal wall costs, it does not make the panel reckless.</w:t>
      </w:r>
      <w:r>
        <w:t xml:space="preserve"> </w:t>
      </w:r>
      <w:r>
        <w:rPr>
          <w:b/>
          <w:bCs/>
        </w:rPr>
        <w:t xml:space="preserve">Ranking against background chemistry</w:t>
      </w:r>
      <w:r>
        <w:rPr>
          <w:b/>
          <w:bCs/>
        </w:rPr>
        <w:t xml:space="preserve"> </w:t>
      </w:r>
      <w:r>
        <w:rPr>
          <w:b/>
          <w:bCs/>
        </w:rPr>
        <w:t xml:space="preserve">survives</w:t>
      </w:r>
      <w:r>
        <w:t xml:space="preserve">, falling from 0.975 to 0.913. The panel still recognises</w:t>
      </w:r>
      <w:r>
        <w:t xml:space="preserve"> </w:t>
      </w:r>
      <w:r>
        <w:t xml:space="preserve">chemistry relevant to its target when that chemistry is new.</w:t>
      </w:r>
    </w:p>
    <w:p>
      <w:pPr>
        <w:pStyle w:val="BodyText"/>
      </w:pPr>
      <w:r>
        <w:rPr>
          <w:b/>
          <w:bCs/>
        </w:rPr>
        <w:t xml:space="preserve">Ranking against measured inactives at the same target falls</w:t>
      </w:r>
      <w:r>
        <w:t xml:space="preserve"> </w:t>
      </w:r>
      <w:r>
        <w:t xml:space="preserve">from 0.951 to</w:t>
      </w:r>
      <w:r>
        <w:t xml:space="preserve"> </w:t>
      </w:r>
      <w:r>
        <w:t xml:space="preserve">0.823 over 32 paired endpoints, and</w:t>
      </w:r>
      <w:r>
        <w:t xml:space="preserve"> </w:t>
      </w:r>
      <w:r>
        <w:rPr>
          <w:b/>
          <w:bCs/>
        </w:rPr>
        <w:t xml:space="preserve">sensitivity at the frozen</w:t>
      </w:r>
      <w:r>
        <w:rPr>
          <w:b/>
          <w:bCs/>
        </w:rPr>
        <w:t xml:space="preserve"> </w:t>
      </w:r>
      <w:r>
        <w:rPr>
          <w:b/>
          <w:bCs/>
        </w:rPr>
        <w:t xml:space="preserve">threshold falls further</w:t>
      </w:r>
      <w:r>
        <w:t xml:space="preserve">, from 0.872 to 0.489. Taken at face value those two</w:t>
      </w:r>
      <w:r>
        <w:t xml:space="preserve"> </w:t>
      </w:r>
      <w:r>
        <w:t xml:space="preserve">rows say the deployed figures overstate what a user submitting new chemistry should expect, and the</w:t>
      </w:r>
      <w:r>
        <w:t xml:space="preserve"> </w:t>
      </w:r>
      <w:r>
        <w:t xml:space="preserve">first draft of this section said exactly that. It is the wrong reading, and section 6.5.2 gives the</w:t>
      </w:r>
      <w:r>
        <w:t xml:space="preserve"> </w:t>
      </w:r>
      <w:r>
        <w:t xml:space="preserve">right one.</w:t>
      </w:r>
    </w:p>
    <w:bookmarkEnd w:id="47"/>
    <w:bookmarkStart w:id="48" w:name="the-gap-is-composition-not-decay"/>
    <w:p>
      <w:pPr>
        <w:pStyle w:val="Heading4"/>
      </w:pPr>
      <w:r>
        <w:t xml:space="preserve">6.5.2 The gap is composition, not decay</w:t>
      </w:r>
    </w:p>
    <w:p>
      <w:pPr>
        <w:pStyle w:val="FirstParagraph"/>
      </w:pPr>
      <w:r>
        <w:t xml:space="preserve">A time split flatters a field that publishes analogue series, and medicinal chemistry publishes</w:t>
      </w:r>
      <w:r>
        <w:t xml:space="preserve"> </w:t>
      </w:r>
      <w:r>
        <w:t xml:space="preserve">little else. If the compounds appearing after a cutoff are close relatives of those before it, a high</w:t>
      </w:r>
      <w:r>
        <w:t xml:space="preserve"> </w:t>
      </w:r>
      <w:r>
        <w:t xml:space="preserve">prospective score demonstrates interpolation within a series and not much more. That was the reason</w:t>
      </w:r>
      <w:r>
        <w:t xml:space="preserve"> </w:t>
      </w:r>
      <w:r>
        <w:t xml:space="preserve">for measuring, for every test compound, its maximum Tanimoto similarity to the training actives of</w:t>
      </w:r>
      <w:r>
        <w:t xml:space="preserve"> </w:t>
      </w:r>
      <w:r>
        <w:t xml:space="preserve">its own split, and for recomputing performance within bands of that distance. Both classes are</w:t>
      </w:r>
      <w:r>
        <w:t xml:space="preserve"> </w:t>
      </w:r>
      <w:r>
        <w:t xml:space="preserve">binned, so each band compares actives against measured inactives at a comparable distance from</w:t>
      </w:r>
      <w:r>
        <w:t xml:space="preserve"> </w:t>
      </w:r>
      <w:r>
        <w:t xml:space="preserve">training. Binning only the actives would produce bands whose positives are novel and whose negatives</w:t>
      </w:r>
      <w:r>
        <w:t xml:space="preserve"> </w:t>
      </w:r>
      <w:r>
        <w:t xml:space="preserve">are not, and their AUROC would measure that mismatch rather than the model.</w:t>
      </w:r>
    </w:p>
    <w:p>
      <w:pPr>
        <w:pStyle w:val="BodyText"/>
      </w:pPr>
      <w:r>
        <w:t xml:space="preserve">The stratification was built to check whether the time split was too easy. It showed something else.</w:t>
      </w:r>
    </w:p>
    <w:tbl>
      <w:tblPr>
        <w:tblStyle w:val="Table"/>
        <w:tblW w:type="pct" w:w="5000"/>
        <w:jc w:val="center"/>
        <w:tblLayout w:type="autofit"/>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blHeader w:val="true"/>
        </w:trPr>
        <w:tc>
          <w:tcPr>
            <w:shd w:val="clear" w:fill="EAF0F7"/>
          </w:tcPr>
          <w:p>
            <w:pPr>
              <w:pStyle w:val="Compact"/>
            </w:pPr>
            <w:r>
              <w:rPr>
                <w:b/>
                <w:sz w:val="17"/>
              </w:rPr>
              <w:t xml:space="preserve">source</w:t>
            </w:r>
          </w:p>
        </w:tc>
        <w:tc>
          <w:tcPr>
            <w:shd w:val="clear" w:fill="EAF0F7"/>
          </w:tcPr>
          <w:p>
            <w:pPr>
              <w:pStyle w:val="Compact"/>
            </w:pPr>
            <w:r>
              <w:rPr>
                <w:b/>
                <w:sz w:val="17"/>
              </w:rPr>
              <w:t xml:space="preserve">split</w:t>
            </w:r>
          </w:p>
        </w:tc>
        <w:tc>
          <w:tcPr>
            <w:shd w:val="clear" w:fill="EAF0F7"/>
          </w:tcPr>
          <w:p>
            <w:pPr>
              <w:pStyle w:val="Compact"/>
            </w:pPr>
            <w:r>
              <w:rPr>
                <w:b/>
                <w:sz w:val="17"/>
              </w:rPr>
              <w:t xml:space="preserve">novelty_band</w:t>
            </w:r>
          </w:p>
        </w:tc>
        <w:tc>
          <w:tcPr>
            <w:shd w:val="clear" w:fill="EAF0F7"/>
          </w:tcPr>
          <w:p>
            <w:pPr>
              <w:pStyle w:val="Compact"/>
            </w:pPr>
            <w:r>
              <w:rPr>
                <w:b/>
                <w:sz w:val="17"/>
              </w:rPr>
              <w:t xml:space="preserve">n_actives</w:t>
            </w:r>
          </w:p>
        </w:tc>
        <w:tc>
          <w:tcPr>
            <w:shd w:val="clear" w:fill="EAF0F7"/>
          </w:tcPr>
          <w:p>
            <w:pPr>
              <w:pStyle w:val="Compact"/>
            </w:pPr>
            <w:r>
              <w:rPr>
                <w:b/>
                <w:sz w:val="17"/>
              </w:rPr>
              <w:t xml:space="preserve">n_measured_inactives</w:t>
            </w:r>
          </w:p>
        </w:tc>
        <w:tc>
          <w:tcPr>
            <w:shd w:val="clear" w:fill="EAF0F7"/>
          </w:tcPr>
          <w:p>
            <w:pPr>
              <w:pStyle w:val="Compact"/>
            </w:pPr>
            <w:r>
              <w:rPr>
                <w:b/>
                <w:sz w:val="17"/>
              </w:rPr>
              <w:t xml:space="preserve">auroc</w:t>
            </w:r>
          </w:p>
        </w:tc>
        <w:tc>
          <w:tcPr>
            <w:shd w:val="clear" w:fill="EAF0F7"/>
          </w:tcPr>
          <w:p>
            <w:pPr>
              <w:pStyle w:val="Compact"/>
            </w:pPr>
            <w:r>
              <w:rPr>
                <w:b/>
                <w:sz w:val="17"/>
              </w:rPr>
              <w:t xml:space="preserve">recall_at_threshold</w:t>
            </w:r>
          </w:p>
        </w:tc>
        <w:tc>
          <w:tcPr>
            <w:shd w:val="clear" w:fill="EAF0F7"/>
          </w:tcPr>
          <w:p>
            <w:pPr>
              <w:pStyle w:val="Compact"/>
            </w:pPr>
            <w:r>
              <w:rPr>
                <w:b/>
                <w:sz w:val="17"/>
              </w:rPr>
              <w:t xml:space="preserve">fpr_at_threshold</w:t>
            </w:r>
          </w:p>
        </w:tc>
      </w:tr>
      <w:tr>
        <w:tc>
          <w:tcPr/>
          <w:p>
            <w:pPr>
              <w:pStyle w:val="Compact"/>
            </w:pPr>
            <w:r>
              <w:rPr>
                <w:sz w:val="15"/>
              </w:rPr>
              <w:t xml:space="preserve">prospective</w:t>
            </w:r>
          </w:p>
        </w:tc>
        <w:tc>
          <w:tcPr/>
          <w:p>
            <w:pPr>
              <w:pStyle w:val="Compact"/>
            </w:pPr>
            <w:r>
              <w:rPr>
                <w:sz w:val="15"/>
              </w:rPr>
              <w:t xml:space="preserve">random</w:t>
            </w:r>
          </w:p>
        </w:tc>
        <w:tc>
          <w:tcPr/>
          <w:p>
            <w:pPr>
              <w:pStyle w:val="Compact"/>
            </w:pPr>
            <w:r>
              <w:rPr>
                <w:sz w:val="15"/>
              </w:rPr>
              <w:t xml:space="preserve">below 0.40 (different chemotype)</w:t>
            </w:r>
          </w:p>
        </w:tc>
        <w:tc>
          <w:tcPr/>
          <w:p>
            <w:pPr>
              <w:pStyle w:val="Compact"/>
            </w:pPr>
            <w:r>
              <w:rPr>
                <w:sz w:val="15"/>
              </w:rPr>
              <w:t xml:space="preserve">212</w:t>
            </w:r>
          </w:p>
        </w:tc>
        <w:tc>
          <w:tcPr/>
          <w:p>
            <w:pPr>
              <w:pStyle w:val="Compact"/>
            </w:pPr>
            <w:r>
              <w:rPr>
                <w:sz w:val="15"/>
              </w:rPr>
              <w:t xml:space="preserve">4190</w:t>
            </w:r>
          </w:p>
        </w:tc>
        <w:tc>
          <w:tcPr/>
          <w:p>
            <w:pPr>
              <w:pStyle w:val="Compact"/>
            </w:pPr>
            <w:r>
              <w:rPr>
                <w:sz w:val="15"/>
              </w:rPr>
              <w:t xml:space="preserve">0.7516</w:t>
            </w:r>
          </w:p>
        </w:tc>
        <w:tc>
          <w:tcPr/>
          <w:p>
            <w:pPr>
              <w:pStyle w:val="Compact"/>
            </w:pPr>
            <w:r>
              <w:rPr>
                <w:sz w:val="15"/>
              </w:rPr>
              <w:t xml:space="preserve">0.1179</w:t>
            </w:r>
          </w:p>
        </w:tc>
        <w:tc>
          <w:tcPr/>
          <w:p>
            <w:pPr>
              <w:pStyle w:val="Compact"/>
            </w:pPr>
            <w:r>
              <w:rPr>
                <w:sz w:val="15"/>
              </w:rPr>
              <w:t xml:space="preserve">0.0279</w:t>
            </w:r>
          </w:p>
        </w:tc>
      </w:tr>
      <w:tr>
        <w:tc>
          <w:tcPr/>
          <w:p>
            <w:pPr>
              <w:pStyle w:val="Compact"/>
            </w:pPr>
            <w:r>
              <w:rPr>
                <w:sz w:val="15"/>
              </w:rPr>
              <w:t xml:space="preserve">prospective</w:t>
            </w:r>
          </w:p>
        </w:tc>
        <w:tc>
          <w:tcPr/>
          <w:p>
            <w:pPr>
              <w:pStyle w:val="Compact"/>
            </w:pPr>
            <w:r>
              <w:rPr>
                <w:sz w:val="15"/>
              </w:rPr>
              <w:t xml:space="preserve">random</w:t>
            </w:r>
          </w:p>
        </w:tc>
        <w:tc>
          <w:tcPr/>
          <w:p>
            <w:pPr>
              <w:pStyle w:val="Compact"/>
            </w:pPr>
            <w:r>
              <w:rPr>
                <w:sz w:val="15"/>
              </w:rPr>
              <w:t xml:space="preserve">0.40 to 0.55 (related series)</w:t>
            </w:r>
          </w:p>
        </w:tc>
        <w:tc>
          <w:tcPr/>
          <w:p>
            <w:pPr>
              <w:pStyle w:val="Compact"/>
            </w:pPr>
            <w:r>
              <w:rPr>
                <w:sz w:val="15"/>
              </w:rPr>
              <w:t xml:space="preserve">453</w:t>
            </w:r>
          </w:p>
        </w:tc>
        <w:tc>
          <w:tcPr/>
          <w:p>
            <w:pPr>
              <w:pStyle w:val="Compact"/>
            </w:pPr>
            <w:r>
              <w:rPr>
                <w:sz w:val="15"/>
              </w:rPr>
              <w:t xml:space="preserve">1331</w:t>
            </w:r>
          </w:p>
        </w:tc>
        <w:tc>
          <w:tcPr/>
          <w:p>
            <w:pPr>
              <w:pStyle w:val="Compact"/>
            </w:pPr>
            <w:r>
              <w:rPr>
                <w:sz w:val="15"/>
              </w:rPr>
              <w:t xml:space="preserve">0.8217</w:t>
            </w:r>
          </w:p>
        </w:tc>
        <w:tc>
          <w:tcPr/>
          <w:p>
            <w:pPr>
              <w:pStyle w:val="Compact"/>
            </w:pPr>
            <w:r>
              <w:rPr>
                <w:sz w:val="15"/>
              </w:rPr>
              <w:t xml:space="preserve">0.5232</w:t>
            </w:r>
          </w:p>
        </w:tc>
        <w:tc>
          <w:tcPr/>
          <w:p>
            <w:pPr>
              <w:pStyle w:val="Compact"/>
            </w:pPr>
            <w:r>
              <w:rPr>
                <w:sz w:val="15"/>
              </w:rPr>
              <w:t xml:space="preserve">0.127</w:t>
            </w:r>
          </w:p>
        </w:tc>
      </w:tr>
      <w:tr>
        <w:tc>
          <w:tcPr/>
          <w:p>
            <w:pPr>
              <w:pStyle w:val="Compact"/>
            </w:pPr>
            <w:r>
              <w:rPr>
                <w:sz w:val="15"/>
              </w:rPr>
              <w:t xml:space="preserve">prospective</w:t>
            </w:r>
          </w:p>
        </w:tc>
        <w:tc>
          <w:tcPr/>
          <w:p>
            <w:pPr>
              <w:pStyle w:val="Compact"/>
            </w:pPr>
            <w:r>
              <w:rPr>
                <w:sz w:val="15"/>
              </w:rPr>
              <w:t xml:space="preserve">random</w:t>
            </w:r>
          </w:p>
        </w:tc>
        <w:tc>
          <w:tcPr/>
          <w:p>
            <w:pPr>
              <w:pStyle w:val="Compact"/>
            </w:pPr>
            <w:r>
              <w:rPr>
                <w:sz w:val="15"/>
              </w:rPr>
              <w:t xml:space="preserve">0.55 to 0.70 (same series)</w:t>
            </w:r>
          </w:p>
        </w:tc>
        <w:tc>
          <w:tcPr/>
          <w:p>
            <w:pPr>
              <w:pStyle w:val="Compact"/>
            </w:pPr>
            <w:r>
              <w:rPr>
                <w:sz w:val="15"/>
              </w:rPr>
              <w:t xml:space="preserve">1981</w:t>
            </w:r>
          </w:p>
        </w:tc>
        <w:tc>
          <w:tcPr/>
          <w:p>
            <w:pPr>
              <w:pStyle w:val="Compact"/>
            </w:pPr>
            <w:r>
              <w:rPr>
                <w:sz w:val="15"/>
              </w:rPr>
              <w:t xml:space="preserve">829</w:t>
            </w:r>
          </w:p>
        </w:tc>
        <w:tc>
          <w:tcPr/>
          <w:p>
            <w:pPr>
              <w:pStyle w:val="Compact"/>
            </w:pPr>
            <w:r>
              <w:rPr>
                <w:sz w:val="15"/>
              </w:rPr>
              <w:t xml:space="preserve">0.8379</w:t>
            </w:r>
          </w:p>
        </w:tc>
        <w:tc>
          <w:tcPr/>
          <w:p>
            <w:pPr>
              <w:pStyle w:val="Compact"/>
            </w:pPr>
            <w:r>
              <w:rPr>
                <w:sz w:val="15"/>
              </w:rPr>
              <w:t xml:space="preserve">0.7683</w:t>
            </w:r>
          </w:p>
        </w:tc>
        <w:tc>
          <w:tcPr/>
          <w:p>
            <w:pPr>
              <w:pStyle w:val="Compact"/>
            </w:pPr>
            <w:r>
              <w:rPr>
                <w:sz w:val="15"/>
              </w:rPr>
              <w:t xml:space="preserve">0.3172</w:t>
            </w:r>
          </w:p>
        </w:tc>
      </w:tr>
      <w:tr>
        <w:tc>
          <w:tcPr/>
          <w:p>
            <w:pPr>
              <w:pStyle w:val="Compact"/>
            </w:pPr>
            <w:r>
              <w:rPr>
                <w:sz w:val="15"/>
              </w:rPr>
              <w:t xml:space="preserve">prospective</w:t>
            </w:r>
          </w:p>
        </w:tc>
        <w:tc>
          <w:tcPr/>
          <w:p>
            <w:pPr>
              <w:pStyle w:val="Compact"/>
            </w:pPr>
            <w:r>
              <w:rPr>
                <w:sz w:val="15"/>
              </w:rPr>
              <w:t xml:space="preserve">random</w:t>
            </w:r>
          </w:p>
        </w:tc>
        <w:tc>
          <w:tcPr/>
          <w:p>
            <w:pPr>
              <w:pStyle w:val="Compact"/>
            </w:pPr>
            <w:r>
              <w:rPr>
                <w:sz w:val="15"/>
              </w:rPr>
              <w:t xml:space="preserve">0.70 and above (close analogue)</w:t>
            </w:r>
          </w:p>
        </w:tc>
        <w:tc>
          <w:tcPr/>
          <w:p>
            <w:pPr>
              <w:pStyle w:val="Compact"/>
            </w:pPr>
            <w:r>
              <w:rPr>
                <w:sz w:val="15"/>
              </w:rPr>
              <w:t xml:space="preserve">13208</w:t>
            </w:r>
          </w:p>
        </w:tc>
        <w:tc>
          <w:tcPr/>
          <w:p>
            <w:pPr>
              <w:pStyle w:val="Compact"/>
            </w:pPr>
            <w:r>
              <w:rPr>
                <w:sz w:val="15"/>
              </w:rPr>
              <w:t xml:space="preserve">418</w:t>
            </w:r>
          </w:p>
        </w:tc>
        <w:tc>
          <w:tcPr/>
          <w:p>
            <w:pPr>
              <w:pStyle w:val="Compact"/>
            </w:pPr>
            <w:r>
              <w:rPr>
                <w:sz w:val="15"/>
              </w:rPr>
              <w:t xml:space="preserve">0.8548</w:t>
            </w:r>
          </w:p>
        </w:tc>
        <w:tc>
          <w:tcPr/>
          <w:p>
            <w:pPr>
              <w:pStyle w:val="Compact"/>
            </w:pPr>
            <w:r>
              <w:rPr>
                <w:sz w:val="15"/>
              </w:rPr>
              <w:t xml:space="preserve">0.9334</w:t>
            </w:r>
          </w:p>
        </w:tc>
        <w:tc>
          <w:tcPr/>
          <w:p>
            <w:pPr>
              <w:pStyle w:val="Compact"/>
            </w:pPr>
            <w:r>
              <w:rPr>
                <w:sz w:val="15"/>
              </w:rPr>
              <w:t xml:space="preserve">0.4976</w:t>
            </w:r>
          </w:p>
        </w:tc>
      </w:tr>
      <w:tr>
        <w:tc>
          <w:tcPr/>
          <w:p>
            <w:pPr>
              <w:pStyle w:val="Compact"/>
            </w:pPr>
            <w:r>
              <w:rPr>
                <w:sz w:val="15"/>
              </w:rPr>
              <w:t xml:space="preserve">prospective</w:t>
            </w:r>
          </w:p>
        </w:tc>
        <w:tc>
          <w:tcPr/>
          <w:p>
            <w:pPr>
              <w:pStyle w:val="Compact"/>
            </w:pPr>
            <w:r>
              <w:rPr>
                <w:sz w:val="15"/>
              </w:rPr>
              <w:t xml:space="preserve">time</w:t>
            </w:r>
          </w:p>
        </w:tc>
        <w:tc>
          <w:tcPr/>
          <w:p>
            <w:pPr>
              <w:pStyle w:val="Compact"/>
            </w:pPr>
            <w:r>
              <w:rPr>
                <w:sz w:val="15"/>
              </w:rPr>
              <w:t xml:space="preserve">below 0.40 (different chemotype)</w:t>
            </w:r>
          </w:p>
        </w:tc>
        <w:tc>
          <w:tcPr/>
          <w:p>
            <w:pPr>
              <w:pStyle w:val="Compact"/>
            </w:pPr>
            <w:r>
              <w:rPr>
                <w:sz w:val="15"/>
              </w:rPr>
              <w:t xml:space="preserve">4366</w:t>
            </w:r>
          </w:p>
        </w:tc>
        <w:tc>
          <w:tcPr/>
          <w:p>
            <w:pPr>
              <w:pStyle w:val="Compact"/>
            </w:pPr>
            <w:r>
              <w:rPr>
                <w:sz w:val="15"/>
              </w:rPr>
              <w:t xml:space="preserve">5395</w:t>
            </w:r>
          </w:p>
        </w:tc>
        <w:tc>
          <w:tcPr/>
          <w:p>
            <w:pPr>
              <w:pStyle w:val="Compact"/>
            </w:pPr>
            <w:r>
              <w:rPr>
                <w:sz w:val="15"/>
              </w:rPr>
              <w:t xml:space="preserve">0.6711</w:t>
            </w:r>
          </w:p>
        </w:tc>
        <w:tc>
          <w:tcPr/>
          <w:p>
            <w:pPr>
              <w:pStyle w:val="Compact"/>
            </w:pPr>
            <w:r>
              <w:rPr>
                <w:sz w:val="15"/>
              </w:rPr>
              <w:t xml:space="preserve">0.1612</w:t>
            </w:r>
          </w:p>
        </w:tc>
        <w:tc>
          <w:tcPr/>
          <w:p>
            <w:pPr>
              <w:pStyle w:val="Compact"/>
            </w:pPr>
            <w:r>
              <w:rPr>
                <w:sz w:val="15"/>
              </w:rPr>
              <w:t xml:space="preserve">0.0762</w:t>
            </w:r>
          </w:p>
        </w:tc>
      </w:tr>
      <w:tr>
        <w:tc>
          <w:tcPr/>
          <w:p>
            <w:pPr>
              <w:pStyle w:val="Compact"/>
            </w:pPr>
            <w:r>
              <w:rPr>
                <w:sz w:val="15"/>
              </w:rPr>
              <w:t xml:space="preserve">prospective</w:t>
            </w:r>
          </w:p>
        </w:tc>
        <w:tc>
          <w:tcPr/>
          <w:p>
            <w:pPr>
              <w:pStyle w:val="Compact"/>
            </w:pPr>
            <w:r>
              <w:rPr>
                <w:sz w:val="15"/>
              </w:rPr>
              <w:t xml:space="preserve">time</w:t>
            </w:r>
          </w:p>
        </w:tc>
        <w:tc>
          <w:tcPr/>
          <w:p>
            <w:pPr>
              <w:pStyle w:val="Compact"/>
            </w:pPr>
            <w:r>
              <w:rPr>
                <w:sz w:val="15"/>
              </w:rPr>
              <w:t xml:space="preserve">0.40 to 0.55 (related series)</w:t>
            </w:r>
          </w:p>
        </w:tc>
        <w:tc>
          <w:tcPr/>
          <w:p>
            <w:pPr>
              <w:pStyle w:val="Compact"/>
            </w:pPr>
            <w:r>
              <w:rPr>
                <w:sz w:val="15"/>
              </w:rPr>
              <w:t xml:space="preserve">5228</w:t>
            </w:r>
          </w:p>
        </w:tc>
        <w:tc>
          <w:tcPr/>
          <w:p>
            <w:pPr>
              <w:pStyle w:val="Compact"/>
            </w:pPr>
            <w:r>
              <w:rPr>
                <w:sz w:val="15"/>
              </w:rPr>
              <w:t xml:space="preserve">1003</w:t>
            </w:r>
          </w:p>
        </w:tc>
        <w:tc>
          <w:tcPr/>
          <w:p>
            <w:pPr>
              <w:pStyle w:val="Compact"/>
            </w:pPr>
            <w:r>
              <w:rPr>
                <w:sz w:val="15"/>
              </w:rPr>
              <w:t xml:space="preserve">0.7645</w:t>
            </w:r>
          </w:p>
        </w:tc>
        <w:tc>
          <w:tcPr/>
          <w:p>
            <w:pPr>
              <w:pStyle w:val="Compact"/>
            </w:pPr>
            <w:r>
              <w:rPr>
                <w:sz w:val="15"/>
              </w:rPr>
              <w:t xml:space="preserve">0.5532</w:t>
            </w:r>
          </w:p>
        </w:tc>
        <w:tc>
          <w:tcPr/>
          <w:p>
            <w:pPr>
              <w:pStyle w:val="Compact"/>
            </w:pPr>
            <w:r>
              <w:rPr>
                <w:sz w:val="15"/>
              </w:rPr>
              <w:t xml:space="preserve">0.2692</w:t>
            </w:r>
          </w:p>
        </w:tc>
      </w:tr>
      <w:tr>
        <w:tc>
          <w:tcPr/>
          <w:p>
            <w:pPr>
              <w:pStyle w:val="Compact"/>
            </w:pPr>
            <w:r>
              <w:rPr>
                <w:sz w:val="15"/>
              </w:rPr>
              <w:t xml:space="preserve">prospective</w:t>
            </w:r>
          </w:p>
        </w:tc>
        <w:tc>
          <w:tcPr/>
          <w:p>
            <w:pPr>
              <w:pStyle w:val="Compact"/>
            </w:pPr>
            <w:r>
              <w:rPr>
                <w:sz w:val="15"/>
              </w:rPr>
              <w:t xml:space="preserve">time</w:t>
            </w:r>
          </w:p>
        </w:tc>
        <w:tc>
          <w:tcPr/>
          <w:p>
            <w:pPr>
              <w:pStyle w:val="Compact"/>
            </w:pPr>
            <w:r>
              <w:rPr>
                <w:sz w:val="15"/>
              </w:rPr>
              <w:t xml:space="preserve">0.55 to 0.70 (same series)</w:t>
            </w:r>
          </w:p>
        </w:tc>
        <w:tc>
          <w:tcPr/>
          <w:p>
            <w:pPr>
              <w:pStyle w:val="Compact"/>
            </w:pPr>
            <w:r>
              <w:rPr>
                <w:sz w:val="15"/>
              </w:rPr>
              <w:t xml:space="preserve">3674</w:t>
            </w:r>
          </w:p>
        </w:tc>
        <w:tc>
          <w:tcPr/>
          <w:p>
            <w:pPr>
              <w:pStyle w:val="Compact"/>
            </w:pPr>
            <w:r>
              <w:rPr>
                <w:sz w:val="15"/>
              </w:rPr>
              <w:t xml:space="preserve">278</w:t>
            </w:r>
          </w:p>
        </w:tc>
        <w:tc>
          <w:tcPr/>
          <w:p>
            <w:pPr>
              <w:pStyle w:val="Compact"/>
            </w:pPr>
            <w:r>
              <w:rPr>
                <w:sz w:val="15"/>
              </w:rPr>
              <w:t xml:space="preserve">0.7871</w:t>
            </w:r>
          </w:p>
        </w:tc>
        <w:tc>
          <w:tcPr/>
          <w:p>
            <w:pPr>
              <w:pStyle w:val="Compact"/>
            </w:pPr>
            <w:r>
              <w:rPr>
                <w:sz w:val="15"/>
              </w:rPr>
              <w:t xml:space="preserve">0.7403</w:t>
            </w:r>
          </w:p>
        </w:tc>
        <w:tc>
          <w:tcPr/>
          <w:p>
            <w:pPr>
              <w:pStyle w:val="Compact"/>
            </w:pPr>
            <w:r>
              <w:rPr>
                <w:sz w:val="15"/>
              </w:rPr>
              <w:t xml:space="preserve">0.4676</w:t>
            </w:r>
          </w:p>
        </w:tc>
      </w:tr>
      <w:tr>
        <w:tc>
          <w:tcPr/>
          <w:p>
            <w:pPr>
              <w:pStyle w:val="Compact"/>
            </w:pPr>
            <w:r>
              <w:rPr>
                <w:sz w:val="15"/>
              </w:rPr>
              <w:t xml:space="preserve">prospective</w:t>
            </w:r>
          </w:p>
        </w:tc>
        <w:tc>
          <w:tcPr/>
          <w:p>
            <w:pPr>
              <w:pStyle w:val="Compact"/>
            </w:pPr>
            <w:r>
              <w:rPr>
                <w:sz w:val="15"/>
              </w:rPr>
              <w:t xml:space="preserve">time</w:t>
            </w:r>
          </w:p>
        </w:tc>
        <w:tc>
          <w:tcPr/>
          <w:p>
            <w:pPr>
              <w:pStyle w:val="Compact"/>
            </w:pPr>
            <w:r>
              <w:rPr>
                <w:sz w:val="15"/>
              </w:rPr>
              <w:t xml:space="preserve">0.70 and above (close analogue)</w:t>
            </w:r>
          </w:p>
        </w:tc>
        <w:tc>
          <w:tcPr/>
          <w:p>
            <w:pPr>
              <w:pStyle w:val="Compact"/>
            </w:pPr>
            <w:r>
              <w:rPr>
                <w:sz w:val="15"/>
              </w:rPr>
              <w:t xml:space="preserve">2586</w:t>
            </w:r>
          </w:p>
        </w:tc>
        <w:tc>
          <w:tcPr/>
          <w:p>
            <w:pPr>
              <w:pStyle w:val="Compact"/>
            </w:pPr>
            <w:r>
              <w:rPr>
                <w:sz w:val="15"/>
              </w:rPr>
              <w:t xml:space="preserve">92</w:t>
            </w:r>
          </w:p>
        </w:tc>
        <w:tc>
          <w:tcPr/>
          <w:p>
            <w:pPr>
              <w:pStyle w:val="Compact"/>
            </w:pPr>
            <w:r>
              <w:rPr>
                <w:sz w:val="15"/>
              </w:rPr>
              <w:t xml:space="preserve">0.8617</w:t>
            </w:r>
          </w:p>
        </w:tc>
        <w:tc>
          <w:tcPr/>
          <w:p>
            <w:pPr>
              <w:pStyle w:val="Compact"/>
            </w:pPr>
            <w:r>
              <w:rPr>
                <w:sz w:val="15"/>
              </w:rPr>
              <w:t xml:space="preserve">0.8616</w:t>
            </w:r>
          </w:p>
        </w:tc>
        <w:tc>
          <w:tcPr/>
          <w:p>
            <w:pPr>
              <w:pStyle w:val="Compact"/>
            </w:pPr>
            <w:r>
              <w:rPr>
                <w:sz w:val="15"/>
              </w:rPr>
              <w:t xml:space="preserve">0.3261</w:t>
            </w:r>
          </w:p>
        </w:tc>
      </w:tr>
      <w:tr>
        <w:tc>
          <w:tcPr/>
          <w:p>
            <w:pPr>
              <w:pStyle w:val="Compact"/>
            </w:pPr>
            <w:r>
              <w:rPr>
                <w:sz w:val="15"/>
              </w:rPr>
              <w:t xml:space="preserve">cross-provenance</w:t>
            </w:r>
          </w:p>
        </w:tc>
        <w:tc>
          <w:tcPr/>
          <w:p>
            <w:pPr>
              <w:pStyle w:val="Compact"/>
            </w:pPr>
            <w:r>
              <w:rPr>
                <w:sz w:val="15"/>
              </w:rPr>
              <w:t xml:space="preserve">cross_source</w:t>
            </w:r>
          </w:p>
        </w:tc>
        <w:tc>
          <w:tcPr/>
          <w:p>
            <w:pPr>
              <w:pStyle w:val="Compact"/>
            </w:pPr>
            <w:r>
              <w:rPr>
                <w:sz w:val="15"/>
              </w:rPr>
              <w:t xml:space="preserve">below 0.40 (different chemotype)</w:t>
            </w:r>
          </w:p>
        </w:tc>
        <w:tc>
          <w:tcPr/>
          <w:p>
            <w:pPr>
              <w:pStyle w:val="Compact"/>
            </w:pPr>
            <w:r>
              <w:rPr>
                <w:sz w:val="15"/>
              </w:rPr>
              <w:t xml:space="preserve">324</w:t>
            </w:r>
          </w:p>
        </w:tc>
        <w:tc>
          <w:tcPr/>
          <w:p>
            <w:pPr>
              <w:pStyle w:val="Compact"/>
            </w:pPr>
            <w:r>
              <w:rPr>
                <w:sz w:val="15"/>
              </w:rPr>
              <w:t xml:space="preserve">0</w:t>
            </w:r>
          </w:p>
        </w:tc>
        <w:tc>
          <w:tcPr/>
          <w:p>
            <w:pPr>
              <w:pStyle w:val="Compact"/>
            </w:pPr>
          </w:p>
        </w:tc>
        <w:tc>
          <w:tcPr/>
          <w:p>
            <w:pPr>
              <w:pStyle w:val="Compact"/>
            </w:pPr>
            <w:r>
              <w:rPr>
                <w:sz w:val="15"/>
              </w:rPr>
              <w:t xml:space="preserve">0.0494</w:t>
            </w:r>
          </w:p>
        </w:tc>
        <w:tc>
          <w:tcPr/>
          <w:p>
            <w:pPr>
              <w:pStyle w:val="Compact"/>
            </w:pPr>
          </w:p>
        </w:tc>
      </w:tr>
      <w:tr>
        <w:tc>
          <w:tcPr/>
          <w:p>
            <w:pPr>
              <w:pStyle w:val="Compact"/>
            </w:pPr>
            <w:r>
              <w:rPr>
                <w:sz w:val="15"/>
              </w:rPr>
              <w:t xml:space="preserve">cross-provenance</w:t>
            </w:r>
          </w:p>
        </w:tc>
        <w:tc>
          <w:tcPr/>
          <w:p>
            <w:pPr>
              <w:pStyle w:val="Compact"/>
            </w:pPr>
            <w:r>
              <w:rPr>
                <w:sz w:val="15"/>
              </w:rPr>
              <w:t xml:space="preserve">cross_source</w:t>
            </w:r>
          </w:p>
        </w:tc>
        <w:tc>
          <w:tcPr/>
          <w:p>
            <w:pPr>
              <w:pStyle w:val="Compact"/>
            </w:pPr>
            <w:r>
              <w:rPr>
                <w:sz w:val="15"/>
              </w:rPr>
              <w:t xml:space="preserve">0.40 to 0.55 (related series)</w:t>
            </w:r>
          </w:p>
        </w:tc>
        <w:tc>
          <w:tcPr/>
          <w:p>
            <w:pPr>
              <w:pStyle w:val="Compact"/>
            </w:pPr>
            <w:r>
              <w:rPr>
                <w:sz w:val="15"/>
              </w:rPr>
              <w:t xml:space="preserve">418</w:t>
            </w:r>
          </w:p>
        </w:tc>
        <w:tc>
          <w:tcPr/>
          <w:p>
            <w:pPr>
              <w:pStyle w:val="Compact"/>
            </w:pPr>
            <w:r>
              <w:rPr>
                <w:sz w:val="15"/>
              </w:rPr>
              <w:t xml:space="preserve">0</w:t>
            </w:r>
          </w:p>
        </w:tc>
        <w:tc>
          <w:tcPr/>
          <w:p>
            <w:pPr>
              <w:pStyle w:val="Compact"/>
            </w:pPr>
          </w:p>
        </w:tc>
        <w:tc>
          <w:tcPr/>
          <w:p>
            <w:pPr>
              <w:pStyle w:val="Compact"/>
            </w:pPr>
            <w:r>
              <w:rPr>
                <w:sz w:val="15"/>
              </w:rPr>
              <w:t xml:space="preserve">0.4641</w:t>
            </w:r>
          </w:p>
        </w:tc>
        <w:tc>
          <w:tcPr/>
          <w:p>
            <w:pPr>
              <w:pStyle w:val="Compact"/>
            </w:pPr>
          </w:p>
        </w:tc>
      </w:tr>
      <w:tr>
        <w:tc>
          <w:tcPr/>
          <w:p>
            <w:pPr>
              <w:pStyle w:val="Compact"/>
            </w:pPr>
            <w:r>
              <w:rPr>
                <w:sz w:val="15"/>
              </w:rPr>
              <w:t xml:space="preserve">cross-provenance</w:t>
            </w:r>
          </w:p>
        </w:tc>
        <w:tc>
          <w:tcPr/>
          <w:p>
            <w:pPr>
              <w:pStyle w:val="Compact"/>
            </w:pPr>
            <w:r>
              <w:rPr>
                <w:sz w:val="15"/>
              </w:rPr>
              <w:t xml:space="preserve">cross_source</w:t>
            </w:r>
          </w:p>
        </w:tc>
        <w:tc>
          <w:tcPr/>
          <w:p>
            <w:pPr>
              <w:pStyle w:val="Compact"/>
            </w:pPr>
            <w:r>
              <w:rPr>
                <w:sz w:val="15"/>
              </w:rPr>
              <w:t xml:space="preserve">0.55 to 0.70 (same series)</w:t>
            </w:r>
          </w:p>
        </w:tc>
        <w:tc>
          <w:tcPr/>
          <w:p>
            <w:pPr>
              <w:pStyle w:val="Compact"/>
            </w:pPr>
            <w:r>
              <w:rPr>
                <w:sz w:val="15"/>
              </w:rPr>
              <w:t xml:space="preserve">288</w:t>
            </w:r>
          </w:p>
        </w:tc>
        <w:tc>
          <w:tcPr/>
          <w:p>
            <w:pPr>
              <w:pStyle w:val="Compact"/>
            </w:pPr>
            <w:r>
              <w:rPr>
                <w:sz w:val="15"/>
              </w:rPr>
              <w:t xml:space="preserve">0</w:t>
            </w:r>
          </w:p>
        </w:tc>
        <w:tc>
          <w:tcPr/>
          <w:p>
            <w:pPr>
              <w:pStyle w:val="Compact"/>
            </w:pPr>
          </w:p>
        </w:tc>
        <w:tc>
          <w:tcPr/>
          <w:p>
            <w:pPr>
              <w:pStyle w:val="Compact"/>
            </w:pPr>
            <w:r>
              <w:rPr>
                <w:sz w:val="15"/>
              </w:rPr>
              <w:t xml:space="preserve">0.8264</w:t>
            </w:r>
          </w:p>
        </w:tc>
        <w:tc>
          <w:tcPr/>
          <w:p>
            <w:pPr>
              <w:pStyle w:val="Compact"/>
            </w:pPr>
          </w:p>
        </w:tc>
      </w:tr>
      <w:tr>
        <w:tc>
          <w:tcPr/>
          <w:p>
            <w:pPr>
              <w:pStyle w:val="Compact"/>
            </w:pPr>
            <w:r>
              <w:rPr>
                <w:sz w:val="15"/>
              </w:rPr>
              <w:t xml:space="preserve">cross-provenance</w:t>
            </w:r>
          </w:p>
        </w:tc>
        <w:tc>
          <w:tcPr/>
          <w:p>
            <w:pPr>
              <w:pStyle w:val="Compact"/>
            </w:pPr>
            <w:r>
              <w:rPr>
                <w:sz w:val="15"/>
              </w:rPr>
              <w:t xml:space="preserve">cross_source</w:t>
            </w:r>
          </w:p>
        </w:tc>
        <w:tc>
          <w:tcPr/>
          <w:p>
            <w:pPr>
              <w:pStyle w:val="Compact"/>
            </w:pPr>
            <w:r>
              <w:rPr>
                <w:sz w:val="15"/>
              </w:rPr>
              <w:t xml:space="preserve">0.70 and above (close analogue)</w:t>
            </w:r>
          </w:p>
        </w:tc>
        <w:tc>
          <w:tcPr/>
          <w:p>
            <w:pPr>
              <w:pStyle w:val="Compact"/>
            </w:pPr>
            <w:r>
              <w:rPr>
                <w:sz w:val="15"/>
              </w:rPr>
              <w:t xml:space="preserve">273</w:t>
            </w:r>
          </w:p>
        </w:tc>
        <w:tc>
          <w:tcPr/>
          <w:p>
            <w:pPr>
              <w:pStyle w:val="Compact"/>
            </w:pPr>
            <w:r>
              <w:rPr>
                <w:sz w:val="15"/>
              </w:rPr>
              <w:t xml:space="preserve">0</w:t>
            </w:r>
          </w:p>
        </w:tc>
        <w:tc>
          <w:tcPr/>
          <w:p>
            <w:pPr>
              <w:pStyle w:val="Compact"/>
            </w:pPr>
          </w:p>
        </w:tc>
        <w:tc>
          <w:tcPr/>
          <w:p>
            <w:pPr>
              <w:pStyle w:val="Compact"/>
            </w:pPr>
            <w:r>
              <w:rPr>
                <w:sz w:val="15"/>
              </w:rPr>
              <w:t xml:space="preserve">0.9011</w:t>
            </w:r>
          </w:p>
        </w:tc>
        <w:tc>
          <w:tcPr/>
          <w:p>
            <w:pPr>
              <w:pStyle w:val="Compact"/>
            </w:pPr>
          </w:p>
        </w:tc>
      </w:tr>
    </w:tbl>
    <w:p>
      <w:pPr>
        <w:pStyle w:val="BodyText"/>
      </w:pPr>
      <w:r>
        <w:t xml:space="preserve">Read the two splits against each other band by band rather than in aggregate. Most of the gap</w:t>
      </w:r>
      <w:r>
        <w:t xml:space="preserve"> </w:t>
      </w:r>
      <w:r>
        <w:t xml:space="preserve">disappears. The aggregate difference of 0.128 in AUROC and 0.383 in sensitivity</w:t>
      </w:r>
      <w:r>
        <w:t xml:space="preserve"> </w:t>
      </w:r>
      <w:r>
        <w:t xml:space="preserve">falls, within a band, to at most 0.081 and 0.072 respectively; on recall the time split is</w:t>
      </w:r>
      <w:r>
        <w:t xml:space="preserve"> </w:t>
      </w:r>
      <w:r>
        <w:t xml:space="preserve">the better of the two in 2 of the 4 bands, and on AUROC in 1.</w:t>
      </w:r>
    </w:p>
    <w:p>
      <w:pPr>
        <w:pStyle w:val="BodyText"/>
      </w:pPr>
      <w:r>
        <w:t xml:space="preserve">A residual remains, and the obvious explanation for it is wrong. Coarse bands would do this if the</w:t>
      </w:r>
      <w:r>
        <w:t xml:space="preserve"> </w:t>
      </w:r>
      <w:r>
        <w:t xml:space="preserve">time split’s compounds sat further out within a band than the random control’s, but they do not:</w:t>
      </w:r>
      <w:r>
        <w:t xml:space="preserve"> </w:t>
      </w:r>
      <w:r>
        <w:t xml:space="preserve">inside the widest band, everything below 0.40, both splits have a median similarity to training of</w:t>
      </w:r>
      <w:r>
        <w:t xml:space="preserve"> </w:t>
      </w:r>
      <w:r>
        <w:t xml:space="preserve">0.319 and means within 0.002 of each other. The residual is not distance the binning failed to</w:t>
      </w:r>
      <w:r>
        <w:t xml:space="preserve"> </w:t>
      </w:r>
      <w:r>
        <w:t xml:space="preserve">capture.</w:t>
      </w:r>
    </w:p>
    <w:p>
      <w:pPr>
        <w:pStyle w:val="BodyText"/>
      </w:pPr>
      <w:r>
        <w:t xml:space="preserve">What can be said is that it cannot be attributed with this data. The random split produces very</w:t>
      </w:r>
      <w:r>
        <w:t xml:space="preserve"> </w:t>
      </w:r>
      <w:r>
        <w:t xml:space="preserve">little novel chemistry to test on, 212 actives spread across 39 endpoints, so no</w:t>
      </w:r>
      <w:r>
        <w:t xml:space="preserve"> </w:t>
      </w:r>
      <w:r>
        <w:t xml:space="preserve">single endpoint carries enough of both splits inside that band for a paired comparison, and the two</w:t>
      </w:r>
      <w:r>
        <w:t xml:space="preserve"> </w:t>
      </w:r>
      <w:r>
        <w:t xml:space="preserve">bands therefore aggregate different mixtures of endpoints. The honest summary is that chemical</w:t>
      </w:r>
      <w:r>
        <w:t xml:space="preserve"> </w:t>
      </w:r>
      <w:r>
        <w:t xml:space="preserve">distance accounts for most of the apparent temporal effect and not demonstrably all of it.</w:t>
      </w:r>
    </w:p>
    <w:p>
      <w:pPr>
        <w:pStyle w:val="BodyText"/>
      </w:pPr>
      <w:r>
        <w:t xml:space="preserve">What differs is not performance but the population being tested.</w:t>
      </w:r>
    </w:p>
    <w:tbl>
      <w:tblPr>
        <w:tblStyle w:val="Table"/>
        <w:tblW w:type="auto" w:w="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test-set composition (actives)</w:t>
            </w:r>
          </w:p>
        </w:tc>
        <w:tc>
          <w:tcPr>
            <w:shd w:val="clear" w:fill="EAF0F7"/>
          </w:tcPr>
          <w:p>
            <w:pPr>
              <w:pStyle w:val="Compact"/>
            </w:pPr>
            <w:r>
              <w:rPr>
                <w:b/>
                <w:sz w:val="17"/>
              </w:rPr>
              <w:t xml:space="preserve">time split</w:t>
            </w:r>
          </w:p>
        </w:tc>
        <w:tc>
          <w:tcPr>
            <w:shd w:val="clear" w:fill="EAF0F7"/>
          </w:tcPr>
          <w:p>
            <w:pPr>
              <w:pStyle w:val="Compact"/>
            </w:pPr>
            <w:r>
              <w:rPr>
                <w:b/>
                <w:sz w:val="17"/>
              </w:rPr>
              <w:t xml:space="preserve">size-matched random</w:t>
            </w:r>
          </w:p>
        </w:tc>
      </w:tr>
      <w:tr>
        <w:tc>
          <w:tcPr/>
          <w:p>
            <w:pPr>
              <w:pStyle w:val="Compact"/>
            </w:pPr>
            <w:r>
              <w:t xml:space="preserve">below 0.40 (different chemotype)</w:t>
            </w:r>
          </w:p>
        </w:tc>
        <w:tc>
          <w:tcPr/>
          <w:p>
            <w:pPr>
              <w:pStyle w:val="Compact"/>
            </w:pPr>
            <w:r>
              <w:t xml:space="preserve">27.5%</w:t>
            </w:r>
          </w:p>
        </w:tc>
        <w:tc>
          <w:tcPr/>
          <w:p>
            <w:pPr>
              <w:pStyle w:val="Compact"/>
            </w:pPr>
            <w:r>
              <w:t xml:space="preserve">1.3%</w:t>
            </w:r>
          </w:p>
        </w:tc>
      </w:tr>
      <w:tr>
        <w:tc>
          <w:tcPr/>
          <w:p>
            <w:pPr>
              <w:pStyle w:val="Compact"/>
            </w:pPr>
            <w:r>
              <w:t xml:space="preserve">0.40 to 0.55 (related series)</w:t>
            </w:r>
          </w:p>
        </w:tc>
        <w:tc>
          <w:tcPr/>
          <w:p>
            <w:pPr>
              <w:pStyle w:val="Compact"/>
            </w:pPr>
            <w:r>
              <w:t xml:space="preserve">33.0%</w:t>
            </w:r>
          </w:p>
        </w:tc>
        <w:tc>
          <w:tcPr/>
          <w:p>
            <w:pPr>
              <w:pStyle w:val="Compact"/>
            </w:pPr>
            <w:r>
              <w:t xml:space="preserve">2.9%</w:t>
            </w:r>
          </w:p>
        </w:tc>
      </w:tr>
      <w:tr>
        <w:tc>
          <w:tcPr/>
          <w:p>
            <w:pPr>
              <w:pStyle w:val="Compact"/>
            </w:pPr>
            <w:r>
              <w:t xml:space="preserve">0.55 to 0.70 (same series)</w:t>
            </w:r>
          </w:p>
        </w:tc>
        <w:tc>
          <w:tcPr/>
          <w:p>
            <w:pPr>
              <w:pStyle w:val="Compact"/>
            </w:pPr>
            <w:r>
              <w:t xml:space="preserve">23.2%</w:t>
            </w:r>
          </w:p>
        </w:tc>
        <w:tc>
          <w:tcPr/>
          <w:p>
            <w:pPr>
              <w:pStyle w:val="Compact"/>
            </w:pPr>
            <w:r>
              <w:t xml:space="preserve">12.5%</w:t>
            </w:r>
          </w:p>
        </w:tc>
      </w:tr>
      <w:tr>
        <w:tc>
          <w:tcPr/>
          <w:p>
            <w:pPr>
              <w:pStyle w:val="Compact"/>
            </w:pPr>
            <w:r>
              <w:t xml:space="preserve">0.70 and above (close analogue)</w:t>
            </w:r>
          </w:p>
        </w:tc>
        <w:tc>
          <w:tcPr/>
          <w:p>
            <w:pPr>
              <w:pStyle w:val="Compact"/>
            </w:pPr>
            <w:r>
              <w:t xml:space="preserve">16.3%</w:t>
            </w:r>
          </w:p>
        </w:tc>
        <w:tc>
          <w:tcPr/>
          <w:p>
            <w:pPr>
              <w:pStyle w:val="Compact"/>
            </w:pPr>
            <w:r>
              <w:t xml:space="preserve">83.3%</w:t>
            </w:r>
          </w:p>
        </w:tc>
      </w:tr>
    </w:tbl>
    <w:p>
      <w:pPr>
        <w:pStyle w:val="BodyText"/>
      </w:pPr>
      <w:r>
        <w:t xml:space="preserve">A random split of medicinal-chemistry data is barely a test. 83 per cent of its test</w:t>
      </w:r>
      <w:r>
        <w:t xml:space="preserve"> </w:t>
      </w:r>
      <w:r>
        <w:t xml:space="preserve">compounds are close analogues of something in its own training set, because the published record is</w:t>
      </w:r>
      <w:r>
        <w:t xml:space="preserve"> </w:t>
      </w:r>
      <w:r>
        <w:t xml:space="preserve">full of series and a random draw keeps most of a series on both sides of the split. The time split’s</w:t>
      </w:r>
      <w:r>
        <w:t xml:space="preserve"> </w:t>
      </w:r>
      <w:r>
        <w:t xml:space="preserve">test set is genuinely different chemistry: median similarity to training 0.50 against</w:t>
      </w:r>
      <w:r>
        <w:t xml:space="preserve"> </w:t>
      </w:r>
      <w:r>
        <w:t xml:space="preserve">0.81, with 28 per cent of it below the 0.40 that a medicinal chemist would call a</w:t>
      </w:r>
      <w:r>
        <w:t xml:space="preserve"> </w:t>
      </w:r>
      <w:r>
        <w:t xml:space="preserve">different chemotype, against 1 per cent.</w:t>
      </w:r>
    </w:p>
    <w:p>
      <w:pPr>
        <w:pStyle w:val="BodyText"/>
      </w:pPr>
      <w:r>
        <w:rPr>
          <w:b/>
          <w:bCs/>
        </w:rPr>
        <w:t xml:space="preserve">The panel’s accuracy is a function of chemical distance, not of date.</w:t>
      </w:r>
      <w:r>
        <w:t xml:space="preserve"> </w:t>
      </w:r>
      <w:r>
        <w:t xml:space="preserve">Conditioned on how far a</w:t>
      </w:r>
      <w:r>
        <w:t xml:space="preserve"> </w:t>
      </w:r>
      <w:r>
        <w:t xml:space="preserve">compound sits from the training chemistry, it makes no difference whether that compound was withheld</w:t>
      </w:r>
      <w:r>
        <w:t xml:space="preserve"> </w:t>
      </w:r>
      <w:r>
        <w:t xml:space="preserve">by year or at random. What time changes is the input distribution: compounds published later sit</w:t>
      </w:r>
      <w:r>
        <w:t xml:space="preserve"> </w:t>
      </w:r>
      <w:r>
        <w:t xml:space="preserve">further from what came before, so a time split tests the same model on harder chemistry and returns</w:t>
      </w:r>
      <w:r>
        <w:t xml:space="preserve"> </w:t>
      </w:r>
      <w:r>
        <w:t xml:space="preserve">a lower number. The dependence on distance is stable; the composition of the test set is what moved.</w:t>
      </w:r>
    </w:p>
    <w:p>
      <w:pPr>
        <w:pStyle w:val="BodyText"/>
      </w:pPr>
      <w:r>
        <w:t xml:space="preserve">That distinction is not a quibble, because the two readings imply opposite things. Temporal decay</w:t>
      </w:r>
      <w:r>
        <w:t xml:space="preserve"> </w:t>
      </w:r>
      <w:r>
        <w:t xml:space="preserve">would mean the models need periodic refitting and that their published scores expire. A stable</w:t>
      </w:r>
      <w:r>
        <w:t xml:space="preserve"> </w:t>
      </w:r>
      <w:r>
        <w:t xml:space="preserve">distance-dependence means the scores do not expire, are conditional on a quantity the server already</w:t>
      </w:r>
      <w:r>
        <w:t xml:space="preserve"> </w:t>
      </w:r>
      <w:r>
        <w:t xml:space="preserve">measures, and can be quoted for the compound in hand rather than for the average compound. The</w:t>
      </w:r>
      <w:r>
        <w:t xml:space="preserve"> </w:t>
      </w:r>
      <w:r>
        <w:t xml:space="preserve">aggregate table in 6.5.1 supports the first reading perfectly well and only the stratification</w:t>
      </w:r>
      <w:r>
        <w:t xml:space="preserve"> </w:t>
      </w:r>
      <w:r>
        <w:t xml:space="preserve">separates them, which is exactly the substitution of a compositional effect for a causal one that</w:t>
      </w:r>
      <w:r>
        <w:t xml:space="preserve"> </w:t>
      </w:r>
      <w:r>
        <w:t xml:space="preserve">this document exists to avoid. It was nearly made here.</w:t>
      </w:r>
    </w:p>
    <w:p>
      <w:pPr>
        <w:pStyle w:val="BodyText"/>
      </w:pPr>
      <w:r>
        <w:t xml:space="preserve">Three consequences follow, and they are the practical output of the exercise.</w:t>
      </w:r>
    </w:p>
    <w:p>
      <w:pPr>
        <w:pStyle w:val="BodyText"/>
      </w:pPr>
      <w:r>
        <w:rPr>
          <w:b/>
          <w:bCs/>
        </w:rPr>
        <w:t xml:space="preserve">The deployed sensitivity figures describe the wrong population.</w:t>
      </w:r>
      <w:r>
        <w:t xml:space="preserve"> </w:t>
      </w:r>
      <w:r>
        <w:t xml:space="preserve">They are measured on held-out</w:t>
      </w:r>
      <w:r>
        <w:t xml:space="preserve"> </w:t>
      </w:r>
      <w:r>
        <w:t xml:space="preserve">chemistry that is 83 per cent close analogues. A user submitting a novel scaffold is in</w:t>
      </w:r>
      <w:r>
        <w:t xml:space="preserve"> </w:t>
      </w:r>
      <w:r>
        <w:t xml:space="preserve">the leftmost band, where recall is 0.161, not the rightmost, where it is</w:t>
      </w:r>
      <w:r>
        <w:t xml:space="preserve"> </w:t>
      </w:r>
      <w:r>
        <w:t xml:space="preserve">0.862. Neither number is wrong; quoting the second alone would be.</w:t>
      </w:r>
    </w:p>
    <w:p>
      <w:pPr>
        <w:pStyle w:val="BodyText"/>
      </w:pPr>
      <w:r>
        <w:rPr>
          <w:b/>
          <w:bCs/>
        </w:rPr>
        <w:t xml:space="preserve">Performance is predictable before it is needed.</w:t>
      </w:r>
      <w:r>
        <w:t xml:space="preserve"> </w:t>
      </w:r>
      <w:r>
        <w:t xml:space="preserve">Recall is a monotone function of a quantity the</w:t>
      </w:r>
      <w:r>
        <w:t xml:space="preserve"> </w:t>
      </w:r>
      <w:r>
        <w:t xml:space="preserve">server already computes and already displays for every query. The expected sensitivity for the</w:t>
      </w:r>
      <w:r>
        <w:t xml:space="preserve"> </w:t>
      </w:r>
      <w:r>
        <w:t xml:space="preserve">compound in hand is therefore knowable at the moment of the query rather than only in aggregate.</w:t>
      </w:r>
    </w:p>
    <w:p>
      <w:pPr>
        <w:pStyle w:val="BodyText"/>
      </w:pPr>
      <w:r>
        <w:rPr>
          <w:b/>
          <w:bCs/>
        </w:rPr>
        <w:t xml:space="preserve">The applicability-domain flag earns its place in a role it was not being credited with.</w:t>
      </w:r>
      <w:r>
        <w:t xml:space="preserve"> </w:t>
      </w:r>
      <w:r>
        <w:t xml:space="preserve">Section</w:t>
      </w:r>
      <w:r>
        <w:t xml:space="preserve"> </w:t>
      </w:r>
      <w:r>
        <w:t xml:space="preserve">8.2 shows it is a weak discriminator of non-drug-like chemistry, which is what it was built to be</w:t>
      </w:r>
      <w:r>
        <w:t xml:space="preserve"> </w:t>
      </w:r>
      <w:r>
        <w:t xml:space="preserve">and what its adversarial check tests. It is a good predictor of when the panel will fall silent on a</w:t>
      </w:r>
      <w:r>
        <w:t xml:space="preserve"> </w:t>
      </w:r>
      <w:r>
        <w:t xml:space="preserve">real active. A compound the flag places near the edge of the domain is precisely the compound whose</w:t>
      </w:r>
      <w:r>
        <w:t xml:space="preserve"> </w:t>
      </w:r>
      <w:r>
        <w:t xml:space="preserve">activity the panel is most likely to miss, and that is the more useful thing for it to mean.</w:t>
      </w:r>
    </w:p>
    <w:bookmarkEnd w:id="48"/>
    <w:bookmarkStart w:id="49" w:name="the-same-test-on-the-core-endpoints"/>
    <w:p>
      <w:pPr>
        <w:pStyle w:val="Heading4"/>
      </w:pPr>
      <w:r>
        <w:t xml:space="preserve">6.5.3 The same test on the core endpoints</w:t>
      </w:r>
    </w:p>
    <w:p>
      <w:pPr>
        <w:pStyle w:val="FirstParagraph"/>
      </w:pPr>
      <w:r>
        <w:t xml:space="preserve">Section 6.2 has reported temporal AUROC for the core classifiers without the control that makes it</w:t>
      </w:r>
      <w:r>
        <w:t xml:space="preserve"> </w:t>
      </w:r>
      <w:r>
        <w:t xml:space="preserve">readable. Refitted here with a size-matched random split alongside.</w:t>
      </w:r>
    </w:p>
    <w:tbl>
      <w:tblPr>
        <w:tblStyle w:val="Table"/>
        <w:tblW w:type="pct" w:w="5000"/>
        <w:jc w:val="center"/>
        <w:tblLayout w:type="autofit"/>
        <w:tblLook w:firstRow="1" w:lastRow="0" w:firstColumn="0" w:lastColumn="0" w:noHBand="0" w:noVBand="0" w:val="0020"/>
        <w:tblLayout w:type="autofit"/>
      </w:tblPr>
      <w:tblGrid>
        <w:gridCol w:w="879"/>
        <w:gridCol w:w="879"/>
        <w:gridCol w:w="879"/>
        <w:gridCol w:w="879"/>
        <w:gridCol w:w="879"/>
        <w:gridCol w:w="879"/>
        <w:gridCol w:w="879"/>
        <w:gridCol w:w="879"/>
        <w:gridCol w:w="879"/>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task</w:t>
            </w:r>
          </w:p>
        </w:tc>
        <w:tc>
          <w:tcPr>
            <w:shd w:val="clear" w:fill="EAF0F7"/>
          </w:tcPr>
          <w:p>
            <w:pPr>
              <w:pStyle w:val="Compact"/>
            </w:pPr>
            <w:r>
              <w:rPr>
                <w:b/>
                <w:sz w:val="17"/>
              </w:rPr>
              <w:t xml:space="preserve">cutoff_year</w:t>
            </w:r>
          </w:p>
        </w:tc>
        <w:tc>
          <w:tcPr>
            <w:shd w:val="clear" w:fill="EAF0F7"/>
          </w:tcPr>
          <w:p>
            <w:pPr>
              <w:pStyle w:val="Compact"/>
            </w:pPr>
            <w:r>
              <w:rPr>
                <w:b/>
                <w:sz w:val="17"/>
              </w:rPr>
              <w:t xml:space="preserve">n_train</w:t>
            </w:r>
          </w:p>
        </w:tc>
        <w:tc>
          <w:tcPr>
            <w:shd w:val="clear" w:fill="EAF0F7"/>
          </w:tcPr>
          <w:p>
            <w:pPr>
              <w:pStyle w:val="Compact"/>
            </w:pPr>
            <w:r>
              <w:rPr>
                <w:b/>
                <w:sz w:val="17"/>
              </w:rPr>
              <w:t xml:space="preserve">n_test</w:t>
            </w:r>
          </w:p>
        </w:tc>
        <w:tc>
          <w:tcPr>
            <w:shd w:val="clear" w:fill="EAF0F7"/>
          </w:tcPr>
          <w:p>
            <w:pPr>
              <w:pStyle w:val="Compact"/>
            </w:pPr>
            <w:r>
              <w:rPr>
                <w:b/>
                <w:sz w:val="17"/>
              </w:rPr>
              <w:t xml:space="preserve">metric</w:t>
            </w:r>
          </w:p>
        </w:tc>
        <w:tc>
          <w:tcPr>
            <w:shd w:val="clear" w:fill="EAF0F7"/>
          </w:tcPr>
          <w:p>
            <w:pPr>
              <w:pStyle w:val="Compact"/>
            </w:pPr>
            <w:r>
              <w:rPr>
                <w:b/>
                <w:sz w:val="17"/>
              </w:rPr>
              <w:t xml:space="preserve">time_split_score</w:t>
            </w:r>
          </w:p>
        </w:tc>
        <w:tc>
          <w:tcPr>
            <w:shd w:val="clear" w:fill="EAF0F7"/>
          </w:tcPr>
          <w:p>
            <w:pPr>
              <w:pStyle w:val="Compact"/>
            </w:pPr>
            <w:r>
              <w:rPr>
                <w:b/>
                <w:sz w:val="17"/>
              </w:rPr>
              <w:t xml:space="preserve">random_control_score</w:t>
            </w:r>
          </w:p>
        </w:tc>
        <w:tc>
          <w:tcPr>
            <w:shd w:val="clear" w:fill="EAF0F7"/>
          </w:tcPr>
          <w:p>
            <w:pPr>
              <w:pStyle w:val="Compact"/>
            </w:pPr>
            <w:r>
              <w:rPr>
                <w:b/>
                <w:sz w:val="17"/>
              </w:rPr>
              <w:t xml:space="preserve">cost_of_prospectivity</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4290</w:t>
            </w:r>
          </w:p>
        </w:tc>
        <w:tc>
          <w:tcPr/>
          <w:p>
            <w:pPr>
              <w:pStyle w:val="Compact"/>
            </w:pPr>
            <w:r>
              <w:rPr>
                <w:sz w:val="15"/>
              </w:rPr>
              <w:t xml:space="preserve">1028</w:t>
            </w:r>
          </w:p>
        </w:tc>
        <w:tc>
          <w:tcPr/>
          <w:p>
            <w:pPr>
              <w:pStyle w:val="Compact"/>
            </w:pPr>
            <w:r>
              <w:rPr>
                <w:sz w:val="15"/>
              </w:rPr>
              <w:t xml:space="preserve">auroc</w:t>
            </w:r>
          </w:p>
        </w:tc>
        <w:tc>
          <w:tcPr/>
          <w:p>
            <w:pPr>
              <w:pStyle w:val="Compact"/>
            </w:pPr>
            <w:r>
              <w:rPr>
                <w:sz w:val="15"/>
              </w:rPr>
              <w:t xml:space="preserve">0.7649</w:t>
            </w:r>
          </w:p>
        </w:tc>
        <w:tc>
          <w:tcPr/>
          <w:p>
            <w:pPr>
              <w:pStyle w:val="Compact"/>
            </w:pPr>
            <w:r>
              <w:rPr>
                <w:sz w:val="15"/>
              </w:rPr>
              <w:t xml:space="preserve">0.9691</w:t>
            </w:r>
          </w:p>
        </w:tc>
        <w:tc>
          <w:tcPr/>
          <w:p>
            <w:pPr>
              <w:pStyle w:val="Compact"/>
            </w:pPr>
            <w:r>
              <w:rPr>
                <w:sz w:val="15"/>
              </w:rPr>
              <w:t xml:space="preserve">0.2042</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2021</w:t>
            </w:r>
          </w:p>
        </w:tc>
        <w:tc>
          <w:tcPr/>
          <w:p>
            <w:pPr>
              <w:pStyle w:val="Compact"/>
            </w:pPr>
            <w:r>
              <w:rPr>
                <w:sz w:val="15"/>
              </w:rPr>
              <w:t xml:space="preserve">2769</w:t>
            </w:r>
          </w:p>
        </w:tc>
        <w:tc>
          <w:tcPr/>
          <w:p>
            <w:pPr>
              <w:pStyle w:val="Compact"/>
            </w:pPr>
            <w:r>
              <w:rPr>
                <w:sz w:val="15"/>
              </w:rPr>
              <w:t xml:space="preserve">617</w:t>
            </w:r>
          </w:p>
        </w:tc>
        <w:tc>
          <w:tcPr/>
          <w:p>
            <w:pPr>
              <w:pStyle w:val="Compact"/>
            </w:pPr>
            <w:r>
              <w:rPr>
                <w:sz w:val="15"/>
              </w:rPr>
              <w:t xml:space="preserve">auroc</w:t>
            </w:r>
          </w:p>
        </w:tc>
        <w:tc>
          <w:tcPr/>
          <w:p>
            <w:pPr>
              <w:pStyle w:val="Compact"/>
            </w:pPr>
            <w:r>
              <w:rPr>
                <w:sz w:val="15"/>
              </w:rPr>
              <w:t xml:space="preserve">0.8144</w:t>
            </w:r>
          </w:p>
        </w:tc>
        <w:tc>
          <w:tcPr/>
          <w:p>
            <w:pPr>
              <w:pStyle w:val="Compact"/>
            </w:pPr>
            <w:r>
              <w:rPr>
                <w:sz w:val="15"/>
              </w:rPr>
              <w:t xml:space="preserve">0.9692</w:t>
            </w:r>
          </w:p>
        </w:tc>
        <w:tc>
          <w:tcPr/>
          <w:p>
            <w:pPr>
              <w:pStyle w:val="Compact"/>
            </w:pPr>
            <w:r>
              <w:rPr>
                <w:sz w:val="15"/>
              </w:rPr>
              <w:t xml:space="preserve">0.1548</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2017</w:t>
            </w:r>
          </w:p>
        </w:tc>
        <w:tc>
          <w:tcPr/>
          <w:p>
            <w:pPr>
              <w:pStyle w:val="Compact"/>
            </w:pPr>
            <w:r>
              <w:rPr>
                <w:sz w:val="15"/>
              </w:rPr>
              <w:t xml:space="preserve">7289</w:t>
            </w:r>
          </w:p>
        </w:tc>
        <w:tc>
          <w:tcPr/>
          <w:p>
            <w:pPr>
              <w:pStyle w:val="Compact"/>
            </w:pPr>
            <w:r>
              <w:rPr>
                <w:sz w:val="15"/>
              </w:rPr>
              <w:t xml:space="preserve">1673</w:t>
            </w:r>
          </w:p>
        </w:tc>
        <w:tc>
          <w:tcPr/>
          <w:p>
            <w:pPr>
              <w:pStyle w:val="Compact"/>
            </w:pPr>
            <w:r>
              <w:rPr>
                <w:sz w:val="15"/>
              </w:rPr>
              <w:t xml:space="preserve">auroc</w:t>
            </w:r>
          </w:p>
        </w:tc>
        <w:tc>
          <w:tcPr/>
          <w:p>
            <w:pPr>
              <w:pStyle w:val="Compact"/>
            </w:pPr>
            <w:r>
              <w:rPr>
                <w:sz w:val="15"/>
              </w:rPr>
              <w:t xml:space="preserve">0.9131</w:t>
            </w:r>
          </w:p>
        </w:tc>
        <w:tc>
          <w:tcPr/>
          <w:p>
            <w:pPr>
              <w:pStyle w:val="Compact"/>
            </w:pPr>
            <w:r>
              <w:rPr>
                <w:sz w:val="15"/>
              </w:rPr>
              <w:t xml:space="preserve">0.9718</w:t>
            </w:r>
          </w:p>
        </w:tc>
        <w:tc>
          <w:tcPr/>
          <w:p>
            <w:pPr>
              <w:pStyle w:val="Compact"/>
            </w:pPr>
            <w:r>
              <w:rPr>
                <w:sz w:val="15"/>
              </w:rPr>
              <w:t xml:space="preserve">0.0587</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2021</w:t>
            </w:r>
          </w:p>
        </w:tc>
        <w:tc>
          <w:tcPr/>
          <w:p>
            <w:pPr>
              <w:pStyle w:val="Compact"/>
            </w:pPr>
            <w:r>
              <w:rPr>
                <w:sz w:val="15"/>
              </w:rPr>
              <w:t xml:space="preserve">5094</w:t>
            </w:r>
          </w:p>
        </w:tc>
        <w:tc>
          <w:tcPr/>
          <w:p>
            <w:pPr>
              <w:pStyle w:val="Compact"/>
            </w:pPr>
            <w:r>
              <w:rPr>
                <w:sz w:val="15"/>
              </w:rPr>
              <w:t xml:space="preserve">546</w:t>
            </w:r>
          </w:p>
        </w:tc>
        <w:tc>
          <w:tcPr/>
          <w:p>
            <w:pPr>
              <w:pStyle w:val="Compact"/>
            </w:pPr>
            <w:r>
              <w:rPr>
                <w:sz w:val="15"/>
              </w:rPr>
              <w:t xml:space="preserve">auroc</w:t>
            </w:r>
          </w:p>
        </w:tc>
        <w:tc>
          <w:tcPr/>
          <w:p>
            <w:pPr>
              <w:pStyle w:val="Compact"/>
            </w:pPr>
            <w:r>
              <w:rPr>
                <w:sz w:val="15"/>
              </w:rPr>
              <w:t xml:space="preserve">0.7143</w:t>
            </w:r>
          </w:p>
        </w:tc>
        <w:tc>
          <w:tcPr/>
          <w:p>
            <w:pPr>
              <w:pStyle w:val="Compact"/>
            </w:pPr>
            <w:r>
              <w:rPr>
                <w:sz w:val="15"/>
              </w:rPr>
              <w:t xml:space="preserve">0.969</w:t>
            </w:r>
          </w:p>
        </w:tc>
        <w:tc>
          <w:tcPr/>
          <w:p>
            <w:pPr>
              <w:pStyle w:val="Compact"/>
            </w:pPr>
            <w:r>
              <w:rPr>
                <w:sz w:val="15"/>
              </w:rPr>
              <w:t xml:space="preserve">0.2547</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2970</w:t>
            </w:r>
          </w:p>
        </w:tc>
        <w:tc>
          <w:tcPr/>
          <w:p>
            <w:pPr>
              <w:pStyle w:val="Compact"/>
            </w:pPr>
            <w:r>
              <w:rPr>
                <w:sz w:val="15"/>
              </w:rPr>
              <w:t xml:space="preserve">819</w:t>
            </w:r>
          </w:p>
        </w:tc>
        <w:tc>
          <w:tcPr/>
          <w:p>
            <w:pPr>
              <w:pStyle w:val="Compact"/>
            </w:pPr>
            <w:r>
              <w:rPr>
                <w:sz w:val="15"/>
              </w:rPr>
              <w:t xml:space="preserve">auroc</w:t>
            </w:r>
          </w:p>
        </w:tc>
        <w:tc>
          <w:tcPr/>
          <w:p>
            <w:pPr>
              <w:pStyle w:val="Compact"/>
            </w:pPr>
            <w:r>
              <w:rPr>
                <w:sz w:val="15"/>
              </w:rPr>
              <w:t xml:space="preserve">0.7544</w:t>
            </w:r>
          </w:p>
        </w:tc>
        <w:tc>
          <w:tcPr/>
          <w:p>
            <w:pPr>
              <w:pStyle w:val="Compact"/>
            </w:pPr>
            <w:r>
              <w:rPr>
                <w:sz w:val="15"/>
              </w:rPr>
              <w:t xml:space="preserve">0.966</w:t>
            </w:r>
          </w:p>
        </w:tc>
        <w:tc>
          <w:tcPr/>
          <w:p>
            <w:pPr>
              <w:pStyle w:val="Compact"/>
            </w:pPr>
            <w:r>
              <w:rPr>
                <w:sz w:val="15"/>
              </w:rPr>
              <w:t xml:space="preserve">0.2116</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3883</w:t>
            </w:r>
          </w:p>
        </w:tc>
        <w:tc>
          <w:tcPr/>
          <w:p>
            <w:pPr>
              <w:pStyle w:val="Compact"/>
            </w:pPr>
            <w:r>
              <w:rPr>
                <w:sz w:val="15"/>
              </w:rPr>
              <w:t xml:space="preserve">923</w:t>
            </w:r>
          </w:p>
        </w:tc>
        <w:tc>
          <w:tcPr/>
          <w:p>
            <w:pPr>
              <w:pStyle w:val="Compact"/>
            </w:pPr>
            <w:r>
              <w:rPr>
                <w:sz w:val="15"/>
              </w:rPr>
              <w:t xml:space="preserve">auroc</w:t>
            </w:r>
          </w:p>
        </w:tc>
        <w:tc>
          <w:tcPr/>
          <w:p>
            <w:pPr>
              <w:pStyle w:val="Compact"/>
            </w:pPr>
            <w:r>
              <w:rPr>
                <w:sz w:val="15"/>
              </w:rPr>
              <w:t xml:space="preserve">0.8429</w:t>
            </w:r>
          </w:p>
        </w:tc>
        <w:tc>
          <w:tcPr/>
          <w:p>
            <w:pPr>
              <w:pStyle w:val="Compact"/>
            </w:pPr>
            <w:r>
              <w:rPr>
                <w:sz w:val="15"/>
              </w:rPr>
              <w:t xml:space="preserve">0.9586</w:t>
            </w:r>
          </w:p>
        </w:tc>
        <w:tc>
          <w:tcPr/>
          <w:p>
            <w:pPr>
              <w:pStyle w:val="Compact"/>
            </w:pPr>
            <w:r>
              <w:rPr>
                <w:sz w:val="15"/>
              </w:rPr>
              <w:t xml:space="preserve">0.1157</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2020</w:t>
            </w:r>
          </w:p>
        </w:tc>
        <w:tc>
          <w:tcPr/>
          <w:p>
            <w:pPr>
              <w:pStyle w:val="Compact"/>
            </w:pPr>
            <w:r>
              <w:rPr>
                <w:sz w:val="15"/>
              </w:rPr>
              <w:t xml:space="preserve">8217</w:t>
            </w:r>
          </w:p>
        </w:tc>
        <w:tc>
          <w:tcPr/>
          <w:p>
            <w:pPr>
              <w:pStyle w:val="Compact"/>
            </w:pPr>
            <w:r>
              <w:rPr>
                <w:sz w:val="15"/>
              </w:rPr>
              <w:t xml:space="preserve">2059</w:t>
            </w:r>
          </w:p>
        </w:tc>
        <w:tc>
          <w:tcPr/>
          <w:p>
            <w:pPr>
              <w:pStyle w:val="Compact"/>
            </w:pPr>
            <w:r>
              <w:rPr>
                <w:sz w:val="15"/>
              </w:rPr>
              <w:t xml:space="preserve">auroc</w:t>
            </w:r>
          </w:p>
        </w:tc>
        <w:tc>
          <w:tcPr/>
          <w:p>
            <w:pPr>
              <w:pStyle w:val="Compact"/>
            </w:pPr>
            <w:r>
              <w:rPr>
                <w:sz w:val="15"/>
              </w:rPr>
              <w:t xml:space="preserve">0.715</w:t>
            </w:r>
          </w:p>
        </w:tc>
        <w:tc>
          <w:tcPr/>
          <w:p>
            <w:pPr>
              <w:pStyle w:val="Compact"/>
            </w:pPr>
            <w:r>
              <w:rPr>
                <w:sz w:val="15"/>
              </w:rPr>
              <w:t xml:space="preserve">0.9621</w:t>
            </w:r>
          </w:p>
        </w:tc>
        <w:tc>
          <w:tcPr/>
          <w:p>
            <w:pPr>
              <w:pStyle w:val="Compact"/>
            </w:pPr>
            <w:r>
              <w:rPr>
                <w:sz w:val="15"/>
              </w:rPr>
              <w:t xml:space="preserve">0.2471</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2019</w:t>
            </w:r>
          </w:p>
        </w:tc>
        <w:tc>
          <w:tcPr/>
          <w:p>
            <w:pPr>
              <w:pStyle w:val="Compact"/>
            </w:pPr>
            <w:r>
              <w:rPr>
                <w:sz w:val="15"/>
              </w:rPr>
              <w:t xml:space="preserve">6992</w:t>
            </w:r>
          </w:p>
        </w:tc>
        <w:tc>
          <w:tcPr/>
          <w:p>
            <w:pPr>
              <w:pStyle w:val="Compact"/>
            </w:pPr>
            <w:r>
              <w:rPr>
                <w:sz w:val="15"/>
              </w:rPr>
              <w:t xml:space="preserve">1556</w:t>
            </w:r>
          </w:p>
        </w:tc>
        <w:tc>
          <w:tcPr/>
          <w:p>
            <w:pPr>
              <w:pStyle w:val="Compact"/>
            </w:pPr>
            <w:r>
              <w:rPr>
                <w:sz w:val="15"/>
              </w:rPr>
              <w:t xml:space="preserve">r2</w:t>
            </w:r>
          </w:p>
        </w:tc>
        <w:tc>
          <w:tcPr/>
          <w:p>
            <w:pPr>
              <w:pStyle w:val="Compact"/>
            </w:pPr>
            <w:r>
              <w:rPr>
                <w:sz w:val="15"/>
              </w:rPr>
              <w:t xml:space="preserve">0.1031</w:t>
            </w:r>
          </w:p>
        </w:tc>
        <w:tc>
          <w:tcPr/>
          <w:p>
            <w:pPr>
              <w:pStyle w:val="Compact"/>
            </w:pPr>
            <w:r>
              <w:rPr>
                <w:sz w:val="15"/>
              </w:rPr>
              <w:t xml:space="preserve">0.6169</w:t>
            </w:r>
          </w:p>
        </w:tc>
        <w:tc>
          <w:tcPr/>
          <w:p>
            <w:pPr>
              <w:pStyle w:val="Compact"/>
            </w:pPr>
            <w:r>
              <w:rPr>
                <w:sz w:val="15"/>
              </w:rPr>
              <w:t xml:space="preserve">0.5138</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2020</w:t>
            </w:r>
          </w:p>
        </w:tc>
        <w:tc>
          <w:tcPr/>
          <w:p>
            <w:pPr>
              <w:pStyle w:val="Compact"/>
            </w:pPr>
            <w:r>
              <w:rPr>
                <w:sz w:val="15"/>
              </w:rPr>
              <w:t xml:space="preserve">5485</w:t>
            </w:r>
          </w:p>
        </w:tc>
        <w:tc>
          <w:tcPr/>
          <w:p>
            <w:pPr>
              <w:pStyle w:val="Compact"/>
            </w:pPr>
            <w:r>
              <w:rPr>
                <w:sz w:val="15"/>
              </w:rPr>
              <w:t xml:space="preserve">1516</w:t>
            </w:r>
          </w:p>
        </w:tc>
        <w:tc>
          <w:tcPr/>
          <w:p>
            <w:pPr>
              <w:pStyle w:val="Compact"/>
            </w:pPr>
            <w:r>
              <w:rPr>
                <w:sz w:val="15"/>
              </w:rPr>
              <w:t xml:space="preserve">r2</w:t>
            </w:r>
          </w:p>
        </w:tc>
        <w:tc>
          <w:tcPr/>
          <w:p>
            <w:pPr>
              <w:pStyle w:val="Compact"/>
            </w:pPr>
            <w:r>
              <w:rPr>
                <w:sz w:val="15"/>
              </w:rPr>
              <w:t xml:space="preserve">0.3005</w:t>
            </w:r>
          </w:p>
        </w:tc>
        <w:tc>
          <w:tcPr/>
          <w:p>
            <w:pPr>
              <w:pStyle w:val="Compact"/>
            </w:pPr>
            <w:r>
              <w:rPr>
                <w:sz w:val="15"/>
              </w:rPr>
              <w:t xml:space="preserve">0.7154</w:t>
            </w:r>
          </w:p>
        </w:tc>
        <w:tc>
          <w:tcPr/>
          <w:p>
            <w:pPr>
              <w:pStyle w:val="Compact"/>
            </w:pPr>
            <w:r>
              <w:rPr>
                <w:sz w:val="15"/>
              </w:rPr>
              <w:t xml:space="preserve">0.4149</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2020</w:t>
            </w:r>
          </w:p>
        </w:tc>
        <w:tc>
          <w:tcPr/>
          <w:p>
            <w:pPr>
              <w:pStyle w:val="Compact"/>
            </w:pPr>
            <w:r>
              <w:rPr>
                <w:sz w:val="15"/>
              </w:rPr>
              <w:t xml:space="preserve">5407</w:t>
            </w:r>
          </w:p>
        </w:tc>
        <w:tc>
          <w:tcPr/>
          <w:p>
            <w:pPr>
              <w:pStyle w:val="Compact"/>
            </w:pPr>
            <w:r>
              <w:rPr>
                <w:sz w:val="15"/>
              </w:rPr>
              <w:t xml:space="preserve">986</w:t>
            </w:r>
          </w:p>
        </w:tc>
        <w:tc>
          <w:tcPr/>
          <w:p>
            <w:pPr>
              <w:pStyle w:val="Compact"/>
            </w:pPr>
            <w:r>
              <w:rPr>
                <w:sz w:val="15"/>
              </w:rPr>
              <w:t xml:space="preserve">r2</w:t>
            </w:r>
          </w:p>
        </w:tc>
        <w:tc>
          <w:tcPr/>
          <w:p>
            <w:pPr>
              <w:pStyle w:val="Compact"/>
            </w:pPr>
            <w:r>
              <w:rPr>
                <w:sz w:val="15"/>
              </w:rPr>
              <w:t xml:space="preserve">0.3685</w:t>
            </w:r>
          </w:p>
        </w:tc>
        <w:tc>
          <w:tcPr/>
          <w:p>
            <w:pPr>
              <w:pStyle w:val="Compact"/>
            </w:pPr>
            <w:r>
              <w:rPr>
                <w:sz w:val="15"/>
              </w:rPr>
              <w:t xml:space="preserve">0.6866</w:t>
            </w:r>
          </w:p>
        </w:tc>
        <w:tc>
          <w:tcPr/>
          <w:p>
            <w:pPr>
              <w:pStyle w:val="Compact"/>
            </w:pPr>
            <w:r>
              <w:rPr>
                <w:sz w:val="15"/>
              </w:rPr>
              <w:t xml:space="preserve">0.3181</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2015</w:t>
            </w:r>
          </w:p>
        </w:tc>
        <w:tc>
          <w:tcPr/>
          <w:p>
            <w:pPr>
              <w:pStyle w:val="Compact"/>
            </w:pPr>
            <w:r>
              <w:rPr>
                <w:sz w:val="15"/>
              </w:rPr>
              <w:t xml:space="preserve">3777</w:t>
            </w:r>
          </w:p>
        </w:tc>
        <w:tc>
          <w:tcPr/>
          <w:p>
            <w:pPr>
              <w:pStyle w:val="Compact"/>
            </w:pPr>
            <w:r>
              <w:rPr>
                <w:sz w:val="15"/>
              </w:rPr>
              <w:t xml:space="preserve">1147</w:t>
            </w:r>
          </w:p>
        </w:tc>
        <w:tc>
          <w:tcPr/>
          <w:p>
            <w:pPr>
              <w:pStyle w:val="Compact"/>
            </w:pPr>
            <w:r>
              <w:rPr>
                <w:sz w:val="15"/>
              </w:rPr>
              <w:t xml:space="preserve">r2</w:t>
            </w:r>
          </w:p>
        </w:tc>
        <w:tc>
          <w:tcPr/>
          <w:p>
            <w:pPr>
              <w:pStyle w:val="Compact"/>
            </w:pPr>
            <w:r>
              <w:rPr>
                <w:sz w:val="15"/>
              </w:rPr>
              <w:t xml:space="preserve">0.1366</w:t>
            </w:r>
          </w:p>
        </w:tc>
        <w:tc>
          <w:tcPr/>
          <w:p>
            <w:pPr>
              <w:pStyle w:val="Compact"/>
            </w:pPr>
            <w:r>
              <w:rPr>
                <w:sz w:val="15"/>
              </w:rPr>
              <w:t xml:space="preserve">0.6678</w:t>
            </w:r>
          </w:p>
        </w:tc>
        <w:tc>
          <w:tcPr/>
          <w:p>
            <w:pPr>
              <w:pStyle w:val="Compact"/>
            </w:pPr>
            <w:r>
              <w:rPr>
                <w:sz w:val="15"/>
              </w:rPr>
              <w:t xml:space="preserve">0.5312</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2016</w:t>
            </w:r>
          </w:p>
        </w:tc>
        <w:tc>
          <w:tcPr/>
          <w:p>
            <w:pPr>
              <w:pStyle w:val="Compact"/>
            </w:pPr>
            <w:r>
              <w:rPr>
                <w:sz w:val="15"/>
              </w:rPr>
              <w:t xml:space="preserve">2340</w:t>
            </w:r>
          </w:p>
        </w:tc>
        <w:tc>
          <w:tcPr/>
          <w:p>
            <w:pPr>
              <w:pStyle w:val="Compact"/>
            </w:pPr>
            <w:r>
              <w:rPr>
                <w:sz w:val="15"/>
              </w:rPr>
              <w:t xml:space="preserve">522</w:t>
            </w:r>
          </w:p>
        </w:tc>
        <w:tc>
          <w:tcPr/>
          <w:p>
            <w:pPr>
              <w:pStyle w:val="Compact"/>
            </w:pPr>
            <w:r>
              <w:rPr>
                <w:sz w:val="15"/>
              </w:rPr>
              <w:t xml:space="preserve">r2</w:t>
            </w:r>
          </w:p>
        </w:tc>
        <w:tc>
          <w:tcPr/>
          <w:p>
            <w:pPr>
              <w:pStyle w:val="Compact"/>
            </w:pPr>
            <w:r>
              <w:rPr>
                <w:sz w:val="15"/>
              </w:rPr>
              <w:t xml:space="preserve">0.0073</w:t>
            </w:r>
          </w:p>
        </w:tc>
        <w:tc>
          <w:tcPr/>
          <w:p>
            <w:pPr>
              <w:pStyle w:val="Compact"/>
            </w:pPr>
            <w:r>
              <w:rPr>
                <w:sz w:val="15"/>
              </w:rPr>
              <w:t xml:space="preserve">0.7105</w:t>
            </w:r>
          </w:p>
        </w:tc>
        <w:tc>
          <w:tcPr/>
          <w:p>
            <w:pPr>
              <w:pStyle w:val="Compact"/>
            </w:pPr>
            <w:r>
              <w:rPr>
                <w:sz w:val="15"/>
              </w:rPr>
              <w:t xml:space="preserve">0.7032</w:t>
            </w:r>
          </w:p>
        </w:tc>
      </w:tr>
    </w:tbl>
    <w:p>
      <w:pPr>
        <w:pStyle w:val="BodyText"/>
      </w:pPr>
      <w:r>
        <w:t xml:space="preserve">Across 7 classifiers the mean AUROC is 0.788 under the time split against</w:t>
      </w:r>
      <w:r>
        <w:t xml:space="preserve"> </w:t>
      </w:r>
      <w:r>
        <w:t xml:space="preserve">0.967 under the matched random control, a cost of 0.178.</w:t>
      </w:r>
    </w:p>
    <w:p>
      <w:pPr>
        <w:pStyle w:val="BodyText"/>
      </w:pPr>
      <w:r>
        <w:t xml:space="preserve">The regressors are the more interesting case, because a temporal R-squared of 0.01 to</w:t>
      </w:r>
      <w:r>
        <w:t xml:space="preserve"> </w:t>
      </w:r>
      <w:r>
        <w:t xml:space="preserve">0.37 has always looked like evidence that the receptor models barely work. Against a matched</w:t>
      </w:r>
      <w:r>
        <w:t xml:space="preserve"> </w:t>
      </w:r>
      <w:r>
        <w:t xml:space="preserve">random control averaging 0.679 they are better read as a measure of how much of a regression</w:t>
      </w:r>
      <w:r>
        <w:t xml:space="preserve"> </w:t>
      </w:r>
      <w:r>
        <w:t xml:space="preserve">score is interpolation within a published series: the mean cost of prospectivity is 0.496.</w:t>
      </w:r>
      <w:r>
        <w:t xml:space="preserve"> </w:t>
      </w:r>
      <w:r>
        <w:t xml:space="preserve">A prospective R-squared near zero on a continuous potency scale remains a real limitation and is</w:t>
      </w:r>
      <w:r>
        <w:t xml:space="preserve"> </w:t>
      </w:r>
      <w:r>
        <w:t xml:space="preserve">reported as one, but it is a statement about the temporal structure of published structure-activity</w:t>
      </w:r>
      <w:r>
        <w:t xml:space="preserve"> </w:t>
      </w:r>
      <w:r>
        <w:t xml:space="preserve">data rather than about the fitting.</w:t>
      </w:r>
    </w:p>
    <w:bookmarkEnd w:id="49"/>
    <w:bookmarkStart w:id="50" w:name="X053ffca2d4f747a4f280e2235a0af2daa20f1a1"/>
    <w:p>
      <w:pPr>
        <w:pStyle w:val="Heading4"/>
      </w:pPr>
      <w:r>
        <w:t xml:space="preserve">6.5.4 A different curator: cross-provenance validation</w:t>
      </w:r>
    </w:p>
    <w:p>
      <w:pPr>
        <w:pStyle w:val="FirstParagraph"/>
      </w:pPr>
      <w:r>
        <w:t xml:space="preserve">Time is not the only kind of independence. A model can be prospectively accurate while depending on</w:t>
      </w:r>
      <w:r>
        <w:t xml:space="preserve"> </w:t>
      </w:r>
      <w:r>
        <w:t xml:space="preserve">the habits of one curation pipeline: which assays ChEMBL selects, how it derives pChEMBL, which papers</w:t>
      </w:r>
      <w:r>
        <w:t xml:space="preserve"> </w:t>
      </w:r>
      <w:r>
        <w:t xml:space="preserve">it abstracts. Some compounds in these tables were deposited in BindingDB and are absent from ChEMBL</w:t>
      </w:r>
      <w:r>
        <w:t xml:space="preserve"> </w:t>
      </w:r>
      <w:r>
        <w:t xml:space="preserve">entirely, curated by different people from different papers. Refitting on the ChEMBL side and testing</w:t>
      </w:r>
      <w:r>
        <w:t xml:space="preserve"> </w:t>
      </w:r>
      <w:r>
        <w:t xml:space="preserve">on the BindingDB-only side asks whether the signal is a property of the chemistry or of one database’s</w:t>
      </w:r>
      <w:r>
        <w:t xml:space="preserve"> </w:t>
      </w:r>
      <w:r>
        <w:t xml:space="preserve">way of recording it.</w:t>
      </w:r>
    </w:p>
    <w:p>
      <w:pPr>
        <w:pStyle w:val="BodyText"/>
      </w:pPr>
      <w:r>
        <w:t xml:space="preserve">This test cannot report AUROC, and the reason belongs before the numbers rather than after. Every</w:t>
      </w:r>
      <w:r>
        <w:t xml:space="preserve"> </w:t>
      </w:r>
      <w:r>
        <w:t xml:space="preserve">BindingDB-only row at every endpoint is an active: BindingDB deposits affinities, so a compound absent</w:t>
      </w:r>
      <w:r>
        <w:t xml:space="preserve"> </w:t>
      </w:r>
      <w:r>
        <w:t xml:space="preserve">from ChEMBL and present there is one that somebody measured and found to bind. There are no</w:t>
      </w:r>
      <w:r>
        <w:t xml:space="preserve"> </w:t>
      </w:r>
      <w:r>
        <w:t xml:space="preserve">independently curated negatives to rank against, and manufacturing them from the background pool would</w:t>
      </w:r>
      <w:r>
        <w:t xml:space="preserve"> </w:t>
      </w:r>
      <w:r>
        <w:t xml:space="preserve">test the background pool. What is reported instead is recall at the frozen operating point, paired</w:t>
      </w:r>
      <w:r>
        <w:t xml:space="preserve"> </w:t>
      </w:r>
      <w:r>
        <w:t xml:space="preserve">with the false-positive rate that same threshold produces on background chemistry, because recall</w:t>
      </w:r>
      <w:r>
        <w:t xml:space="preserve"> </w:t>
      </w:r>
      <w:r>
        <w:t xml:space="preserve">alone is meaningless: a model answering</w:t>
      </w:r>
      <w:r>
        <w:t xml:space="preserve"> </w:t>
      </w:r>
      <w:r>
        <w:t xml:space="preserve">“active”</w:t>
      </w:r>
      <w:r>
        <w:t xml:space="preserve"> </w:t>
      </w:r>
      <w:r>
        <w:t xml:space="preserve">to everything scores 1.0.</w:t>
      </w:r>
    </w:p>
    <w:tbl>
      <w:tblPr>
        <w:tblStyle w:val="Table"/>
        <w:tblW w:type="pct" w:w="500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n_train_actives_chembl</w:t>
            </w:r>
          </w:p>
        </w:tc>
        <w:tc>
          <w:tcPr>
            <w:shd w:val="clear" w:fill="EAF0F7"/>
          </w:tcPr>
          <w:p>
            <w:pPr>
              <w:pStyle w:val="Compact"/>
            </w:pPr>
            <w:r>
              <w:rPr>
                <w:b/>
                <w:sz w:val="17"/>
              </w:rPr>
              <w:t xml:space="preserve">n_test_actives_bindingdb_only</w:t>
            </w:r>
          </w:p>
        </w:tc>
        <w:tc>
          <w:tcPr>
            <w:shd w:val="clear" w:fill="EAF0F7"/>
          </w:tcPr>
          <w:p>
            <w:pPr>
              <w:pStyle w:val="Compact"/>
            </w:pPr>
            <w:r>
              <w:rPr>
                <w:b/>
                <w:sz w:val="17"/>
              </w:rPr>
              <w:t xml:space="preserve">recall_on_external_actives</w:t>
            </w:r>
          </w:p>
        </w:tc>
        <w:tc>
          <w:tcPr>
            <w:shd w:val="clear" w:fill="EAF0F7"/>
          </w:tcPr>
          <w:p>
            <w:pPr>
              <w:pStyle w:val="Compact"/>
            </w:pPr>
            <w:r>
              <w:rPr>
                <w:b/>
                <w:sz w:val="17"/>
              </w:rPr>
              <w:t xml:space="preserve">fpr_background_at_same_threshold</w:t>
            </w:r>
          </w:p>
        </w:tc>
        <w:tc>
          <w:tcPr>
            <w:shd w:val="clear" w:fill="EAF0F7"/>
          </w:tcPr>
          <w:p>
            <w:pPr>
              <w:pStyle w:val="Compact"/>
            </w:pPr>
            <w:r>
              <w:rPr>
                <w:b/>
                <w:sz w:val="17"/>
              </w:rPr>
              <w:t xml:space="preserve">deployed_sensitivity</w:t>
            </w:r>
          </w:p>
        </w:tc>
        <w:tc>
          <w:tcPr>
            <w:shd w:val="clear" w:fill="EAF0F7"/>
          </w:tcPr>
          <w:p>
            <w:pPr>
              <w:pStyle w:val="Compact"/>
            </w:pPr>
            <w:r>
              <w:rPr>
                <w:b/>
                <w:sz w:val="17"/>
              </w:rPr>
              <w:t xml:space="preserve">median_novelty_of_test_set</w:t>
            </w:r>
          </w:p>
        </w:tc>
      </w:tr>
      <w:tr>
        <w:tc>
          <w:tcPr/>
          <w:p>
            <w:pPr>
              <w:pStyle w:val="Compact"/>
            </w:pPr>
            <w:r>
              <w:rPr>
                <w:sz w:val="15"/>
              </w:rPr>
              <w:t xml:space="preserve">A2A</w:t>
            </w:r>
          </w:p>
        </w:tc>
        <w:tc>
          <w:tcPr/>
          <w:p>
            <w:pPr>
              <w:pStyle w:val="Compact"/>
            </w:pPr>
            <w:r>
              <w:rPr>
                <w:sz w:val="15"/>
              </w:rPr>
              <w:t xml:space="preserve">3343</w:t>
            </w:r>
          </w:p>
        </w:tc>
        <w:tc>
          <w:tcPr/>
          <w:p>
            <w:pPr>
              <w:pStyle w:val="Compact"/>
            </w:pPr>
            <w:r>
              <w:rPr>
                <w:sz w:val="15"/>
              </w:rPr>
              <w:t xml:space="preserve">758</w:t>
            </w:r>
          </w:p>
        </w:tc>
        <w:tc>
          <w:tcPr/>
          <w:p>
            <w:pPr>
              <w:pStyle w:val="Compact"/>
            </w:pPr>
            <w:r>
              <w:rPr>
                <w:sz w:val="15"/>
              </w:rPr>
              <w:t xml:space="preserve">0.6332</w:t>
            </w:r>
          </w:p>
        </w:tc>
        <w:tc>
          <w:tcPr/>
          <w:p>
            <w:pPr>
              <w:pStyle w:val="Compact"/>
            </w:pPr>
            <w:r>
              <w:rPr>
                <w:sz w:val="15"/>
              </w:rPr>
              <w:t xml:space="preserve">0.0332</w:t>
            </w:r>
          </w:p>
        </w:tc>
        <w:tc>
          <w:tcPr/>
          <w:p>
            <w:pPr>
              <w:pStyle w:val="Compact"/>
            </w:pPr>
            <w:r>
              <w:rPr>
                <w:sz w:val="15"/>
              </w:rPr>
              <w:t xml:space="preserve">0.824</w:t>
            </w:r>
          </w:p>
        </w:tc>
        <w:tc>
          <w:tcPr/>
          <w:p>
            <w:pPr>
              <w:pStyle w:val="Compact"/>
            </w:pPr>
            <w:r>
              <w:rPr>
                <w:sz w:val="15"/>
              </w:rPr>
              <w:t xml:space="preserve">0.5145</w:t>
            </w:r>
          </w:p>
        </w:tc>
      </w:tr>
      <w:tr>
        <w:tc>
          <w:tcPr/>
          <w:p>
            <w:pPr>
              <w:pStyle w:val="Compact"/>
            </w:pPr>
            <w:r>
              <w:rPr>
                <w:sz w:val="15"/>
              </w:rPr>
              <w:t xml:space="preserve">D2</w:t>
            </w:r>
          </w:p>
        </w:tc>
        <w:tc>
          <w:tcPr/>
          <w:p>
            <w:pPr>
              <w:pStyle w:val="Compact"/>
            </w:pPr>
            <w:r>
              <w:rPr>
                <w:sz w:val="15"/>
              </w:rPr>
              <w:t xml:space="preserve">3571</w:t>
            </w:r>
          </w:p>
        </w:tc>
        <w:tc>
          <w:tcPr/>
          <w:p>
            <w:pPr>
              <w:pStyle w:val="Compact"/>
            </w:pPr>
            <w:r>
              <w:rPr>
                <w:sz w:val="15"/>
              </w:rPr>
              <w:t xml:space="preserve">86</w:t>
            </w:r>
          </w:p>
        </w:tc>
        <w:tc>
          <w:tcPr/>
          <w:p>
            <w:pPr>
              <w:pStyle w:val="Compact"/>
            </w:pPr>
            <w:r>
              <w:rPr>
                <w:sz w:val="15"/>
              </w:rPr>
              <w:t xml:space="preserve">0.6163</w:t>
            </w:r>
          </w:p>
        </w:tc>
        <w:tc>
          <w:tcPr/>
          <w:p>
            <w:pPr>
              <w:pStyle w:val="Compact"/>
            </w:pPr>
            <w:r>
              <w:rPr>
                <w:sz w:val="15"/>
              </w:rPr>
              <w:t xml:space="preserve">0.069</w:t>
            </w:r>
          </w:p>
        </w:tc>
        <w:tc>
          <w:tcPr/>
          <w:p>
            <w:pPr>
              <w:pStyle w:val="Compact"/>
            </w:pPr>
            <w:r>
              <w:rPr>
                <w:sz w:val="15"/>
              </w:rPr>
              <w:t xml:space="preserve">0.654</w:t>
            </w:r>
          </w:p>
        </w:tc>
        <w:tc>
          <w:tcPr/>
          <w:p>
            <w:pPr>
              <w:pStyle w:val="Compact"/>
            </w:pPr>
            <w:r>
              <w:rPr>
                <w:sz w:val="15"/>
              </w:rPr>
              <w:t xml:space="preserve">0.6257</w:t>
            </w:r>
          </w:p>
        </w:tc>
      </w:tr>
      <w:tr>
        <w:tc>
          <w:tcPr/>
          <w:p>
            <w:pPr>
              <w:pStyle w:val="Compact"/>
            </w:pPr>
            <w:r>
              <w:rPr>
                <w:sz w:val="15"/>
              </w:rPr>
              <w:t xml:space="preserve">HT2A</w:t>
            </w:r>
          </w:p>
        </w:tc>
        <w:tc>
          <w:tcPr/>
          <w:p>
            <w:pPr>
              <w:pStyle w:val="Compact"/>
            </w:pPr>
            <w:r>
              <w:rPr>
                <w:sz w:val="15"/>
              </w:rPr>
              <w:t xml:space="preserve">3358</w:t>
            </w:r>
          </w:p>
        </w:tc>
        <w:tc>
          <w:tcPr/>
          <w:p>
            <w:pPr>
              <w:pStyle w:val="Compact"/>
            </w:pPr>
            <w:r>
              <w:rPr>
                <w:sz w:val="15"/>
              </w:rPr>
              <w:t xml:space="preserve">459</w:t>
            </w:r>
          </w:p>
        </w:tc>
        <w:tc>
          <w:tcPr/>
          <w:p>
            <w:pPr>
              <w:pStyle w:val="Compact"/>
            </w:pPr>
            <w:r>
              <w:rPr>
                <w:sz w:val="15"/>
              </w:rPr>
              <w:t xml:space="preserve">0.3508</w:t>
            </w:r>
          </w:p>
        </w:tc>
        <w:tc>
          <w:tcPr/>
          <w:p>
            <w:pPr>
              <w:pStyle w:val="Compact"/>
            </w:pPr>
            <w:r>
              <w:rPr>
                <w:sz w:val="15"/>
              </w:rPr>
              <w:t xml:space="preserve">0.0657</w:t>
            </w:r>
          </w:p>
        </w:tc>
        <w:tc>
          <w:tcPr/>
          <w:p>
            <w:pPr>
              <w:pStyle w:val="Compact"/>
            </w:pPr>
            <w:r>
              <w:rPr>
                <w:sz w:val="15"/>
              </w:rPr>
              <w:t xml:space="preserve">0.67</w:t>
            </w:r>
          </w:p>
        </w:tc>
        <w:tc>
          <w:tcPr/>
          <w:p>
            <w:pPr>
              <w:pStyle w:val="Compact"/>
            </w:pPr>
            <w:r>
              <w:rPr>
                <w:sz w:val="15"/>
              </w:rPr>
              <w:t xml:space="preserve">0.5195</w:t>
            </w:r>
          </w:p>
        </w:tc>
      </w:tr>
    </w:tbl>
    <w:p>
      <w:pPr>
        <w:pStyle w:val="BodyText"/>
      </w:pPr>
      <w:r>
        <w:t xml:space="preserve">Across 3 endpoints and 1,303 independently</w:t>
      </w:r>
      <w:r>
        <w:t xml:space="preserve"> </w:t>
      </w:r>
      <w:r>
        <w:t xml:space="preserve">curated actives, of which 1,264 are distinguishable from</w:t>
      </w:r>
      <w:r>
        <w:t xml:space="preserve"> </w:t>
      </w:r>
      <w:r>
        <w:t xml:space="preserve">training in feature space, mean recall is 0.533 at a mean</w:t>
      </w:r>
      <w:r>
        <w:t xml:space="preserve"> </w:t>
      </w:r>
      <w:r>
        <w:t xml:space="preserve">background false-positive rate of 0.0560, against a mean</w:t>
      </w:r>
      <w:r>
        <w:t xml:space="preserve"> </w:t>
      </w:r>
      <w:r>
        <w:t xml:space="preserve">deployed sensitivity of 0.716 on the</w:t>
      </w:r>
      <w:r>
        <w:t xml:space="preserve"> </w:t>
      </w:r>
      <w:r>
        <w:t xml:space="preserve">same endpoints.</w:t>
      </w:r>
    </w:p>
    <w:p>
      <w:pPr>
        <w:pStyle w:val="BodyText"/>
      </w:pPr>
      <w:r>
        <w:t xml:space="preserve">Read alone that looks like a heavy cost for a change of curator. It is not: the median distance from</w:t>
      </w:r>
      <w:r>
        <w:t xml:space="preserve"> </w:t>
      </w:r>
      <w:r>
        <w:t xml:space="preserve">training of these test sets is 0.52, which is the middle of</w:t>
      </w:r>
      <w:r>
        <w:t xml:space="preserve"> </w:t>
      </w:r>
      <w:r>
        <w:t xml:space="preserve">the range, and the recall observed is what 6.5.2 predicts for compounds at that distance. Stratifying</w:t>
      </w:r>
      <w:r>
        <w:t xml:space="preserve"> </w:t>
      </w:r>
      <w:r>
        <w:t xml:space="preserve">this set the same way makes the point directly, and it is the strongest evidence in this section.</w:t>
      </w:r>
    </w:p>
    <w:bookmarkEnd w:id="50"/>
    <w:bookmarkStart w:id="51" w:name="Xd1f080ccde78397531c51d97beebb3bdf318f47"/>
    <w:p>
      <w:pPr>
        <w:pStyle w:val="Heading4"/>
      </w:pPr>
      <w:r>
        <w:t xml:space="preserve">6.5.5 The same curve from three independent test sets</w:t>
      </w:r>
    </w:p>
    <w:p>
      <w:pPr>
        <w:pStyle w:val="FirstParagraph"/>
      </w:pPr>
      <w:r>
        <w:t xml:space="preserve">Three test sets were built here by three unrelated rules: withhold the later quarter by publication</w:t>
      </w:r>
      <w:r>
        <w:t xml:space="preserve"> </w:t>
      </w:r>
      <w:r>
        <w:t xml:space="preserve">date, withhold a quarter at random, and withhold everything one database curated and the other did</w:t>
      </w:r>
      <w:r>
        <w:t xml:space="preserve"> </w:t>
      </w:r>
      <w:r>
        <w:t xml:space="preserve">not. They share no construction principle. If recall were a property of the split, they would</w:t>
      </w:r>
      <w:r>
        <w:t xml:space="preserve"> </w:t>
      </w:r>
      <w:r>
        <w:t xml:space="preserve">disagree. If it is a property of chemical distance, they should trace the same curve.</w:t>
      </w:r>
    </w:p>
    <w:tbl>
      <w:tblPr>
        <w:tblStyle w:val="Table"/>
        <w:tblW w:type="pct" w:w="5000"/>
        <w:jc w:val="center"/>
        <w:tblLayout w:type="autofit"/>
        <w:tblLook w:firstRow="1" w:lastRow="0" w:firstColumn="0" w:lastColumn="0" w:noHBand="0" w:noVBand="0" w:val="0020"/>
        <w:tblLayout w:type="autofit"/>
      </w:tblPr>
      <w:tblGrid>
        <w:gridCol w:w="1980"/>
        <w:gridCol w:w="1980"/>
        <w:gridCol w:w="1980"/>
        <w:gridCol w:w="1980"/>
      </w:tblGrid>
      <w:tr>
        <w:trPr>
          <w:tblHeader w:val="on"/>
          <w:tblHeader w:val="true"/>
        </w:trPr>
        <w:tc>
          <w:tcPr>
            <w:shd w:val="clear" w:fill="EAF0F7"/>
          </w:tcPr>
          <w:p>
            <w:pPr>
              <w:pStyle w:val="Compact"/>
            </w:pPr>
            <w:r>
              <w:rPr>
                <w:b/>
                <w:sz w:val="17"/>
              </w:rPr>
              <w:t xml:space="preserve">novelty_band</w:t>
            </w:r>
          </w:p>
        </w:tc>
        <w:tc>
          <w:tcPr>
            <w:shd w:val="clear" w:fill="EAF0F7"/>
          </w:tcPr>
          <w:p>
            <w:pPr>
              <w:pStyle w:val="Compact"/>
            </w:pPr>
            <w:r>
              <w:rPr>
                <w:b/>
                <w:sz w:val="17"/>
              </w:rPr>
              <w:t xml:space="preserve">withheld by curator</w:t>
            </w:r>
          </w:p>
        </w:tc>
        <w:tc>
          <w:tcPr>
            <w:shd w:val="clear" w:fill="EAF0F7"/>
          </w:tcPr>
          <w:p>
            <w:pPr>
              <w:pStyle w:val="Compact"/>
            </w:pPr>
            <w:r>
              <w:rPr>
                <w:b/>
                <w:sz w:val="17"/>
              </w:rPr>
              <w:t xml:space="preserve">withheld at random</w:t>
            </w:r>
          </w:p>
        </w:tc>
        <w:tc>
          <w:tcPr>
            <w:shd w:val="clear" w:fill="EAF0F7"/>
          </w:tcPr>
          <w:p>
            <w:pPr>
              <w:pStyle w:val="Compact"/>
            </w:pPr>
            <w:r>
              <w:rPr>
                <w:b/>
                <w:sz w:val="17"/>
              </w:rPr>
              <w:t xml:space="preserve">withheld by date</w:t>
            </w:r>
          </w:p>
        </w:tc>
      </w:tr>
      <w:tr>
        <w:tc>
          <w:tcPr/>
          <w:p>
            <w:pPr>
              <w:pStyle w:val="Compact"/>
            </w:pPr>
            <w:r>
              <w:t xml:space="preserve">0.40 to 0.55 (related series)</w:t>
            </w:r>
          </w:p>
        </w:tc>
        <w:tc>
          <w:tcPr/>
          <w:p>
            <w:pPr>
              <w:pStyle w:val="Compact"/>
            </w:pPr>
            <w:r>
              <w:t xml:space="preserve">0.4641</w:t>
            </w:r>
          </w:p>
        </w:tc>
        <w:tc>
          <w:tcPr/>
          <w:p>
            <w:pPr>
              <w:pStyle w:val="Compact"/>
            </w:pPr>
            <w:r>
              <w:t xml:space="preserve">0.5232</w:t>
            </w:r>
          </w:p>
        </w:tc>
        <w:tc>
          <w:tcPr/>
          <w:p>
            <w:pPr>
              <w:pStyle w:val="Compact"/>
            </w:pPr>
            <w:r>
              <w:t xml:space="preserve">0.5532</w:t>
            </w:r>
          </w:p>
        </w:tc>
      </w:tr>
      <w:tr>
        <w:tc>
          <w:tcPr/>
          <w:p>
            <w:pPr>
              <w:pStyle w:val="Compact"/>
            </w:pPr>
            <w:r>
              <w:t xml:space="preserve">0.55 to 0.70 (same series)</w:t>
            </w:r>
          </w:p>
        </w:tc>
        <w:tc>
          <w:tcPr/>
          <w:p>
            <w:pPr>
              <w:pStyle w:val="Compact"/>
            </w:pPr>
            <w:r>
              <w:t xml:space="preserve">0.8264</w:t>
            </w:r>
          </w:p>
        </w:tc>
        <w:tc>
          <w:tcPr/>
          <w:p>
            <w:pPr>
              <w:pStyle w:val="Compact"/>
            </w:pPr>
            <w:r>
              <w:t xml:space="preserve">0.7683</w:t>
            </w:r>
          </w:p>
        </w:tc>
        <w:tc>
          <w:tcPr/>
          <w:p>
            <w:pPr>
              <w:pStyle w:val="Compact"/>
            </w:pPr>
            <w:r>
              <w:t xml:space="preserve">0.7403</w:t>
            </w:r>
          </w:p>
        </w:tc>
      </w:tr>
      <w:tr>
        <w:tc>
          <w:tcPr/>
          <w:p>
            <w:pPr>
              <w:pStyle w:val="Compact"/>
            </w:pPr>
            <w:r>
              <w:t xml:space="preserve">0.70 and above (close analogue)</w:t>
            </w:r>
          </w:p>
        </w:tc>
        <w:tc>
          <w:tcPr/>
          <w:p>
            <w:pPr>
              <w:pStyle w:val="Compact"/>
            </w:pPr>
            <w:r>
              <w:t xml:space="preserve">0.9011</w:t>
            </w:r>
          </w:p>
        </w:tc>
        <w:tc>
          <w:tcPr/>
          <w:p>
            <w:pPr>
              <w:pStyle w:val="Compact"/>
            </w:pPr>
            <w:r>
              <w:t xml:space="preserve">0.9334</w:t>
            </w:r>
          </w:p>
        </w:tc>
        <w:tc>
          <w:tcPr/>
          <w:p>
            <w:pPr>
              <w:pStyle w:val="Compact"/>
            </w:pPr>
            <w:r>
              <w:t xml:space="preserve">0.8616</w:t>
            </w:r>
          </w:p>
        </w:tc>
      </w:tr>
      <w:tr>
        <w:tc>
          <w:tcPr/>
          <w:p>
            <w:pPr>
              <w:pStyle w:val="Compact"/>
            </w:pPr>
            <w:r>
              <w:t xml:space="preserve">below 0.40 (different chemotype)</w:t>
            </w:r>
          </w:p>
        </w:tc>
        <w:tc>
          <w:tcPr/>
          <w:p>
            <w:pPr>
              <w:pStyle w:val="Compact"/>
            </w:pPr>
            <w:r>
              <w:t xml:space="preserve">0.0494</w:t>
            </w:r>
          </w:p>
        </w:tc>
        <w:tc>
          <w:tcPr/>
          <w:p>
            <w:pPr>
              <w:pStyle w:val="Compact"/>
            </w:pPr>
            <w:r>
              <w:t xml:space="preserve">0.1179</w:t>
            </w:r>
          </w:p>
        </w:tc>
        <w:tc>
          <w:tcPr/>
          <w:p>
            <w:pPr>
              <w:pStyle w:val="Compact"/>
            </w:pPr>
            <w:r>
              <w:t xml:space="preserve">0.1612</w:t>
            </w:r>
          </w:p>
        </w:tc>
      </w:tr>
    </w:tbl>
    <w:p>
      <w:pPr>
        <w:pStyle w:val="BodyText"/>
      </w:pPr>
      <w:r>
        <w:t xml:space="preserve">They trace the same curve. A cross-provenance test set, built by a rule that knows nothing about</w:t>
      </w:r>
      <w:r>
        <w:t xml:space="preserve"> </w:t>
      </w:r>
      <w:r>
        <w:t xml:space="preserve">dates and nothing about the random seed, reproduces the recall-versus-distance relationship of both</w:t>
      </w:r>
      <w:r>
        <w:t xml:space="preserve"> </w:t>
      </w:r>
      <w:r>
        <w:t xml:space="preserve">others. That is convergent evidence, and it is worth more than any single one of the three, because</w:t>
      </w:r>
      <w:r>
        <w:t xml:space="preserve"> </w:t>
      </w:r>
      <w:r>
        <w:t xml:space="preserve">the ways in which these three sets could be individually misleading do not overlap.</w:t>
      </w:r>
    </w:p>
    <w:p>
      <w:pPr>
        <w:pStyle w:val="BodyText"/>
      </w:pPr>
      <w:r>
        <w:t xml:space="preserve">It also settles what the cross-provenance number means. A change of curator costs almost nothing once</w:t>
      </w:r>
      <w:r>
        <w:t xml:space="preserve"> </w:t>
      </w:r>
      <w:r>
        <w:t xml:space="preserve">distance is accounted for. What it changes is which compounds are available to test on, and the</w:t>
      </w:r>
      <w:r>
        <w:t xml:space="preserve"> </w:t>
      </w:r>
      <w:r>
        <w:t xml:space="preserve">compounds one database holds and another does not are, unsurprisingly, not the ones both already</w:t>
      </w:r>
      <w:r>
        <w:t xml:space="preserve"> </w:t>
      </w:r>
      <w:r>
        <w:t xml:space="preserve">agreed about.</w:t>
      </w:r>
    </w:p>
    <w:bookmarkEnd w:id="51"/>
    <w:bookmarkStart w:id="52" w:name="Xd102fcf55affc6cb49f791eade9e458159c03ab"/>
    <w:p>
      <w:pPr>
        <w:pStyle w:val="Heading4"/>
      </w:pPr>
      <w:r>
        <w:t xml:space="preserve">6.5.6 What this programme does and does not establish</w:t>
      </w:r>
    </w:p>
    <w:p>
      <w:pPr>
        <w:pStyle w:val="FirstParagraph"/>
      </w:pPr>
      <w:r>
        <w:t xml:space="preserve">It establishes four things. The panel’s</w:t>
      </w:r>
      <w:r>
        <w:t xml:space="preserve"> </w:t>
      </w:r>
      <w:r>
        <w:rPr>
          <w:b/>
          <w:bCs/>
        </w:rPr>
        <w:t xml:space="preserve">specificity is robust</w:t>
      </w:r>
      <w:r>
        <w:t xml:space="preserve"> </w:t>
      </w:r>
      <w:r>
        <w:t xml:space="preserve">to both kinds of independence</w:t>
      </w:r>
      <w:r>
        <w:t xml:space="preserve"> </w:t>
      </w:r>
      <w:r>
        <w:t xml:space="preserve">tested: the false-positive rate on background chemistry barely moves. Its</w:t>
      </w:r>
      <w:r>
        <w:t xml:space="preserve"> </w:t>
      </w:r>
      <w:r>
        <w:rPr>
          <w:b/>
          <w:bCs/>
        </w:rPr>
        <w:t xml:space="preserve">ranking against</w:t>
      </w:r>
      <w:r>
        <w:rPr>
          <w:b/>
          <w:bCs/>
        </w:rPr>
        <w:t xml:space="preserve"> </w:t>
      </w:r>
      <w:r>
        <w:rPr>
          <w:b/>
          <w:bCs/>
        </w:rPr>
        <w:t xml:space="preserve">background chemistry is largely preserved</w:t>
      </w:r>
      <w:r>
        <w:t xml:space="preserve"> </w:t>
      </w:r>
      <w:r>
        <w:t xml:space="preserve">on chemistry it has not seen. Its</w:t>
      </w:r>
      <w:r>
        <w:t xml:space="preserve"> </w:t>
      </w:r>
      <w:r>
        <w:rPr>
          <w:b/>
          <w:bCs/>
        </w:rPr>
        <w:t xml:space="preserve">recall is a function</w:t>
      </w:r>
      <w:r>
        <w:rPr>
          <w:b/>
          <w:bCs/>
        </w:rPr>
        <w:t xml:space="preserve"> </w:t>
      </w:r>
      <w:r>
        <w:rPr>
          <w:b/>
          <w:bCs/>
        </w:rPr>
        <w:t xml:space="preserve">of chemical distance rather than of publication date</w:t>
      </w:r>
      <w:r>
        <w:t xml:space="preserve">, traced by three test sets built on unrelated</w:t>
      </w:r>
      <w:r>
        <w:t xml:space="preserve"> </w:t>
      </w:r>
      <w:r>
        <w:t xml:space="preserve">principles, so the published scores do not expire and can be conditioned on a quantity the server</w:t>
      </w:r>
      <w:r>
        <w:t xml:space="preserve"> </w:t>
      </w:r>
      <w:r>
        <w:t xml:space="preserve">already computes for every query. And</w:t>
      </w:r>
      <w:r>
        <w:t xml:space="preserve"> </w:t>
      </w:r>
      <w:r>
        <w:rPr>
          <w:b/>
          <w:bCs/>
        </w:rPr>
        <w:t xml:space="preserve">sensitivity is the weakest of its claims</w:t>
      </w:r>
      <w:r>
        <w:t xml:space="preserve"> </w:t>
      </w:r>
      <w:r>
        <w:t xml:space="preserve">where the</w:t>
      </w:r>
      <w:r>
        <w:t xml:space="preserve"> </w:t>
      </w:r>
      <w:r>
        <w:t xml:space="preserve">chemistry is genuinely novel: a compound more than 0.60 Tanimoto from anything measured is one the</w:t>
      </w:r>
      <w:r>
        <w:t xml:space="preserve"> </w:t>
      </w:r>
      <w:r>
        <w:t xml:space="preserve">panel will more often than not fail to call, whatever its true activity.</w:t>
      </w:r>
    </w:p>
    <w:p>
      <w:pPr>
        <w:pStyle w:val="BodyText"/>
      </w:pPr>
      <w:r>
        <w:t xml:space="preserve">What it does not establish is equally worth stating. Recall on genuinely distant chemistry is poor in</w:t>
      </w:r>
      <w:r>
        <w:t xml:space="preserve"> </w:t>
      </w:r>
      <w:r>
        <w:t xml:space="preserve">absolute terms and no analysis here improves it; the finding is that the poor number is predictable,</w:t>
      </w:r>
      <w:r>
        <w:t xml:space="preserve"> </w:t>
      </w:r>
      <w:r>
        <w:t xml:space="preserve">not that it is better than it looked. The residual difference between the splits within a novelty</w:t>
      </w:r>
      <w:r>
        <w:t xml:space="preserve"> </w:t>
      </w:r>
      <w:r>
        <w:t xml:space="preserve">band is unexplained rather than explained away. And the cross-provenance arm rests on three</w:t>
      </w:r>
      <w:r>
        <w:t xml:space="preserve"> </w:t>
      </w:r>
      <w:r>
        <w:t xml:space="preserve">endpoints, because the number of compounds one database holds at pChEMBL 7 or above and the other</w:t>
      </w:r>
      <w:r>
        <w:t xml:space="preserve"> </w:t>
      </w:r>
      <w:r>
        <w:t xml:space="preserve">lacks is small.</w:t>
      </w:r>
    </w:p>
    <w:p>
      <w:pPr>
        <w:pStyle w:val="BodyText"/>
      </w:pPr>
      <w:r>
        <w:t xml:space="preserve">It does not establish prospective performance in the strict sense, because no compound here was</w:t>
      </w:r>
      <w:r>
        <w:t xml:space="preserve"> </w:t>
      </w:r>
      <w:r>
        <w:t xml:space="preserve">predicted before it was measured: the dates are real but the analysis is retrospective. It does not</w:t>
      </w:r>
      <w:r>
        <w:t xml:space="preserve"> </w:t>
      </w:r>
      <w:r>
        <w:t xml:space="preserve">replace an external set for the target panel. It does not extend to targets whose chemistry appeared</w:t>
      </w:r>
      <w:r>
        <w:t xml:space="preserve"> </w:t>
      </w:r>
      <w:r>
        <w:t xml:space="preserve">in a single burst of publications, which are excluded for want of anything on the far side of the</w:t>
      </w:r>
      <w:r>
        <w:t xml:space="preserve"> </w:t>
      </w:r>
      <w:r>
        <w:t xml:space="preserve">wall. The correct description of this server’s evidence is therefore unchanged in kind and much</w:t>
      </w:r>
      <w:r>
        <w:t xml:space="preserve"> </w:t>
      </w:r>
      <w:r>
        <w:t xml:space="preserve">larger in extent: one genuine external set for the barrier model, and for the target panel a</w:t>
      </w:r>
      <w:r>
        <w:t xml:space="preserve"> </w:t>
      </w:r>
      <w:r>
        <w:t xml:space="preserve">prospective simulation whose numbers are reported whether or not they flatter it.</w:t>
      </w:r>
    </w:p>
    <w:bookmarkEnd w:id="52"/>
    <w:bookmarkEnd w:id="53"/>
    <w:bookmarkStart w:id="54" w:name="adversarial-checks"/>
    <w:p>
      <w:pPr>
        <w:pStyle w:val="Heading3"/>
      </w:pPr>
      <w:r>
        <w:t xml:space="preserve">6.6 Adversarial checks</w:t>
      </w:r>
    </w:p>
    <w:p>
      <w:pPr>
        <w:pStyle w:val="FirstParagraph"/>
      </w:pPr>
      <w:r>
        <w:t xml:space="preserve">Each written so that it could fail.</w:t>
      </w:r>
      <w:r>
        <w:t xml:space="preserve"> </w:t>
      </w:r>
      <w:r>
        <w:rPr>
          <w:b/>
          <w:bCs/>
        </w:rPr>
        <w:t xml:space="preserve">6 of 6 pass.</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check</w:t>
            </w:r>
          </w:p>
        </w:tc>
        <w:tc>
          <w:tcPr>
            <w:shd w:val="clear" w:fill="EAF0F7"/>
          </w:tcPr>
          <w:p>
            <w:pPr>
              <w:pStyle w:val="Compact"/>
            </w:pPr>
            <w:r>
              <w:rPr>
                <w:b/>
                <w:sz w:val="17"/>
              </w:rPr>
              <w:t xml:space="preserve">result</w:t>
            </w:r>
          </w:p>
        </w:tc>
        <w:tc>
          <w:tcPr>
            <w:shd w:val="clear" w:fill="EAF0F7"/>
          </w:tcPr>
          <w:p>
            <w:pPr>
              <w:pStyle w:val="Compact"/>
            </w:pPr>
            <w:r>
              <w:rPr>
                <w:b/>
                <w:sz w:val="17"/>
              </w:rPr>
              <w:t xml:space="preserve">detail</w:t>
            </w:r>
          </w:p>
        </w:tc>
      </w:tr>
      <w:tr>
        <w:tc>
          <w:tcPr/>
          <w:p>
            <w:pPr>
              <w:pStyle w:val="Compact"/>
            </w:pPr>
            <w:r>
              <w:t xml:space="preserve">No test compound is feature-identical to a training compound (MAO_A, BBB)</w:t>
            </w:r>
          </w:p>
        </w:tc>
        <w:tc>
          <w:tcPr/>
          <w:p>
            <w:pPr>
              <w:pStyle w:val="Compact"/>
            </w:pPr>
            <w:r>
              <w:t xml:space="preserve">PASS</w:t>
            </w:r>
          </w:p>
        </w:tc>
        <w:tc>
          <w:tcPr/>
          <w:p>
            <w:pPr>
              <w:pStyle w:val="Compact"/>
            </w:pPr>
            <w:r>
              <w:t xml:space="preserve">worst fold shares 0 compound(s) with its training set (want 0); before deduplication the same folds would share 4, which is the leak deduplication exists to remove</w:t>
            </w:r>
          </w:p>
        </w:tc>
      </w:tr>
      <w:tr>
        <w:tc>
          <w:tcPr/>
          <w:p>
            <w:pPr>
              <w:pStyle w:val="Compact"/>
            </w:pPr>
            <w:r>
              <w:t xml:space="preserve">No duplicate compound survives into training</w:t>
            </w:r>
          </w:p>
        </w:tc>
        <w:tc>
          <w:tcPr/>
          <w:p>
            <w:pPr>
              <w:pStyle w:val="Compact"/>
            </w:pPr>
            <w:r>
              <w:t xml:space="preserve">PASS</w:t>
            </w:r>
          </w:p>
        </w:tc>
        <w:tc>
          <w:tcPr/>
          <w:p>
            <w:pPr>
              <w:pStyle w:val="Compact"/>
            </w:pPr>
            <w:r>
              <w:t xml:space="preserve">0 duplicate rows reach a model; 15,104 exist in the tables before deduplication (worst BBB at 3,773), which is correct chemistry, since stereoisomers are distinct compounds the stereo-blind featuriser cannot separate</w:t>
            </w:r>
          </w:p>
        </w:tc>
      </w:tr>
      <w:tr>
        <w:tc>
          <w:tcPr/>
          <w:p>
            <w:pPr>
              <w:pStyle w:val="Compact"/>
            </w:pPr>
            <w:r>
              <w:t xml:space="preserve">Reproducible retrain (MAO_A scaffold AUROC)</w:t>
            </w:r>
          </w:p>
        </w:tc>
        <w:tc>
          <w:tcPr/>
          <w:p>
            <w:pPr>
              <w:pStyle w:val="Compact"/>
            </w:pPr>
            <w:r>
              <w:t xml:space="preserve">PASS</w:t>
            </w:r>
          </w:p>
        </w:tc>
        <w:tc>
          <w:tcPr/>
          <w:p>
            <w:pPr>
              <w:pStyle w:val="Compact"/>
            </w:pPr>
            <w:r>
              <w:t xml:space="preserve">retrained 0.906 vs reported 0.906</w:t>
            </w:r>
          </w:p>
        </w:tc>
      </w:tr>
      <w:tr>
        <w:tc>
          <w:tcPr/>
          <w:p>
            <w:pPr>
              <w:pStyle w:val="Compact"/>
            </w:pPr>
            <w:r>
              <w:t xml:space="preserve">Predictions are not constant (BBB over 200 drugs)</w:t>
            </w:r>
          </w:p>
        </w:tc>
        <w:tc>
          <w:tcPr/>
          <w:p>
            <w:pPr>
              <w:pStyle w:val="Compact"/>
            </w:pPr>
            <w:r>
              <w:t xml:space="preserve">PASS</w:t>
            </w:r>
          </w:p>
        </w:tc>
        <w:tc>
          <w:tcPr/>
          <w:p>
            <w:pPr>
              <w:pStyle w:val="Compact"/>
            </w:pPr>
            <w:r>
              <w:t xml:space="preserve">probability std 0.293, range 0.01-0.99</w:t>
            </w:r>
          </w:p>
        </w:tc>
      </w:tr>
      <w:tr>
        <w:tc>
          <w:tcPr/>
          <w:p>
            <w:pPr>
              <w:pStyle w:val="Compact"/>
            </w:pPr>
            <w:r>
              <w:t xml:space="preserve">BBB ranks permeable drugs above non-permeable ones (external, unseen)</w:t>
            </w:r>
          </w:p>
        </w:tc>
        <w:tc>
          <w:tcPr/>
          <w:p>
            <w:pPr>
              <w:pStyle w:val="Compact"/>
            </w:pPr>
            <w:r>
              <w:t xml:space="preserve">PASS</w:t>
            </w:r>
          </w:p>
        </w:tc>
        <w:tc>
          <w:tcPr/>
          <w:p>
            <w:pPr>
              <w:pStyle w:val="Compact"/>
            </w:pPr>
            <w:r>
              <w:t xml:space="preserve">n=227 (165 permeable), AUROC 0.767, Mann-Whitney p=3.12e-10</w:t>
            </w:r>
          </w:p>
        </w:tc>
      </w:tr>
      <w:tr>
        <w:tc>
          <w:tcPr/>
          <w:p>
            <w:pPr>
              <w:pStyle w:val="Compact"/>
            </w:pPr>
            <w:r>
              <w:t xml:space="preserve">The domain flag separates non-drug-like chemistry from unseen drugs</w:t>
            </w:r>
          </w:p>
        </w:tc>
        <w:tc>
          <w:tcPr/>
          <w:p>
            <w:pPr>
              <w:pStyle w:val="Compact"/>
            </w:pPr>
            <w:r>
              <w:t xml:space="preserve">PASS</w:t>
            </w:r>
          </w:p>
        </w:tc>
        <w:tc>
          <w:tcPr/>
          <w:p>
            <w:pPr>
              <w:pStyle w:val="Compact"/>
            </w:pPr>
            <w:r>
              <w:t xml:space="preserve">median max-similarity: unseen drugs 0.57 vs non-drug-like 0.47 (n=25), Mann-Whitney p=1.82e-03; only 20% of non-drug-like structures fall below the AD_THRESHOLD of 0.3. Controls are restricted to chemistry genuinely absent from the reference: 28 of the original controls are measured compounds in the library, where in-domain is correct</w:t>
            </w:r>
          </w:p>
        </w:tc>
      </w:tr>
    </w:tbl>
    <w:p>
      <w:pPr>
        <w:pStyle w:val="BodyText"/>
      </w:pPr>
      <w:r>
        <w:t xml:space="preserve">All six pass, but one of them passes only after its controls were corrected, and the distinction</w:t>
      </w:r>
      <w:r>
        <w:t xml:space="preserve"> </w:t>
      </w:r>
      <w:r>
        <w:t xml:space="preserve">matters. The domain-flag check previously failed because 28 of its controls were measured compounds</w:t>
      </w:r>
      <w:r>
        <w:t xml:space="preserve"> </w:t>
      </w:r>
      <w:r>
        <w:t xml:space="preserve">inside the flag’s own reference library, where in-domain is the truthful answer. The passing</w:t>
      </w:r>
      <w:r>
        <w:t xml:space="preserve"> </w:t>
      </w:r>
      <w:r>
        <w:t xml:space="preserve">criterion was not moved. Section 8.2 sets out the change and what it does not repair: the flag is a</w:t>
      </w:r>
      <w:r>
        <w:t xml:space="preserve"> </w:t>
      </w:r>
      <w:r>
        <w:t xml:space="preserve">weak signal, and the conformal interval and the nearest-analogue distance remain the stronger</w:t>
      </w:r>
      <w:r>
        <w:t xml:space="preserve"> </w:t>
      </w:r>
      <w:r>
        <w:t xml:space="preserve">statements of confidence.</w:t>
      </w:r>
    </w:p>
    <w:bookmarkEnd w:id="54"/>
    <w:bookmarkStart w:id="55" w:name="the-falsification-suite"/>
    <w:p>
      <w:pPr>
        <w:pStyle w:val="Heading3"/>
      </w:pPr>
      <w:r>
        <w:t xml:space="preserve">6.7 The falsification suite</w:t>
      </w:r>
    </w:p>
    <w:p>
      <w:pPr>
        <w:pStyle w:val="FirstParagraph"/>
      </w:pPr>
      <w:r>
        <w:t xml:space="preserve">Cross-validation asks how well a model scores. It cannot ask whether the thing the system claims to</w:t>
      </w:r>
      <w:r>
        <w:t xml:space="preserve"> </w:t>
      </w:r>
      <w:r>
        <w:t xml:space="preserve">do is real. A suite of 10 hypotheses was therefore written, each stating a claim the</w:t>
      </w:r>
      <w:r>
        <w:t xml:space="preserve"> </w:t>
      </w:r>
      <w:r>
        <w:t xml:space="preserve">system makes about itself and each paired with a null model capable of producing the same apparent</w:t>
      </w:r>
      <w:r>
        <w:t xml:space="preserve"> </w:t>
      </w:r>
      <w:r>
        <w:t xml:space="preserve">success by accident, and each was run to</w:t>
      </w:r>
      <w:r>
        <w:t xml:space="preserve"> </w:t>
      </w:r>
      <w:r>
        <w:t xml:space="preserve">see whether it survived. A test that cannot fail is not evidence, so the suite was designed to be</w:t>
      </w:r>
      <w:r>
        <w:t xml:space="preserve"> </w:t>
      </w:r>
      <w:r>
        <w:t xml:space="preserve">able to embarrass the tool, and it did:</w:t>
      </w:r>
      <w:r>
        <w:t xml:space="preserve"> </w:t>
      </w:r>
      <w:r>
        <w:rPr>
          <w:b/>
          <w:bCs/>
        </w:rPr>
        <w:t xml:space="preserve">4 of the 10 hypotheses were refuted and only</w:t>
      </w:r>
      <w:r>
        <w:rPr>
          <w:b/>
          <w:bCs/>
        </w:rPr>
        <w:t xml:space="preserve"> </w:t>
      </w:r>
      <w:r>
        <w:rPr>
          <w:b/>
          <w:bCs/>
        </w:rPr>
        <w:t xml:space="preserve">4 were supported outright.</w:t>
      </w:r>
    </w:p>
    <w:p>
      <w:pPr>
        <w:pStyle w:val="BodyText"/>
      </w:pPr>
      <w:r>
        <w:t xml:space="preserve">The refutations are the most useful output this project has produced, and they changed the design.</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hypothesis</w:t>
            </w:r>
          </w:p>
        </w:tc>
        <w:tc>
          <w:tcPr>
            <w:shd w:val="clear" w:fill="EAF0F7"/>
          </w:tcPr>
          <w:p>
            <w:pPr>
              <w:pStyle w:val="Compact"/>
            </w:pPr>
            <w:r>
              <w:rPr>
                <w:b/>
                <w:sz w:val="17"/>
              </w:rPr>
              <w:t xml:space="preserve">verdict</w:t>
            </w:r>
          </w:p>
        </w:tc>
        <w:tc>
          <w:tcPr>
            <w:shd w:val="clear" w:fill="EAF0F7"/>
          </w:tcPr>
          <w:p>
            <w:pPr>
              <w:pStyle w:val="Compact"/>
            </w:pPr>
            <w:r>
              <w:rPr>
                <w:b/>
                <w:sz w:val="17"/>
              </w:rPr>
              <w:t xml:space="preserve">what was measured</w:t>
            </w:r>
          </w:p>
        </w:tc>
      </w:tr>
      <w:tr>
        <w:tc>
          <w:tcPr/>
          <w:p>
            <w:pPr>
              <w:pStyle w:val="Compact"/>
            </w:pPr>
            <w:r>
              <w:t xml:space="preserve">H1 the disease score is informative</w:t>
            </w:r>
          </w:p>
        </w:tc>
        <w:tc>
          <w:tcPr/>
          <w:p>
            <w:pPr>
              <w:pStyle w:val="Compact"/>
            </w:pPr>
            <w:r>
              <w:t xml:space="preserve">SUPPORTED</w:t>
            </w:r>
          </w:p>
        </w:tc>
        <w:tc>
          <w:tcPr/>
          <w:p>
            <w:pPr>
              <w:pStyle w:val="Compact"/>
            </w:pPr>
            <w:r>
              <w:t xml:space="preserve">top-3 accuracy 0.790 vs permutation null 0.163 (p=0.005) and frequency null 0.551</w:t>
            </w:r>
          </w:p>
        </w:tc>
      </w:tr>
      <w:tr>
        <w:tc>
          <w:tcPr/>
          <w:p>
            <w:pPr>
              <w:pStyle w:val="Compact"/>
            </w:pPr>
            <w:r>
              <w:t xml:space="preserve">H2 the curated edge weights add value</w:t>
            </w:r>
          </w:p>
        </w:tc>
        <w:tc>
          <w:tcPr/>
          <w:p>
            <w:pPr>
              <w:pStyle w:val="Compact"/>
            </w:pPr>
            <w:r>
              <w:t xml:space="preserve">REFUTED</w:t>
            </w:r>
          </w:p>
        </w:tc>
        <w:tc>
          <w:tcPr/>
          <w:p>
            <w:pPr>
              <w:pStyle w:val="Compact"/>
            </w:pPr>
            <w:r>
              <w:t xml:space="preserve">curated 0.7901, uniform 0.7897, permuted 0.7874</w:t>
            </w:r>
          </w:p>
        </w:tc>
      </w:tr>
      <w:tr>
        <w:tc>
          <w:tcPr/>
          <w:p>
            <w:pPr>
              <w:pStyle w:val="Compact"/>
            </w:pPr>
            <w:r>
              <w:t xml:space="preserve">H3 BBB gating discriminates between diseases</w:t>
            </w:r>
          </w:p>
        </w:tc>
        <w:tc>
          <w:tcPr/>
          <w:p>
            <w:pPr>
              <w:pStyle w:val="Compact"/>
            </w:pPr>
            <w:r>
              <w:t xml:space="preserve">REFUTED (by construction)</w:t>
            </w:r>
          </w:p>
        </w:tc>
        <w:tc>
          <w:tcPr/>
          <w:p>
            <w:pPr>
              <w:pStyle w:val="Compact"/>
            </w:pPr>
            <w:r>
              <w:t xml:space="preserve">the gate multiplies every disease equally and cannot change their order</w:t>
            </w:r>
          </w:p>
        </w:tc>
      </w:tr>
      <w:tr>
        <w:tc>
          <w:tcPr/>
          <w:p>
            <w:pPr>
              <w:pStyle w:val="Compact"/>
            </w:pPr>
            <w:r>
              <w:t xml:space="preserve">H4 specificity transfers to novel chemistry</w:t>
            </w:r>
          </w:p>
        </w:tc>
        <w:tc>
          <w:tcPr/>
          <w:p>
            <w:pPr>
              <w:pStyle w:val="Compact"/>
            </w:pPr>
            <w:r>
              <w:t xml:space="preserve">SUPPORTED</w:t>
            </w:r>
          </w:p>
        </w:tc>
        <w:tc>
          <w:tcPr/>
          <w:p>
            <w:pPr>
              <w:pStyle w:val="Compact"/>
            </w:pPr>
            <w:r>
              <w:t xml:space="preserve">false-positive rate 0.016 on 61 distant compounds against 0.075 measured on library chemistry</w:t>
            </w:r>
          </w:p>
        </w:tc>
      </w:tr>
      <w:tr>
        <w:tc>
          <w:tcPr/>
          <w:p>
            <w:pPr>
              <w:pStyle w:val="Compact"/>
            </w:pPr>
            <w:r>
              <w:t xml:space="preserve">H5 read-across beats a frequency baseline</w:t>
            </w:r>
          </w:p>
        </w:tc>
        <w:tc>
          <w:tcPr/>
          <w:p>
            <w:pPr>
              <w:pStyle w:val="Compact"/>
            </w:pPr>
            <w:r>
              <w:t xml:space="preserve">SUPPORTED</w:t>
            </w:r>
          </w:p>
        </w:tc>
        <w:tc>
          <w:tcPr/>
          <w:p>
            <w:pPr>
              <w:pStyle w:val="Compact"/>
            </w:pPr>
            <w:r>
              <w:t xml:space="preserve">recall 0.973 against 0.059</w:t>
            </w:r>
          </w:p>
        </w:tc>
      </w:tr>
      <w:tr>
        <w:tc>
          <w:tcPr/>
          <w:p>
            <w:pPr>
              <w:pStyle w:val="Compact"/>
            </w:pPr>
            <w:r>
              <w:t xml:space="preserve">H6 the disease scores match real clinical indications</w:t>
            </w:r>
          </w:p>
        </w:tc>
        <w:tc>
          <w:tcPr/>
          <w:p>
            <w:pPr>
              <w:pStyle w:val="Compact"/>
            </w:pPr>
            <w:r>
              <w:t xml:space="preserve">WEAKENED</w:t>
            </w:r>
          </w:p>
        </w:tc>
        <w:tc>
          <w:tcPr/>
          <w:p>
            <w:pPr>
              <w:pStyle w:val="Compact"/>
            </w:pPr>
            <w:r>
              <w:t xml:space="preserve">top-3 accuracy 0.352 on 162 drugs never seen in training, against permutation null 0.145 (p=0.001) and frequency null 0.654</w:t>
            </w:r>
          </w:p>
        </w:tc>
      </w:tr>
      <w:tr>
        <w:tc>
          <w:tcPr/>
          <w:p>
            <w:pPr>
              <w:pStyle w:val="Compact"/>
            </w:pPr>
            <w:r>
              <w:t xml:space="preserve">H7 some panel targets are non-discriminative and explain the silent antiepileptics</w:t>
            </w:r>
          </w:p>
        </w:tc>
        <w:tc>
          <w:tcPr/>
          <w:p>
            <w:pPr>
              <w:pStyle w:val="Compact"/>
            </w:pPr>
            <w:r>
              <w:t xml:space="preserve">REFUTED</w:t>
            </w:r>
          </w:p>
        </w:tc>
        <w:tc>
          <w:tcPr/>
          <w:p>
            <w:pPr>
              <w:pStyle w:val="Compact"/>
            </w:pPr>
            <w:r>
              <w:t xml:space="preserve">none of 37 targets ranks below AUROC 0.70; the cause is the operating point, with median deployed sensitivity 0.79 and 6 targets under 0.50</w:t>
            </w:r>
          </w:p>
        </w:tc>
      </w:tr>
      <w:tr>
        <w:tc>
          <w:tcPr/>
          <w:p>
            <w:pPr>
              <w:pStyle w:val="Compact"/>
            </w:pPr>
            <w:r>
              <w:t xml:space="preserve">H8 engaged targets are independent observations</w:t>
            </w:r>
          </w:p>
        </w:tc>
        <w:tc>
          <w:tcPr/>
          <w:p>
            <w:pPr>
              <w:pStyle w:val="Compact"/>
            </w:pPr>
            <w:r>
              <w:t xml:space="preserve">REFUTED</w:t>
            </w:r>
          </w:p>
        </w:tc>
        <w:tc>
          <w:tcPr/>
          <w:p>
            <w:pPr>
              <w:pStyle w:val="Compact"/>
            </w:pPr>
            <w:r>
              <w:t xml:space="preserve">37 targets fire across approved drugs but span only 16 independent directions; 5 homologous pairs correlate above 0.5</w:t>
            </w:r>
          </w:p>
        </w:tc>
      </w:tr>
      <w:tr>
        <w:tc>
          <w:tcPr/>
          <w:p>
            <w:pPr>
              <w:pStyle w:val="Compact"/>
            </w:pPr>
            <w:r>
              <w:t xml:space="preserve">H9 the disease layer discriminates between compounds, not just between base rates</w:t>
            </w:r>
          </w:p>
        </w:tc>
        <w:tc>
          <w:tcPr/>
          <w:p>
            <w:pPr>
              <w:pStyle w:val="Compact"/>
            </w:pPr>
            <w:r>
              <w:t xml:space="preserve">SUPPORTED</w:t>
            </w:r>
          </w:p>
        </w:tc>
        <w:tc>
          <w:tcPr/>
          <w:p>
            <w:pPr>
              <w:pStyle w:val="Compact"/>
            </w:pPr>
            <w:r>
              <w:t xml:space="preserve">mean per-indication AUROC 0.616 against 0.500 for any constant predictor, beating chance on 7 of 9 indications; macro-averaged top-3 recall 0.358 against 0.333</w:t>
            </w:r>
          </w:p>
        </w:tc>
      </w:tr>
      <w:tr>
        <w:tc>
          <w:tcPr/>
          <w:p>
            <w:pPr>
              <w:pStyle w:val="Compact"/>
            </w:pPr>
            <w:r>
              <w:t xml:space="preserve">H10 the barrier model earns its place over a descriptor rule</w:t>
            </w:r>
          </w:p>
        </w:tc>
        <w:tc>
          <w:tcPr/>
          <w:p>
            <w:pPr>
              <w:pStyle w:val="Compact"/>
            </w:pPr>
            <w:r>
              <w:t xml:space="preserve">WEAKENED</w:t>
            </w:r>
          </w:p>
        </w:tc>
        <w:tc>
          <w:tcPr/>
          <w:p>
            <w:pPr>
              <w:pStyle w:val="Compact"/>
            </w:pPr>
            <w:r>
              <w:t xml:space="preserve">on unseen approved drugs the deployed forest scores 0.7666 against 0.7431 for a forest on the twelve descriptors alone, a margin of -0.0235 whose bootstrap interval reaches +0.0154</w:t>
            </w:r>
          </w:p>
        </w:tc>
      </w:tr>
    </w:tbl>
    <w:p>
      <w:pPr>
        <w:pStyle w:val="BodyText"/>
      </w:pPr>
      <w:r>
        <w:rPr>
          <w:b/>
          <w:bCs/>
        </w:rPr>
        <w:t xml:space="preserve">What each refutation cost, and what was done about it.</w:t>
      </w:r>
    </w:p>
    <w:p>
      <w:pPr>
        <w:pStyle w:val="Compact"/>
        <w:numPr>
          <w:ilvl w:val="0"/>
          <w:numId w:val="1007"/>
        </w:numPr>
      </w:pPr>
      <w:r>
        <w:rPr>
          <w:b/>
          <w:bCs/>
        </w:rPr>
        <w:t xml:space="preserve">H2, the curated edge weights add nothing.</w:t>
      </w:r>
      <w:r>
        <w:t xml:space="preserve"> </w:t>
      </w:r>
      <w:r>
        <w:t xml:space="preserve">The pathway graph’s hand-assigned weights were</w:t>
      </w:r>
      <w:r>
        <w:t xml:space="preserve"> </w:t>
      </w:r>
      <w:r>
        <w:t xml:space="preserve">expected to carry information. Replacing them with uniform weights, or with randomly permuted</w:t>
      </w:r>
      <w:r>
        <w:t xml:space="preserve"> </w:t>
      </w:r>
      <w:r>
        <w:t xml:space="preserve">ones, changes top-3 accuracy in the third decimal place. The predictive content lies in the graph’s</w:t>
      </w:r>
      <w:r>
        <w:t xml:space="preserve"> </w:t>
      </w:r>
      <w:r>
        <w:rPr>
          <w:i/>
          <w:iCs/>
        </w:rPr>
        <w:t xml:space="preserve">topology</w:t>
      </w:r>
      <w:r>
        <w:t xml:space="preserve">, in which target connects to which condition, not in how strongly. The weights are</w:t>
      </w:r>
      <w:r>
        <w:t xml:space="preserve"> </w:t>
      </w:r>
      <w:r>
        <w:t xml:space="preserve">therefore reported as structure rather than as tuned parameters, and no claim is made for them.</w:t>
      </w:r>
    </w:p>
    <w:p>
      <w:pPr>
        <w:pStyle w:val="Compact"/>
        <w:numPr>
          <w:ilvl w:val="0"/>
          <w:numId w:val="1007"/>
        </w:numPr>
      </w:pPr>
      <w:r>
        <w:rPr>
          <w:b/>
          <w:bCs/>
        </w:rPr>
        <w:t xml:space="preserve">H3, barrier gating cannot discriminate between diseases.</w:t>
      </w:r>
      <w:r>
        <w:t xml:space="preserve"> </w:t>
      </w:r>
      <w:r>
        <w:t xml:space="preserve">This one is refuted by construction,</w:t>
      </w:r>
      <w:r>
        <w:t xml:space="preserve"> </w:t>
      </w:r>
      <w:r>
        <w:t xml:space="preserve">which is worth stating plainly: the gate multiplies every disease score by the same barrier</w:t>
      </w:r>
      <w:r>
        <w:t xml:space="preserve"> </w:t>
      </w:r>
      <w:r>
        <w:t xml:space="preserve">probability, so it can raise or lower them together but can never change their order. Gating</w:t>
      </w:r>
      <w:r>
        <w:t xml:space="preserve"> </w:t>
      </w:r>
      <w:r>
        <w:t xml:space="preserve">decides</w:t>
      </w:r>
      <w:r>
        <w:t xml:space="preserve"> </w:t>
      </w:r>
      <w:r>
        <w:rPr>
          <w:i/>
          <w:iCs/>
        </w:rPr>
        <w:t xml:space="preserve">whether</w:t>
      </w:r>
      <w:r>
        <w:t xml:space="preserve"> </w:t>
      </w:r>
      <w:r>
        <w:t xml:space="preserve">to report, not</w:t>
      </w:r>
      <w:r>
        <w:t xml:space="preserve"> </w:t>
      </w:r>
      <w:r>
        <w:rPr>
          <w:i/>
          <w:iCs/>
        </w:rPr>
        <w:t xml:space="preserve">which</w:t>
      </w:r>
      <w:r>
        <w:t xml:space="preserve"> </w:t>
      </w:r>
      <w:r>
        <w:t xml:space="preserve">condition. Presenting it as though it discriminated</w:t>
      </w:r>
      <w:r>
        <w:t xml:space="preserve"> </w:t>
      </w:r>
      <w:r>
        <w:t xml:space="preserve">between conditions would be a misrepresentation of arithmetic.</w:t>
      </w:r>
    </w:p>
    <w:p>
      <w:pPr>
        <w:pStyle w:val="Compact"/>
        <w:numPr>
          <w:ilvl w:val="0"/>
          <w:numId w:val="1007"/>
        </w:numPr>
      </w:pPr>
      <w:r>
        <w:rPr>
          <w:b/>
          <w:bCs/>
        </w:rPr>
        <w:t xml:space="preserve">H7, the silent antiepileptics are explained by weak targets.</w:t>
      </w:r>
      <w:r>
        <w:t xml:space="preserve"> </w:t>
      </w:r>
      <w:r>
        <w:t xml:space="preserve">Several antiepileptic drugs return</w:t>
      </w:r>
      <w:r>
        <w:t xml:space="preserve"> </w:t>
      </w:r>
      <w:r>
        <w:t xml:space="preserve">no call, and the natural suspicion was that some panel targets are simply non-discriminative. They</w:t>
      </w:r>
      <w:r>
        <w:t xml:space="preserve"> </w:t>
      </w:r>
      <w:r>
        <w:t xml:space="preserve">are not: no target ranks below AUROC 0.70. The cause is the operating point rather than the model,</w:t>
      </w:r>
      <w:r>
        <w:t xml:space="preserve"> </w:t>
      </w:r>
      <w:r>
        <w:t xml:space="preserve">which is a different problem with a different remedy.</w:t>
      </w:r>
    </w:p>
    <w:p>
      <w:pPr>
        <w:pStyle w:val="Compact"/>
        <w:numPr>
          <w:ilvl w:val="0"/>
          <w:numId w:val="1007"/>
        </w:numPr>
      </w:pPr>
      <w:r>
        <w:rPr>
          <w:b/>
          <w:bCs/>
        </w:rPr>
        <w:t xml:space="preserve">H8, engaged targets are independent observations.</w:t>
      </w:r>
      <w:r>
        <w:t xml:space="preserve"> </w:t>
      </w:r>
      <w:r>
        <w:t xml:space="preserve">They are not. Targets fire in correlated</w:t>
      </w:r>
      <w:r>
        <w:t xml:space="preserve"> </w:t>
      </w:r>
      <w:r>
        <w:t xml:space="preserve">families, so counting them overstates the evidence. This is why the interface reports the number of</w:t>
      </w:r>
      <w:r>
        <w:t xml:space="preserve"> </w:t>
      </w:r>
      <w:r>
        <w:rPr>
          <w:i/>
          <w:iCs/>
        </w:rPr>
        <w:t xml:space="preserve">independent mechanisms</w:t>
      </w:r>
      <w:r>
        <w:t xml:space="preserve"> </w:t>
      </w:r>
      <w:r>
        <w:t xml:space="preserve">beside the raw count, and why the disease score takes the strongest</w:t>
      </w:r>
      <w:r>
        <w:t xml:space="preserve"> </w:t>
      </w:r>
      <w:r>
        <w:t xml:space="preserve">engaged mechanism rather than summing.</w:t>
      </w:r>
    </w:p>
    <w:p>
      <w:pPr>
        <w:pStyle w:val="FirstParagraph"/>
      </w:pPr>
      <w:r>
        <w:t xml:space="preserve">Read-only by construction: nothing in this suite writes to</w:t>
      </w:r>
      <w:r>
        <w:t xml:space="preserve"> </w:t>
      </w:r>
      <w:r>
        <w:rPr>
          <w:rStyle w:val="VerbatimChar"/>
        </w:rPr>
        <w:t xml:space="preserve">models_rf/</w:t>
      </w:r>
      <w:r>
        <w:t xml:space="preserve">,</w:t>
      </w:r>
      <w:r>
        <w:t xml:space="preserve"> </w:t>
      </w:r>
      <w:r>
        <w:rPr>
          <w:rStyle w:val="VerbatimChar"/>
        </w:rPr>
        <w:t xml:space="preserve">data/</w:t>
      </w:r>
      <w:r>
        <w:t xml:space="preserve"> </w:t>
      </w:r>
      <w:r>
        <w:t xml:space="preserve">or the application,</w:t>
      </w:r>
      <w:r>
        <w:t xml:space="preserve"> </w:t>
      </w:r>
      <w:r>
        <w:t xml:space="preserve">and its outputs live under</w:t>
      </w:r>
      <w:r>
        <w:t xml:space="preserve"> </w:t>
      </w:r>
      <w:r>
        <w:rPr>
          <w:rStyle w:val="VerbatimChar"/>
        </w:rPr>
        <w:t xml:space="preserve">inversion/</w:t>
      </w:r>
      <w:r>
        <w:t xml:space="preserve"> </w:t>
      </w:r>
      <w:r>
        <w:t xml:space="preserve">so that a falsification can never be mistaken for a</w:t>
      </w:r>
      <w:r>
        <w:t xml:space="preserve"> </w:t>
      </w:r>
      <w:r>
        <w:t xml:space="preserve">validation.</w:t>
      </w:r>
    </w:p>
    <w:bookmarkEnd w:id="55"/>
    <w:bookmarkStart w:id="56" w:name="the-software-test-suite"/>
    <w:p>
      <w:pPr>
        <w:pStyle w:val="Heading3"/>
      </w:pPr>
      <w:r>
        <w:t xml:space="preserve">6.8 The software test suite</w:t>
      </w:r>
    </w:p>
    <w:p>
      <w:pPr>
        <w:pStyle w:val="FirstParagraph"/>
      </w:pPr>
      <w:r>
        <w:t xml:space="preserve">Validation asks whether the science is right. Tests ask whether the code still does what the science</w:t>
      </w:r>
      <w:r>
        <w:t xml:space="preserve"> </w:t>
      </w:r>
      <w:r>
        <w:t xml:space="preserve">assumed, and they run on every commit. There are</w:t>
      </w:r>
      <w:r>
        <w:t xml:space="preserve"> </w:t>
      </w:r>
      <w:r>
        <w:rPr>
          <w:b/>
          <w:bCs/>
        </w:rPr>
        <w:t xml:space="preserve">44 tests with 53 subtests</w:t>
      </w:r>
      <w:r>
        <w:t xml:space="preserve">, and they are not</w:t>
      </w:r>
      <w:r>
        <w:t xml:space="preserve"> </w:t>
      </w:r>
      <w:r>
        <w:t xml:space="preserve">tests of</w:t>
      </w:r>
      <w:r>
        <w:t xml:space="preserve"> </w:t>
      </w:r>
      <w:r>
        <w:t xml:space="preserve">“does it run”</w:t>
      </w:r>
      <w:r>
        <w:t xml:space="preserve">: each pins a property whose loss would change a published number without</w:t>
      </w:r>
      <w:r>
        <w:t xml:space="preserve"> </w:t>
      </w:r>
      <w:r>
        <w:t xml:space="preserve">raising an error, and most correspond to a defect that actually occurred.</w:t>
      </w:r>
    </w:p>
    <w:tbl>
      <w:tblPr>
        <w:tblStyle w:val="Table"/>
        <w:tblW w:type="pct" w:w="5000"/>
        <w:jc w:val="center"/>
        <w:tblLayout w:type="autofit"/>
        <w:tblLook w:firstRow="1" w:lastRow="0" w:firstColumn="0" w:lastColumn="0" w:noHBand="0" w:noVBand="0" w:val="0020"/>
        <w:tblLayout w:type="autofit"/>
      </w:tblPr>
      <w:tblGrid>
        <w:gridCol w:w="2640"/>
        <w:gridCol w:w="2640"/>
        <w:gridCol w:w="2640"/>
      </w:tblGrid>
      <w:tr>
        <w:trPr>
          <w:tblHeader w:val="on"/>
          <w:tblHeader w:val="true"/>
        </w:trPr>
        <w:tc>
          <w:tcPr>
            <w:shd w:val="clear" w:fill="EAF0F7"/>
          </w:tcPr>
          <w:p>
            <w:pPr>
              <w:pStyle w:val="Compact"/>
            </w:pPr>
            <w:r>
              <w:rPr>
                <w:b/>
                <w:sz w:val="17"/>
              </w:rPr>
              <w:t xml:space="preserve">Group</w:t>
            </w:r>
          </w:p>
        </w:tc>
        <w:tc>
          <w:tcPr>
            <w:shd w:val="clear" w:fill="EAF0F7"/>
          </w:tcPr>
          <w:p>
            <w:pPr>
              <w:pStyle w:val="Compact"/>
            </w:pPr>
            <w:r>
              <w:rPr>
                <w:b/>
                <w:sz w:val="17"/>
              </w:rPr>
              <w:t xml:space="preserve">Tests</w:t>
            </w:r>
          </w:p>
        </w:tc>
        <w:tc>
          <w:tcPr>
            <w:shd w:val="clear" w:fill="EAF0F7"/>
          </w:tcPr>
          <w:p>
            <w:pPr>
              <w:pStyle w:val="Compact"/>
            </w:pPr>
            <w:r>
              <w:rPr>
                <w:b/>
                <w:sz w:val="17"/>
              </w:rPr>
              <w:t xml:space="preserve">What it pins</w:t>
            </w:r>
          </w:p>
        </w:tc>
      </w:tr>
      <w:tr>
        <w:tc>
          <w:tcPr/>
          <w:p>
            <w:pPr>
              <w:pStyle w:val="Compact"/>
            </w:pPr>
            <w:r>
              <w:rPr>
                <w:rStyle w:val="VerbatimChar"/>
              </w:rPr>
              <w:t xml:space="preserve">TestShape</w:t>
            </w:r>
            <w:r>
              <w:t xml:space="preserve">,</w:t>
            </w:r>
            <w:r>
              <w:t xml:space="preserve"> </w:t>
            </w:r>
            <w:r>
              <w:rPr>
                <w:rStyle w:val="VerbatimChar"/>
              </w:rPr>
              <w:t xml:space="preserve">TestPurity</w:t>
            </w:r>
          </w:p>
        </w:tc>
        <w:tc>
          <w:tcPr/>
          <w:p>
            <w:pPr>
              <w:pStyle w:val="Compact"/>
            </w:pPr>
            <w:r>
              <w:t xml:space="preserve">8</w:t>
            </w:r>
          </w:p>
        </w:tc>
        <w:tc>
          <w:tcPr/>
          <w:p>
            <w:pPr>
              <w:pStyle w:val="Compact"/>
            </w:pPr>
            <w:r>
              <w:t xml:space="preserve">the feature vector is 1,036 columns and is a pure function of the structure, identical alone or in a batch and under reordering</w:t>
            </w:r>
          </w:p>
        </w:tc>
      </w:tr>
      <w:tr>
        <w:tc>
          <w:tcPr/>
          <w:p>
            <w:pPr>
              <w:pStyle w:val="Compact"/>
            </w:pPr>
            <w:r>
              <w:rPr>
                <w:rStyle w:val="VerbatimChar"/>
              </w:rPr>
              <w:t xml:space="preserve">TestParentAndStereo</w:t>
            </w:r>
          </w:p>
        </w:tc>
        <w:tc>
          <w:tcPr/>
          <w:p>
            <w:pPr>
              <w:pStyle w:val="Compact"/>
            </w:pPr>
            <w:r>
              <w:t xml:space="preserve">4</w:t>
            </w:r>
          </w:p>
        </w:tc>
        <w:tc>
          <w:tcPr/>
          <w:p>
            <w:pPr>
              <w:pStyle w:val="Compact"/>
            </w:pPr>
            <w:r>
              <w:t xml:space="preserve">salts reduce to their free base and give identical vectors; a permanent charge survives; enantiomers collide, which is pinned as a known limitation</w:t>
            </w:r>
          </w:p>
        </w:tc>
      </w:tr>
      <w:tr>
        <w:tc>
          <w:tcPr/>
          <w:p>
            <w:pPr>
              <w:pStyle w:val="Compact"/>
            </w:pPr>
            <w:r>
              <w:rPr>
                <w:rStyle w:val="VerbatimChar"/>
              </w:rPr>
              <w:t xml:space="preserve">TestDeduplication</w:t>
            </w:r>
          </w:p>
        </w:tc>
        <w:tc>
          <w:tcPr/>
          <w:p>
            <w:pPr>
              <w:pStyle w:val="Compact"/>
            </w:pPr>
            <w:r>
              <w:t xml:space="preserve">4</w:t>
            </w:r>
          </w:p>
        </w:tc>
        <w:tc>
          <w:tcPr/>
          <w:p>
            <w:pPr>
              <w:pStyle w:val="Compact"/>
            </w:pPr>
            <w:r>
              <w:t xml:space="preserve">rows identical in feature space collapse, contradictory groups are dropped rather than voted on, and both happen before any split</w:t>
            </w:r>
          </w:p>
        </w:tc>
      </w:tr>
      <w:tr>
        <w:tc>
          <w:tcPr/>
          <w:p>
            <w:pPr>
              <w:pStyle w:val="Compact"/>
            </w:pPr>
            <w:r>
              <w:rPr>
                <w:rStyle w:val="VerbatimChar"/>
              </w:rPr>
              <w:t xml:space="preserve">TestBackgroundPools</w:t>
            </w:r>
          </w:p>
        </w:tc>
        <w:tc>
          <w:tcPr/>
          <w:p>
            <w:pPr>
              <w:pStyle w:val="Compact"/>
            </w:pPr>
            <w:r>
              <w:t xml:space="preserve">5</w:t>
            </w:r>
          </w:p>
        </w:tc>
        <w:tc>
          <w:tcPr/>
          <w:p>
            <w:pPr>
              <w:pStyle w:val="Compact"/>
            </w:pPr>
            <w:r>
              <w:t xml:space="preserve">the three background pools are disjoint and pool membership is a pure function of the structure, so a threshold set on one and measured on another stays honest across machines</w:t>
            </w:r>
          </w:p>
        </w:tc>
      </w:tr>
      <w:tr>
        <w:tc>
          <w:tcPr/>
          <w:p>
            <w:pPr>
              <w:pStyle w:val="Compact"/>
            </w:pPr>
            <w:r>
              <w:rPr>
                <w:rStyle w:val="VerbatimChar"/>
              </w:rPr>
              <w:t xml:space="preserve">TestCensoredLabelRule</w:t>
            </w:r>
          </w:p>
        </w:tc>
        <w:tc>
          <w:tcPr/>
          <w:p>
            <w:pPr>
              <w:pStyle w:val="Compact"/>
            </w:pPr>
            <w:r>
              <w:t xml:space="preserve">3</w:t>
            </w:r>
          </w:p>
        </w:tc>
        <w:tc>
          <w:tcPr/>
          <w:p>
            <w:pPr>
              <w:pStyle w:val="Compact"/>
            </w:pPr>
            <w:r>
              <w:t xml:space="preserve">a censored bound settles a label only when the whole interval falls one side of the cut</w:t>
            </w:r>
          </w:p>
        </w:tc>
      </w:tr>
      <w:tr>
        <w:tc>
          <w:tcPr/>
          <w:p>
            <w:pPr>
              <w:pStyle w:val="Compact"/>
            </w:pPr>
            <w:r>
              <w:rPr>
                <w:rStyle w:val="VerbatimChar"/>
              </w:rPr>
              <w:t xml:space="preserve">TestDeterminism</w:t>
            </w:r>
          </w:p>
        </w:tc>
        <w:tc>
          <w:tcPr/>
          <w:p>
            <w:pPr>
              <w:pStyle w:val="Compact"/>
            </w:pPr>
            <w:r>
              <w:t xml:space="preserve">2</w:t>
            </w:r>
          </w:p>
        </w:tc>
        <w:tc>
          <w:tcPr/>
          <w:p>
            <w:pPr>
              <w:pStyle w:val="Compact"/>
            </w:pPr>
            <w:r>
              <w:t xml:space="preserve">the declared seed is the one the pipeline uses, and a fixed seed reproduces itself</w:t>
            </w:r>
          </w:p>
        </w:tc>
      </w:tr>
      <w:tr>
        <w:tc>
          <w:tcPr/>
          <w:p>
            <w:pPr>
              <w:pStyle w:val="Compact"/>
            </w:pPr>
            <w:r>
              <w:rPr>
                <w:rStyle w:val="VerbatimChar"/>
              </w:rPr>
              <w:t xml:space="preserve">TestPanelRegistryIsConsistent</w:t>
            </w:r>
          </w:p>
        </w:tc>
        <w:tc>
          <w:tcPr/>
          <w:p>
            <w:pPr>
              <w:pStyle w:val="Compact"/>
            </w:pPr>
            <w:r>
              <w:t xml:space="preserve">5</w:t>
            </w:r>
          </w:p>
        </w:tc>
        <w:tc>
          <w:tcPr/>
          <w:p>
            <w:pPr>
              <w:pStyle w:val="Compact"/>
            </w:pPr>
            <w:r>
              <w:t xml:space="preserve">the registry, the endpoint tables and the fitted models describe one panel; no model predates its training table; no endpoint is withheld without a recorded reason</w:t>
            </w:r>
          </w:p>
        </w:tc>
      </w:tr>
      <w:tr>
        <w:tc>
          <w:tcPr/>
          <w:p>
            <w:pPr>
              <w:pStyle w:val="Compact"/>
            </w:pPr>
            <w:r>
              <w:rPr>
                <w:rStyle w:val="VerbatimChar"/>
              </w:rPr>
              <w:t xml:space="preserve">TestEveryEndpointIsRetrainable</w:t>
            </w:r>
          </w:p>
        </w:tc>
        <w:tc>
          <w:tcPr/>
          <w:p>
            <w:pPr>
              <w:pStyle w:val="Compact"/>
            </w:pPr>
            <w:r>
              <w:t xml:space="preserve">2</w:t>
            </w:r>
          </w:p>
        </w:tc>
        <w:tc>
          <w:tcPr/>
          <w:p>
            <w:pPr>
              <w:pStyle w:val="Compact"/>
            </w:pPr>
            <w:r>
              <w:t xml:space="preserve">every endpoint is claimed by exactly one trainer, and by no more than one</w:t>
            </w:r>
          </w:p>
        </w:tc>
      </w:tr>
      <w:tr>
        <w:tc>
          <w:tcPr/>
          <w:p>
            <w:pPr>
              <w:pStyle w:val="Compact"/>
            </w:pPr>
            <w:r>
              <w:rPr>
                <w:rStyle w:val="VerbatimChar"/>
              </w:rPr>
              <w:t xml:space="preserve">TestThresholdSequenceIsAtomic</w:t>
            </w:r>
          </w:p>
        </w:tc>
        <w:tc>
          <w:tcPr/>
          <w:p>
            <w:pPr>
              <w:pStyle w:val="Compact"/>
            </w:pPr>
            <w:r>
              <w:t xml:space="preserve">2</w:t>
            </w:r>
          </w:p>
        </w:tc>
        <w:tc>
          <w:tcPr/>
          <w:p>
            <w:pPr>
              <w:pStyle w:val="Compact"/>
            </w:pPr>
            <w:r>
              <w:t xml:space="preserve">the four threshold steps stay one unit, and no member depends on a file the sequence itself rewrites</w:t>
            </w:r>
          </w:p>
        </w:tc>
      </w:tr>
      <w:tr>
        <w:tc>
          <w:tcPr/>
          <w:p>
            <w:pPr>
              <w:pStyle w:val="Compact"/>
            </w:pPr>
            <w:r>
              <w:rPr>
                <w:rStyle w:val="VerbatimChar"/>
              </w:rPr>
              <w:t xml:space="preserve">TestDeployedPipeline</w:t>
            </w:r>
          </w:p>
        </w:tc>
        <w:tc>
          <w:tcPr/>
          <w:p>
            <w:pPr>
              <w:pStyle w:val="Compact"/>
            </w:pPr>
            <w:r>
              <w:t xml:space="preserve">9</w:t>
            </w:r>
          </w:p>
        </w:tc>
        <w:tc>
          <w:tcPr/>
          <w:p>
            <w:pPr>
              <w:pStyle w:val="Compact"/>
            </w:pPr>
            <w:r>
              <w:t xml:space="preserve">reference drugs return their known pharmacology; predictions are reproducible to 1e-12; unparseable input is rejected rather than scored; the withdrawal set is what it is claimed to be</w:t>
            </w:r>
          </w:p>
        </w:tc>
      </w:tr>
    </w:tbl>
    <w:p>
      <w:pPr>
        <w:pStyle w:val="BodyText"/>
      </w:pPr>
      <w:r>
        <w:t xml:space="preserve">A pre-commit hook additionally refuses a commit whose artefacts are older than their inputs, or whose</w:t>
      </w:r>
      <w:r>
        <w:t xml:space="preserve"> </w:t>
      </w:r>
      <w:r>
        <w:t xml:space="preserve">panel does not reconcile.</w:t>
      </w:r>
    </w:p>
    <w:bookmarkEnd w:id="56"/>
    <w:bookmarkStart w:id="57" w:name="leakage-and-null-models"/>
    <w:p>
      <w:pPr>
        <w:pStyle w:val="Heading3"/>
      </w:pPr>
      <w:r>
        <w:t xml:space="preserve">6.9 Leakage and null models</w:t>
      </w:r>
    </w:p>
    <w:p>
      <w:pPr>
        <w:pStyle w:val="FirstParagraph"/>
      </w:pPr>
      <w:r>
        <w:rPr>
          <w:b/>
          <w:bCs/>
        </w:rPr>
        <w:t xml:space="preserve">Leakage.</w:t>
      </w:r>
      <w:r>
        <w:t xml:space="preserve"> </w:t>
      </w:r>
      <w:r>
        <w:t xml:space="preserve">Folds were rebuilt and the index sets interrogated directly. On the deduplicated matrix</w:t>
      </w:r>
      <w:r>
        <w:t xml:space="preserve"> </w:t>
      </w:r>
      <w:r>
        <w:t xml:space="preserve">the pipeline fits, no InChIKey, no feature vector and no scaffold appears on both sides of any fold.</w:t>
      </w:r>
      <w:r>
        <w:t xml:space="preserve"> </w:t>
      </w:r>
      <w:r>
        <w:t xml:space="preserve">On the raw endpoint tables, before deduplication, 15,104</w:t>
      </w:r>
      <w:r>
        <w:t xml:space="preserve"> </w:t>
      </w:r>
      <w:r>
        <w:t xml:space="preserve">feature-vector-identical rows exist across the panel, worst at BBB (3,773),</w:t>
      </w:r>
      <w:r>
        <w:t xml:space="preserve"> </w:t>
      </w:r>
      <w:r>
        <w:t xml:space="preserve">which is precisely what deduplication removes; none of them reaches a fitted model</w:t>
      </w:r>
      <w:r>
        <w:t xml:space="preserve"> </w:t>
      </w:r>
      <w:r>
        <w:t xml:space="preserve">(</w:t>
      </w:r>
      <w:r>
        <w:rPr>
          <w:rStyle w:val="VerbatimChar"/>
        </w:rPr>
        <w:t xml:space="preserve">results/tables/inversion_validation.csv</w:t>
      </w:r>
      <w:r>
        <w:t xml:space="preserve">).</w:t>
      </w:r>
    </w:p>
    <w:p>
      <w:pPr>
        <w:pStyle w:val="BodyText"/>
      </w:pPr>
      <w:r>
        <w:rPr>
          <w:b/>
          <w:bCs/>
        </w:rPr>
        <w:t xml:space="preserve">Null models.</w:t>
      </w:r>
      <w:r>
        <w:t xml:space="preserve"> </w:t>
      </w:r>
      <w:r>
        <w:t xml:space="preserve">With labels permuted, the same pipeline on the same folds returns mean AUROC 0.4959</w:t>
      </w:r>
      <w:r>
        <w:t xml:space="preserve"> </w:t>
      </w:r>
      <w:r>
        <w:t xml:space="preserve">random and 0.5026 scaffold over the eight core classifiers, every one of the sixteen values within</w:t>
      </w:r>
      <w:r>
        <w:t xml:space="preserve"> </w:t>
      </w:r>
      <w:r>
        <w:t xml:space="preserve">0.0200 of chance, against margins over each endpoint’s own null of 0.3860 to 0.4887. The smallest</w:t>
      </w:r>
      <w:r>
        <w:t xml:space="preserve"> </w:t>
      </w:r>
      <w:r>
        <w:t xml:space="preserve">margin is 19.3 times the largest departure from chance the null itself produces. Scaffold grouping</w:t>
      </w:r>
      <w:r>
        <w:t xml:space="preserve"> </w:t>
      </w:r>
      <w:r>
        <w:t xml:space="preserve">alone confers nothing: paired by endpoint the scaffold null exceeds the random null by a mean of</w:t>
      </w:r>
      <w:r>
        <w:t xml:space="preserve"> </w:t>
      </w:r>
      <w:r>
        <w:t xml:space="preserve">0.0067, Wilcoxon p = 0.25, and is negative in three of the eight. Whole scaffold classes therefore do</w:t>
      </w:r>
      <w:r>
        <w:t xml:space="preserve"> </w:t>
      </w:r>
      <w:r>
        <w:t xml:space="preserve">not carry enough class-frequency information for a label-free model to beat chance, and the scaffold</w:t>
      </w:r>
      <w:r>
        <w:t xml:space="preserve"> </w:t>
      </w:r>
      <w:r>
        <w:t xml:space="preserve">figures are not inflated by that route. Artefact:</w:t>
      </w:r>
      <w:r>
        <w:t xml:space="preserve"> </w:t>
      </w:r>
      <w:r>
        <w:rPr>
          <w:rStyle w:val="VerbatimChar"/>
        </w:rPr>
        <w:t xml:space="preserve">results/tables/permutation_null.csv</w:t>
      </w:r>
      <w:r>
        <w:t xml:space="preserve">, written by</w:t>
      </w:r>
      <w:r>
        <w:t xml:space="preserve"> </w:t>
      </w:r>
      <w:r>
        <w:rPr>
          <w:rStyle w:val="VerbatimChar"/>
        </w:rPr>
        <w:t xml:space="preserve">src/brainsafe/evaluation/permutation_null.py</w:t>
      </w:r>
      <w:r>
        <w:t xml:space="preserve">, which imports</w:t>
      </w:r>
      <w:r>
        <w:t xml:space="preserve"> </w:t>
      </w:r>
      <w:r>
        <w:rPr>
          <w:rStyle w:val="VerbatimChar"/>
        </w:rPr>
        <w:t xml:space="preserve">train_rf</w:t>
      </w:r>
      <w:r>
        <w:t xml:space="preserve"> </w:t>
      </w:r>
      <w:r>
        <w:t xml:space="preserve">so that the featuriser,</w:t>
      </w:r>
      <w:r>
        <w:t xml:space="preserve"> </w:t>
      </w:r>
      <w:r>
        <w:t xml:space="preserve">deduplication, Bemis-Murcko grouping, fold objects and hyper-parameters are identical by</w:t>
      </w:r>
      <w:r>
        <w:t xml:space="preserve"> </w:t>
      </w:r>
      <w:r>
        <w:t xml:space="preserve">construction rather than by reimplementation.</w:t>
      </w:r>
    </w:p>
    <w:p>
      <w:pPr>
        <w:pStyle w:val="BodyText"/>
      </w:pPr>
      <w:r>
        <w:t xml:space="preserve">An earlier edition of this section reported 0.4938 random and 0.4921 scaffold. Those figures were</w:t>
      </w:r>
      <w:r>
        <w:t xml:space="preserve"> </w:t>
      </w:r>
      <w:r>
        <w:t xml:space="preserve">stated here and held in no file: no artefact contained them and no script computed them, which made</w:t>
      </w:r>
      <w:r>
        <w:t xml:space="preserve"> </w:t>
      </w:r>
      <w:r>
        <w:t xml:space="preserve">the one claim establishing that the cross-validation is not inflated by leakage the one claim a</w:t>
      </w:r>
      <w:r>
        <w:t xml:space="preserve"> </w:t>
      </w:r>
      <w:r>
        <w:t xml:space="preserve">reader could not check. They are corroborated by the values above rather than reproduced by them,</w:t>
      </w:r>
      <w:r>
        <w:t xml:space="preserve"> </w:t>
      </w:r>
      <w:r>
        <w:t xml:space="preserve">because the original run recorded no seed and cannot be re-executed.</w:t>
      </w:r>
    </w:p>
    <w:p>
      <w:pPr>
        <w:pStyle w:val="BodyText"/>
      </w:pPr>
      <w:r>
        <w:rPr>
          <w:b/>
          <w:bCs/>
        </w:rPr>
        <w:t xml:space="preserve">Independent reproduction.</w:t>
      </w:r>
      <w:r>
        <w:t xml:space="preserve"> </w:t>
      </w:r>
      <w:r>
        <w:t xml:space="preserve">The entire cross-validation was re-run from the endpoint tables and</w:t>
      </w:r>
      <w:r>
        <w:t xml:space="preserve"> </w:t>
      </w:r>
      <w:r>
        <w:t xml:space="preserve">scored with separately written metric code. All 26 core values reproduced, maximum deviation</w:t>
      </w:r>
      <w:r>
        <w:t xml:space="preserve"> </w:t>
      </w:r>
      <w:r>
        <w:t xml:space="preserve">4.7 × 10⁻⁵. This figure is reported as recorded at the time; like the null models above it was never</w:t>
      </w:r>
      <w:r>
        <w:t xml:space="preserve"> </w:t>
      </w:r>
      <w:r>
        <w:t xml:space="preserve">written to a file, and unlike them it has not been re-derived.</w:t>
      </w:r>
    </w:p>
    <w:p>
      <w:r>
        <w:pict>
          <v:rect style="width:0;height:1.5pt" o:hralign="center" o:hrstd="t" o:hr="t"/>
        </w:pict>
      </w:r>
    </w:p>
    <w:bookmarkEnd w:id="57"/>
    <w:bookmarkEnd w:id="58"/>
    <w:bookmarkStart w:id="63" w:name="what-if-we-had-done-it-differently"/>
    <w:p>
      <w:pPr>
        <w:pStyle w:val="Heading2"/>
      </w:pPr>
      <w:r>
        <w:t xml:space="preserve">7. What if we had done it differently</w:t>
      </w:r>
    </w:p>
    <w:p>
      <w:pPr>
        <w:pStyle w:val="FirstParagraph"/>
      </w:pPr>
      <w:r>
        <w:t xml:space="preserve">Honest comparison requires measuring the alternatives rather than asserting that the choice was</w:t>
      </w:r>
      <w:r>
        <w:t xml:space="preserve"> </w:t>
      </w:r>
      <w:r>
        <w:t xml:space="preserve">right.</w:t>
      </w:r>
    </w:p>
    <w:bookmarkStart w:id="59" w:name="other-model-families"/>
    <w:p>
      <w:pPr>
        <w:pStyle w:val="Heading3"/>
      </w:pPr>
      <w:r>
        <w:t xml:space="preserve">7.1 Other model families</w:t>
      </w:r>
    </w:p>
    <w:p>
      <w:pPr>
        <w:pStyle w:val="FirstParagraph"/>
      </w:pPr>
      <w:r>
        <w:t xml:space="preserve">Five families were compared under identical cross-validation on both split regimes. Two are</w:t>
      </w:r>
      <w:r>
        <w:t xml:space="preserve"> </w:t>
      </w:r>
      <w:r>
        <w:t xml:space="preserve">baselines a reader is entitled to demand.</w:t>
      </w:r>
    </w:p>
    <w:tbl>
      <w:tblPr>
        <w:tblStyle w:val="Table"/>
        <w:tblW w:type="pct" w:w="5000"/>
        <w:jc w:val="center"/>
        <w:tblLayout w:type="autofit"/>
        <w:tblLook w:firstRow="1" w:lastRow="0" w:firstColumn="0" w:lastColumn="0" w:noHBand="0" w:noVBand="0" w:val="0020"/>
        <w:tblLayout w:type="autofit"/>
      </w:tblPr>
      <w:tblGrid>
        <w:gridCol w:w="1320"/>
        <w:gridCol w:w="1320"/>
        <w:gridCol w:w="1320"/>
        <w:gridCol w:w="1320"/>
        <w:gridCol w:w="1320"/>
        <w:gridCol w:w="1320"/>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HistGradientBoosting</w:t>
            </w:r>
          </w:p>
        </w:tc>
        <w:tc>
          <w:tcPr>
            <w:shd w:val="clear" w:fill="EAF0F7"/>
          </w:tcPr>
          <w:p>
            <w:pPr>
              <w:pStyle w:val="Compact"/>
            </w:pPr>
            <w:r>
              <w:rPr>
                <w:b/>
                <w:sz w:val="17"/>
              </w:rPr>
              <w:t xml:space="preserve">LogisticRegression</w:t>
            </w:r>
          </w:p>
        </w:tc>
        <w:tc>
          <w:tcPr>
            <w:shd w:val="clear" w:fill="EAF0F7"/>
          </w:tcPr>
          <w:p>
            <w:pPr>
              <w:pStyle w:val="Compact"/>
            </w:pPr>
            <w:r>
              <w:rPr>
                <w:b/>
                <w:sz w:val="17"/>
              </w:rPr>
              <w:t xml:space="preserve">RandomForest</w:t>
            </w:r>
          </w:p>
        </w:tc>
        <w:tc>
          <w:tcPr>
            <w:shd w:val="clear" w:fill="EAF0F7"/>
          </w:tcPr>
          <w:p>
            <w:pPr>
              <w:pStyle w:val="Compact"/>
            </w:pPr>
            <w:r>
              <w:rPr>
                <w:b/>
                <w:sz w:val="17"/>
              </w:rPr>
              <w:t xml:space="preserve">XGBoost</w:t>
            </w:r>
          </w:p>
        </w:tc>
        <w:tc>
          <w:tcPr>
            <w:shd w:val="clear" w:fill="EAF0F7"/>
          </w:tcPr>
          <w:p>
            <w:pPr>
              <w:pStyle w:val="Compact"/>
            </w:pPr>
            <w:r>
              <w:rPr>
                <w:b/>
                <w:sz w:val="17"/>
              </w:rPr>
              <w:t xml:space="preserve">kNN read-across</w:t>
            </w:r>
          </w:p>
        </w:tc>
      </w:tr>
      <w:tr>
        <w:tc>
          <w:tcPr/>
          <w:p>
            <w:pPr>
              <w:pStyle w:val="Compact"/>
            </w:pPr>
            <w:r>
              <w:rPr>
                <w:sz w:val="15"/>
              </w:rPr>
              <w:t xml:space="preserve">AChE</w:t>
            </w:r>
          </w:p>
        </w:tc>
        <w:tc>
          <w:tcPr/>
          <w:p>
            <w:pPr>
              <w:pStyle w:val="Compact"/>
            </w:pPr>
            <w:r>
              <w:rPr>
                <w:sz w:val="15"/>
              </w:rPr>
              <w:t xml:space="preserve">0.9247</w:t>
            </w:r>
          </w:p>
        </w:tc>
        <w:tc>
          <w:tcPr/>
          <w:p>
            <w:pPr>
              <w:pStyle w:val="Compact"/>
            </w:pPr>
            <w:r>
              <w:rPr>
                <w:sz w:val="15"/>
              </w:rPr>
              <w:t xml:space="preserve">0.8397</w:t>
            </w:r>
          </w:p>
        </w:tc>
        <w:tc>
          <w:tcPr/>
          <w:p>
            <w:pPr>
              <w:pStyle w:val="Compact"/>
            </w:pPr>
            <w:r>
              <w:rPr>
                <w:sz w:val="15"/>
              </w:rPr>
              <w:t xml:space="preserve">0.9148</w:t>
            </w:r>
          </w:p>
        </w:tc>
        <w:tc>
          <w:tcPr/>
          <w:p>
            <w:pPr>
              <w:pStyle w:val="Compact"/>
            </w:pPr>
            <w:r>
              <w:rPr>
                <w:sz w:val="15"/>
              </w:rPr>
              <w:t xml:space="preserve">0.9129</w:t>
            </w:r>
          </w:p>
        </w:tc>
        <w:tc>
          <w:tcPr/>
          <w:p>
            <w:pPr>
              <w:pStyle w:val="Compact"/>
            </w:pPr>
            <w:r>
              <w:rPr>
                <w:sz w:val="15"/>
              </w:rPr>
              <w:t xml:space="preserve">0.8804</w:t>
            </w:r>
          </w:p>
        </w:tc>
      </w:tr>
      <w:tr>
        <w:tc>
          <w:tcPr/>
          <w:p>
            <w:pPr>
              <w:pStyle w:val="Compact"/>
            </w:pPr>
            <w:r>
              <w:rPr>
                <w:sz w:val="15"/>
              </w:rPr>
              <w:t xml:space="preserve">BACE1</w:t>
            </w:r>
          </w:p>
        </w:tc>
        <w:tc>
          <w:tcPr/>
          <w:p>
            <w:pPr>
              <w:pStyle w:val="Compact"/>
            </w:pPr>
            <w:r>
              <w:rPr>
                <w:sz w:val="15"/>
              </w:rPr>
              <w:t xml:space="preserve">0.9608</w:t>
            </w:r>
          </w:p>
        </w:tc>
        <w:tc>
          <w:tcPr/>
          <w:p>
            <w:pPr>
              <w:pStyle w:val="Compact"/>
            </w:pPr>
            <w:r>
              <w:rPr>
                <w:sz w:val="15"/>
              </w:rPr>
              <w:t xml:space="preserve">0.9123</w:t>
            </w:r>
          </w:p>
        </w:tc>
        <w:tc>
          <w:tcPr/>
          <w:p>
            <w:pPr>
              <w:pStyle w:val="Compact"/>
            </w:pPr>
            <w:r>
              <w:rPr>
                <w:sz w:val="15"/>
              </w:rPr>
              <w:t xml:space="preserve">0.9635</w:t>
            </w:r>
          </w:p>
        </w:tc>
        <w:tc>
          <w:tcPr/>
          <w:p>
            <w:pPr>
              <w:pStyle w:val="Compact"/>
            </w:pPr>
            <w:r>
              <w:rPr>
                <w:sz w:val="15"/>
              </w:rPr>
              <w:t xml:space="preserve">0.9597</w:t>
            </w:r>
          </w:p>
        </w:tc>
        <w:tc>
          <w:tcPr/>
          <w:p>
            <w:pPr>
              <w:pStyle w:val="Compact"/>
            </w:pPr>
            <w:r>
              <w:rPr>
                <w:sz w:val="15"/>
              </w:rPr>
              <w:t xml:space="preserve">0.9194</w:t>
            </w:r>
          </w:p>
        </w:tc>
      </w:tr>
      <w:tr>
        <w:tc>
          <w:tcPr/>
          <w:p>
            <w:pPr>
              <w:pStyle w:val="Compact"/>
            </w:pPr>
            <w:r>
              <w:rPr>
                <w:sz w:val="15"/>
              </w:rPr>
              <w:t xml:space="preserve">BBB</w:t>
            </w:r>
          </w:p>
        </w:tc>
        <w:tc>
          <w:tcPr/>
          <w:p>
            <w:pPr>
              <w:pStyle w:val="Compact"/>
            </w:pPr>
            <w:r>
              <w:rPr>
                <w:sz w:val="15"/>
              </w:rPr>
              <w:t xml:space="preserve">0.8574</w:t>
            </w:r>
          </w:p>
        </w:tc>
        <w:tc>
          <w:tcPr/>
          <w:p>
            <w:pPr>
              <w:pStyle w:val="Compact"/>
            </w:pPr>
            <w:r>
              <w:rPr>
                <w:sz w:val="15"/>
              </w:rPr>
              <w:t xml:space="preserve">0.7435</w:t>
            </w:r>
          </w:p>
        </w:tc>
        <w:tc>
          <w:tcPr/>
          <w:p>
            <w:pPr>
              <w:pStyle w:val="Compact"/>
            </w:pPr>
            <w:r>
              <w:rPr>
                <w:sz w:val="15"/>
              </w:rPr>
              <w:t xml:space="preserve">0.8756</w:t>
            </w:r>
          </w:p>
        </w:tc>
        <w:tc>
          <w:tcPr/>
          <w:p>
            <w:pPr>
              <w:pStyle w:val="Compact"/>
            </w:pPr>
            <w:r>
              <w:rPr>
                <w:sz w:val="15"/>
              </w:rPr>
              <w:t xml:space="preserve">0.8683</w:t>
            </w:r>
          </w:p>
        </w:tc>
        <w:tc>
          <w:tcPr/>
          <w:p>
            <w:pPr>
              <w:pStyle w:val="Compact"/>
            </w:pPr>
            <w:r>
              <w:rPr>
                <w:sz w:val="15"/>
              </w:rPr>
              <w:t xml:space="preserve">0.8264</w:t>
            </w:r>
          </w:p>
        </w:tc>
      </w:tr>
      <w:tr>
        <w:tc>
          <w:tcPr/>
          <w:p>
            <w:pPr>
              <w:pStyle w:val="Compact"/>
            </w:pPr>
            <w:r>
              <w:rPr>
                <w:sz w:val="15"/>
              </w:rPr>
              <w:t xml:space="preserve">BChE</w:t>
            </w:r>
          </w:p>
        </w:tc>
        <w:tc>
          <w:tcPr/>
          <w:p>
            <w:pPr>
              <w:pStyle w:val="Compact"/>
            </w:pPr>
            <w:r>
              <w:rPr>
                <w:sz w:val="15"/>
              </w:rPr>
              <w:t xml:space="preserve">0.9313</w:t>
            </w:r>
          </w:p>
        </w:tc>
        <w:tc>
          <w:tcPr/>
          <w:p>
            <w:pPr>
              <w:pStyle w:val="Compact"/>
            </w:pPr>
            <w:r>
              <w:rPr>
                <w:sz w:val="15"/>
              </w:rPr>
              <w:t xml:space="preserve">0.8694</w:t>
            </w:r>
          </w:p>
        </w:tc>
        <w:tc>
          <w:tcPr/>
          <w:p>
            <w:pPr>
              <w:pStyle w:val="Compact"/>
            </w:pPr>
            <w:r>
              <w:rPr>
                <w:sz w:val="15"/>
              </w:rPr>
              <w:t xml:space="preserve">0.9426</w:t>
            </w:r>
          </w:p>
        </w:tc>
        <w:tc>
          <w:tcPr/>
          <w:p>
            <w:pPr>
              <w:pStyle w:val="Compact"/>
            </w:pPr>
            <w:r>
              <w:rPr>
                <w:sz w:val="15"/>
              </w:rPr>
              <w:t xml:space="preserve">0.9317</w:t>
            </w:r>
          </w:p>
        </w:tc>
        <w:tc>
          <w:tcPr/>
          <w:p>
            <w:pPr>
              <w:pStyle w:val="Compact"/>
            </w:pPr>
            <w:r>
              <w:rPr>
                <w:sz w:val="15"/>
              </w:rPr>
              <w:t xml:space="preserve">0.9047</w:t>
            </w:r>
          </w:p>
        </w:tc>
      </w:tr>
      <w:tr>
        <w:tc>
          <w:tcPr/>
          <w:p>
            <w:pPr>
              <w:pStyle w:val="Compact"/>
            </w:pPr>
            <w:r>
              <w:rPr>
                <w:sz w:val="15"/>
              </w:rPr>
              <w:t xml:space="preserve">GSK3B</w:t>
            </w:r>
          </w:p>
        </w:tc>
        <w:tc>
          <w:tcPr/>
          <w:p>
            <w:pPr>
              <w:pStyle w:val="Compact"/>
            </w:pPr>
            <w:r>
              <w:rPr>
                <w:sz w:val="15"/>
              </w:rPr>
              <w:t xml:space="preserve">0.9297</w:t>
            </w:r>
          </w:p>
        </w:tc>
        <w:tc>
          <w:tcPr/>
          <w:p>
            <w:pPr>
              <w:pStyle w:val="Compact"/>
            </w:pPr>
            <w:r>
              <w:rPr>
                <w:sz w:val="15"/>
              </w:rPr>
              <w:t xml:space="preserve">0.8387</w:t>
            </w:r>
          </w:p>
        </w:tc>
        <w:tc>
          <w:tcPr/>
          <w:p>
            <w:pPr>
              <w:pStyle w:val="Compact"/>
            </w:pPr>
            <w:r>
              <w:rPr>
                <w:sz w:val="15"/>
              </w:rPr>
              <w:t xml:space="preserve">0.9368</w:t>
            </w:r>
          </w:p>
        </w:tc>
        <w:tc>
          <w:tcPr/>
          <w:p>
            <w:pPr>
              <w:pStyle w:val="Compact"/>
            </w:pPr>
            <w:r>
              <w:rPr>
                <w:sz w:val="15"/>
              </w:rPr>
              <w:t xml:space="preserve">0.931</w:t>
            </w:r>
          </w:p>
        </w:tc>
        <w:tc>
          <w:tcPr/>
          <w:p>
            <w:pPr>
              <w:pStyle w:val="Compact"/>
            </w:pPr>
            <w:r>
              <w:rPr>
                <w:sz w:val="15"/>
              </w:rPr>
              <w:t xml:space="preserve">0.8986</w:t>
            </w:r>
          </w:p>
        </w:tc>
      </w:tr>
      <w:tr>
        <w:tc>
          <w:tcPr/>
          <w:p>
            <w:pPr>
              <w:pStyle w:val="Compact"/>
            </w:pPr>
            <w:r>
              <w:rPr>
                <w:sz w:val="15"/>
              </w:rPr>
              <w:t xml:space="preserve">MAO_A</w:t>
            </w:r>
          </w:p>
        </w:tc>
        <w:tc>
          <w:tcPr/>
          <w:p>
            <w:pPr>
              <w:pStyle w:val="Compact"/>
            </w:pPr>
            <w:r>
              <w:rPr>
                <w:sz w:val="15"/>
              </w:rPr>
              <w:t xml:space="preserve">0.8814</w:t>
            </w:r>
          </w:p>
        </w:tc>
        <w:tc>
          <w:tcPr/>
          <w:p>
            <w:pPr>
              <w:pStyle w:val="Compact"/>
            </w:pPr>
            <w:r>
              <w:rPr>
                <w:sz w:val="15"/>
              </w:rPr>
              <w:t xml:space="preserve">0.8058</w:t>
            </w:r>
          </w:p>
        </w:tc>
        <w:tc>
          <w:tcPr/>
          <w:p>
            <w:pPr>
              <w:pStyle w:val="Compact"/>
            </w:pPr>
            <w:r>
              <w:rPr>
                <w:sz w:val="15"/>
              </w:rPr>
              <w:t xml:space="preserve">0.8943</w:t>
            </w:r>
          </w:p>
        </w:tc>
        <w:tc>
          <w:tcPr/>
          <w:p>
            <w:pPr>
              <w:pStyle w:val="Compact"/>
            </w:pPr>
            <w:r>
              <w:rPr>
                <w:sz w:val="15"/>
              </w:rPr>
              <w:t xml:space="preserve">0.8857</w:t>
            </w:r>
          </w:p>
        </w:tc>
        <w:tc>
          <w:tcPr/>
          <w:p>
            <w:pPr>
              <w:pStyle w:val="Compact"/>
            </w:pPr>
            <w:r>
              <w:rPr>
                <w:sz w:val="15"/>
              </w:rPr>
              <w:t xml:space="preserve">0.8752</w:t>
            </w:r>
          </w:p>
        </w:tc>
      </w:tr>
      <w:tr>
        <w:tc>
          <w:tcPr/>
          <w:p>
            <w:pPr>
              <w:pStyle w:val="Compact"/>
            </w:pPr>
            <w:r>
              <w:rPr>
                <w:sz w:val="15"/>
              </w:rPr>
              <w:t xml:space="preserve">MAO_B</w:t>
            </w:r>
          </w:p>
        </w:tc>
        <w:tc>
          <w:tcPr/>
          <w:p>
            <w:pPr>
              <w:pStyle w:val="Compact"/>
            </w:pPr>
            <w:r>
              <w:rPr>
                <w:sz w:val="15"/>
              </w:rPr>
              <w:t xml:space="preserve">0.91</w:t>
            </w:r>
          </w:p>
        </w:tc>
        <w:tc>
          <w:tcPr/>
          <w:p>
            <w:pPr>
              <w:pStyle w:val="Compact"/>
            </w:pPr>
            <w:r>
              <w:rPr>
                <w:sz w:val="15"/>
              </w:rPr>
              <w:t xml:space="preserve">0.8094</w:t>
            </w:r>
          </w:p>
        </w:tc>
        <w:tc>
          <w:tcPr/>
          <w:p>
            <w:pPr>
              <w:pStyle w:val="Compact"/>
            </w:pPr>
            <w:r>
              <w:rPr>
                <w:sz w:val="15"/>
              </w:rPr>
              <w:t xml:space="preserve">0.9124</w:t>
            </w:r>
          </w:p>
        </w:tc>
        <w:tc>
          <w:tcPr/>
          <w:p>
            <w:pPr>
              <w:pStyle w:val="Compact"/>
            </w:pPr>
            <w:r>
              <w:rPr>
                <w:sz w:val="15"/>
              </w:rPr>
              <w:t xml:space="preserve">0.9088</w:t>
            </w:r>
          </w:p>
        </w:tc>
        <w:tc>
          <w:tcPr/>
          <w:p>
            <w:pPr>
              <w:pStyle w:val="Compact"/>
            </w:pPr>
            <w:r>
              <w:rPr>
                <w:sz w:val="15"/>
              </w:rPr>
              <w:t xml:space="preserve">0.866</w:t>
            </w:r>
          </w:p>
        </w:tc>
      </w:tr>
      <w:tr>
        <w:tc>
          <w:tcPr/>
          <w:p>
            <w:pPr>
              <w:pStyle w:val="Compact"/>
            </w:pPr>
            <w:r>
              <w:rPr>
                <w:sz w:val="15"/>
              </w:rPr>
              <w:t xml:space="preserve">hERG</w:t>
            </w:r>
          </w:p>
        </w:tc>
        <w:tc>
          <w:tcPr/>
          <w:p>
            <w:pPr>
              <w:pStyle w:val="Compact"/>
            </w:pPr>
            <w:r>
              <w:rPr>
                <w:sz w:val="15"/>
              </w:rPr>
              <w:t xml:space="preserve">0.9273</w:t>
            </w:r>
          </w:p>
        </w:tc>
        <w:tc>
          <w:tcPr/>
          <w:p>
            <w:pPr>
              <w:pStyle w:val="Compact"/>
            </w:pPr>
            <w:r>
              <w:rPr>
                <w:sz w:val="15"/>
              </w:rPr>
              <w:t xml:space="preserve">0.863</w:t>
            </w:r>
          </w:p>
        </w:tc>
        <w:tc>
          <w:tcPr/>
          <w:p>
            <w:pPr>
              <w:pStyle w:val="Compact"/>
            </w:pPr>
            <w:r>
              <w:rPr>
                <w:sz w:val="15"/>
              </w:rPr>
              <w:t xml:space="preserve">0.9299</w:t>
            </w:r>
          </w:p>
        </w:tc>
        <w:tc>
          <w:tcPr/>
          <w:p>
            <w:pPr>
              <w:pStyle w:val="Compact"/>
            </w:pPr>
            <w:r>
              <w:rPr>
                <w:sz w:val="15"/>
              </w:rPr>
              <w:t xml:space="preserve">0.9266</w:t>
            </w:r>
          </w:p>
        </w:tc>
        <w:tc>
          <w:tcPr/>
          <w:p>
            <w:pPr>
              <w:pStyle w:val="Compact"/>
            </w:pPr>
            <w:r>
              <w:rPr>
                <w:sz w:val="15"/>
              </w:rPr>
              <w:t xml:space="preserve">0.8922</w:t>
            </w:r>
          </w:p>
        </w:tc>
      </w:tr>
    </w:tbl>
    <w:p>
      <w:pPr>
        <w:pStyle w:val="BodyText"/>
      </w:pPr>
      <w:r>
        <w:rPr>
          <w:b/>
          <w:bCs/>
        </w:rPr>
        <w:t xml:space="preserve">Random forest was selected</w:t>
      </w:r>
      <w:r>
        <w:t xml:space="preserve">, and the margin over the read-across baseline is</w:t>
      </w:r>
      <w:r>
        <w:t xml:space="preserve"> </w:t>
      </w:r>
      <w:r>
        <w:t xml:space="preserve">+0.0384 mean AUROC on the scaffold split</w:t>
      </w:r>
      <w:r>
        <w:t xml:space="preserve"> </w:t>
      </w:r>
      <w:r>
        <w:t xml:space="preserve">across 8 classification endpoints.</w:t>
      </w:r>
    </w:p>
    <w:p>
      <w:pPr>
        <w:pStyle w:val="BodyText"/>
      </w:pPr>
      <w:r>
        <w:rPr>
          <w:b/>
          <w:bCs/>
        </w:rPr>
        <w:t xml:space="preserve">What each alternative would have cost:</w:t>
      </w:r>
    </w:p>
    <w:p>
      <w:pPr>
        <w:pStyle w:val="Compact"/>
        <w:numPr>
          <w:ilvl w:val="0"/>
          <w:numId w:val="1008"/>
        </w:numPr>
      </w:pPr>
      <w:r>
        <w:rPr>
          <w:b/>
          <w:bCs/>
        </w:rPr>
        <w:t xml:space="preserve">k-nearest-neighbour read-across</w:t>
      </w:r>
      <w:r>
        <w:t xml:space="preserve"> </w:t>
      </w:r>
      <w:r>
        <w:t xml:space="preserve">is what a medicinal chemist does by eye: find the most similar</w:t>
      </w:r>
      <w:r>
        <w:t xml:space="preserve"> </w:t>
      </w:r>
      <w:r>
        <w:t xml:space="preserve">measured compounds and assume the query behaves like them. It is the most important baseline,</w:t>
      </w:r>
      <w:r>
        <w:t xml:space="preserve"> </w:t>
      </w:r>
      <w:r>
        <w:t xml:space="preserve">because if the model cannot beat it the model is an expensive lookup table. It loses on every</w:t>
      </w:r>
      <w:r>
        <w:t xml:space="preserve"> </w:t>
      </w:r>
      <w:r>
        <w:t xml:space="preserve">endpoint, but not by a large margin, which is itself informative: much of the signal</w:t>
      </w:r>
      <w:r>
        <w:t xml:space="preserve"> </w:t>
      </w:r>
      <w:r>
        <w:rPr>
          <w:i/>
          <w:iCs/>
        </w:rPr>
        <w:t xml:space="preserve">is</w:t>
      </w:r>
      <w:r>
        <w:t xml:space="preserve"> </w:t>
      </w:r>
      <w:r>
        <w:t xml:space="preserve">similarity.</w:t>
      </w:r>
    </w:p>
    <w:p>
      <w:pPr>
        <w:pStyle w:val="Compact"/>
        <w:numPr>
          <w:ilvl w:val="0"/>
          <w:numId w:val="1008"/>
        </w:numPr>
      </w:pPr>
      <w:r>
        <w:rPr>
          <w:b/>
          <w:bCs/>
        </w:rPr>
        <w:t xml:space="preserve">L2 logistic regression</w:t>
      </w:r>
      <w:r>
        <w:t xml:space="preserve"> </w:t>
      </w:r>
      <w:r>
        <w:t xml:space="preserve">is linear in the fingerprint. It loses most where activity depends on</w:t>
      </w:r>
      <w:r>
        <w:t xml:space="preserve"> </w:t>
      </w:r>
      <w:r>
        <w:t xml:space="preserve">combinations of substructures rather than their presence, which is most targets.</w:t>
      </w:r>
    </w:p>
    <w:p>
      <w:pPr>
        <w:pStyle w:val="Compact"/>
        <w:numPr>
          <w:ilvl w:val="0"/>
          <w:numId w:val="1008"/>
        </w:numPr>
      </w:pPr>
      <w:r>
        <w:rPr>
          <w:b/>
          <w:bCs/>
        </w:rPr>
        <w:t xml:space="preserve">XGBoost and histogram gradient boosting</w:t>
      </w:r>
      <w:r>
        <w:t xml:space="preserve"> </w:t>
      </w:r>
      <w:r>
        <w:t xml:space="preserve">are genuinely close, and the honest statement is that</w:t>
      </w:r>
      <w:r>
        <w:t xml:space="preserve"> </w:t>
      </w:r>
      <w:r>
        <w:t xml:space="preserve">the forest does not sweep them. Histogram gradient boosting is ahead of the forest on 3 of 8</w:t>
      </w:r>
      <w:r>
        <w:t xml:space="preserve"> </w:t>
      </w:r>
      <w:r>
        <w:t xml:space="preserve">endpoints on the random split and on 1 of 8 on the scaffold split; the forest’s mean margin over</w:t>
      </w:r>
      <w:r>
        <w:t xml:space="preserve"> </w:t>
      </w:r>
      <w:r>
        <w:t xml:space="preserve">it is +0.0023 random and +0.0063 scaffold, which is inside the fold-to-fold spread. XGBoost is</w:t>
      </w:r>
      <w:r>
        <w:t xml:space="preserve"> </w:t>
      </w:r>
      <w:r>
        <w:t xml:space="preserve">behind on every endpoint but only by +0.0046 and +0.0056 on average. The forest was selected on</w:t>
      </w:r>
      <w:r>
        <w:t xml:space="preserve"> </w:t>
      </w:r>
      <w:r>
        <w:t xml:space="preserve">three grounds that are not about the mean: it is the most stable of the three under</w:t>
      </w:r>
      <w:r>
        <w:t xml:space="preserve"> </w:t>
      </w:r>
      <w:r>
        <w:t xml:space="preserve">hyperparameters, it does not extrapolate, which is the behaviour wanted at the edge of the</w:t>
      </w:r>
      <w:r>
        <w:t xml:space="preserve"> </w:t>
      </w:r>
      <w:r>
        <w:t xml:space="preserve">applicability domain, and TreeSHAP is exact for it rather than approximate. On this evidence a</w:t>
      </w:r>
      <w:r>
        <w:t xml:space="preserve"> </w:t>
      </w:r>
      <w:r>
        <w:t xml:space="preserve">reader is entitled to say that boosting would have served about as well.</w:t>
      </w:r>
    </w:p>
    <w:p>
      <w:pPr>
        <w:pStyle w:val="Compact"/>
        <w:numPr>
          <w:ilvl w:val="0"/>
          <w:numId w:val="1008"/>
        </w:numPr>
      </w:pPr>
      <w:r>
        <w:rPr>
          <w:b/>
          <w:bCs/>
        </w:rPr>
        <w:t xml:space="preserve">A graph neural network</w:t>
      </w:r>
      <w:r>
        <w:t xml:space="preserve"> </w:t>
      </w:r>
      <w:r>
        <w:t xml:space="preserve">was benchmarked separately and did not outperform the random forest on</w:t>
      </w:r>
      <w:r>
        <w:t xml:space="preserve"> </w:t>
      </w:r>
      <w:r>
        <w:t xml:space="preserve">any tested endpoint, which is consistent with the fingerprint-plus-descriptor representation being</w:t>
      </w:r>
      <w:r>
        <w:t xml:space="preserve"> </w:t>
      </w:r>
      <w:r>
        <w:t xml:space="preserve">sufficient at this data scale. Deep models need far more data per task than these endpoints have.</w:t>
      </w:r>
    </w:p>
    <w:bookmarkEnd w:id="59"/>
    <w:bookmarkStart w:id="60" w:name="would-a-simpler-representation-have-done"/>
    <w:p>
      <w:pPr>
        <w:pStyle w:val="Heading3"/>
      </w:pPr>
      <w:r>
        <w:t xml:space="preserve">7.2 Would a simpler representation have done?</w:t>
      </w:r>
    </w:p>
    <w:p>
      <w:pPr>
        <w:pStyle w:val="FirstParagraph"/>
      </w:pPr>
      <w:r>
        <w:t xml:space="preserve">The 1,036-column vector is two blocks. Each was tested alone.</w:t>
      </w:r>
    </w:p>
    <w:tbl>
      <w:tblPr>
        <w:tblStyle w:val="Table"/>
        <w:tblW w:type="pct" w:w="5000"/>
        <w:jc w:val="center"/>
        <w:tblLayout w:type="autofit"/>
        <w:tblLook w:firstRow="1" w:lastRow="0" w:firstColumn="0" w:lastColumn="0" w:noHBand="0" w:noVBand="0" w:val="0020"/>
        <w:tblLayout w:type="autofit"/>
      </w:tblPr>
      <w:tblGrid>
        <w:gridCol w:w="1320"/>
        <w:gridCol w:w="1320"/>
        <w:gridCol w:w="1320"/>
        <w:gridCol w:w="1320"/>
        <w:gridCol w:w="1320"/>
        <w:gridCol w:w="1320"/>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task</w:t>
            </w:r>
          </w:p>
        </w:tc>
        <w:tc>
          <w:tcPr>
            <w:shd w:val="clear" w:fill="EAF0F7"/>
          </w:tcPr>
          <w:p>
            <w:pPr>
              <w:pStyle w:val="Compact"/>
            </w:pPr>
            <w:r>
              <w:rPr>
                <w:b/>
                <w:sz w:val="17"/>
              </w:rPr>
              <w:t xml:space="preserve">block</w:t>
            </w:r>
          </w:p>
        </w:tc>
        <w:tc>
          <w:tcPr>
            <w:shd w:val="clear" w:fill="EAF0F7"/>
          </w:tcPr>
          <w:p>
            <w:pPr>
              <w:pStyle w:val="Compact"/>
            </w:pPr>
            <w:r>
              <w:rPr>
                <w:b/>
                <w:sz w:val="17"/>
              </w:rPr>
              <w:t xml:space="preserve">metric</w:t>
            </w:r>
          </w:p>
        </w:tc>
        <w:tc>
          <w:tcPr>
            <w:shd w:val="clear" w:fill="EAF0F7"/>
          </w:tcPr>
          <w:p>
            <w:pPr>
              <w:pStyle w:val="Compact"/>
            </w:pPr>
            <w:r>
              <w:rPr>
                <w:b/>
                <w:sz w:val="17"/>
              </w:rPr>
              <w:t xml:space="preserve">mean</w:t>
            </w:r>
          </w:p>
        </w:tc>
        <w:tc>
          <w:tcPr>
            <w:shd w:val="clear" w:fill="EAF0F7"/>
          </w:tcPr>
          <w:p>
            <w:pPr>
              <w:pStyle w:val="Compact"/>
            </w:pPr>
            <w:r>
              <w:rPr>
                <w:b/>
                <w:sz w:val="17"/>
              </w:rPr>
              <w:t xml:space="preserve">sd</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0.9556</w:t>
            </w:r>
          </w:p>
        </w:tc>
        <w:tc>
          <w:tcPr/>
          <w:p>
            <w:pPr>
              <w:pStyle w:val="Compact"/>
            </w:pPr>
            <w:r>
              <w:rPr>
                <w:sz w:val="15"/>
              </w:rPr>
              <w:t xml:space="preserve">0.0057</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0.9498</w:t>
            </w:r>
          </w:p>
        </w:tc>
        <w:tc>
          <w:tcPr/>
          <w:p>
            <w:pPr>
              <w:pStyle w:val="Compact"/>
            </w:pPr>
            <w:r>
              <w:rPr>
                <w:sz w:val="15"/>
              </w:rPr>
              <w:t xml:space="preserve">0.0092</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0.9586</w:t>
            </w:r>
          </w:p>
        </w:tc>
        <w:tc>
          <w:tcPr/>
          <w:p>
            <w:pPr>
              <w:pStyle w:val="Compact"/>
            </w:pPr>
            <w:r>
              <w:rPr>
                <w:sz w:val="15"/>
              </w:rPr>
              <w:t xml:space="preserve">0.0068</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0.9634</w:t>
            </w:r>
          </w:p>
        </w:tc>
        <w:tc>
          <w:tcPr/>
          <w:p>
            <w:pPr>
              <w:pStyle w:val="Compact"/>
            </w:pPr>
            <w:r>
              <w:rPr>
                <w:sz w:val="15"/>
              </w:rPr>
              <w:t xml:space="preserve">0.0035</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0.9162</w:t>
            </w:r>
          </w:p>
        </w:tc>
        <w:tc>
          <w:tcPr/>
          <w:p>
            <w:pPr>
              <w:pStyle w:val="Compact"/>
            </w:pPr>
            <w:r>
              <w:rPr>
                <w:sz w:val="15"/>
              </w:rPr>
              <w:t xml:space="preserve">0.007</w:t>
            </w:r>
          </w:p>
        </w:tc>
      </w:tr>
      <w:tr>
        <w:tc>
          <w:tcPr/>
          <w:p>
            <w:pPr>
              <w:pStyle w:val="Compact"/>
            </w:pPr>
            <w:r>
              <w:rPr>
                <w:sz w:val="15"/>
              </w:rPr>
              <w:t xml:space="preserve">AChE</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0.9644</w:t>
            </w:r>
          </w:p>
        </w:tc>
        <w:tc>
          <w:tcPr/>
          <w:p>
            <w:pPr>
              <w:pStyle w:val="Compact"/>
            </w:pPr>
            <w:r>
              <w:rPr>
                <w:sz w:val="15"/>
              </w:rPr>
              <w:t xml:space="preserve">0.0031</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0.969</w:t>
            </w:r>
          </w:p>
        </w:tc>
        <w:tc>
          <w:tcPr/>
          <w:p>
            <w:pPr>
              <w:pStyle w:val="Compact"/>
            </w:pPr>
            <w:r>
              <w:rPr>
                <w:sz w:val="15"/>
              </w:rPr>
              <w:t xml:space="preserve">0.005</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0.932</w:t>
            </w:r>
          </w:p>
        </w:tc>
        <w:tc>
          <w:tcPr/>
          <w:p>
            <w:pPr>
              <w:pStyle w:val="Compact"/>
            </w:pPr>
            <w:r>
              <w:rPr>
                <w:sz w:val="15"/>
              </w:rPr>
              <w:t xml:space="preserve">0.0079</w:t>
            </w:r>
          </w:p>
        </w:tc>
      </w:tr>
      <w:tr>
        <w:tc>
          <w:tcPr/>
          <w:p>
            <w:pPr>
              <w:pStyle w:val="Compact"/>
            </w:pPr>
            <w:r>
              <w:rPr>
                <w:sz w:val="15"/>
              </w:rPr>
              <w:t xml:space="preserve">BChE</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0.9718</w:t>
            </w:r>
          </w:p>
        </w:tc>
        <w:tc>
          <w:tcPr/>
          <w:p>
            <w:pPr>
              <w:pStyle w:val="Compact"/>
            </w:pPr>
            <w:r>
              <w:rPr>
                <w:sz w:val="15"/>
              </w:rPr>
              <w:t xml:space="preserve">0.0067</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0.9647</w:t>
            </w:r>
          </w:p>
        </w:tc>
        <w:tc>
          <w:tcPr/>
          <w:p>
            <w:pPr>
              <w:pStyle w:val="Compact"/>
            </w:pPr>
            <w:r>
              <w:rPr>
                <w:sz w:val="15"/>
              </w:rPr>
              <w:t xml:space="preserve">0.0059</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0.9098</w:t>
            </w:r>
          </w:p>
        </w:tc>
        <w:tc>
          <w:tcPr/>
          <w:p>
            <w:pPr>
              <w:pStyle w:val="Compact"/>
            </w:pPr>
            <w:r>
              <w:rPr>
                <w:sz w:val="15"/>
              </w:rPr>
              <w:t xml:space="preserve">0.0144</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0.9656</w:t>
            </w:r>
          </w:p>
        </w:tc>
        <w:tc>
          <w:tcPr/>
          <w:p>
            <w:pPr>
              <w:pStyle w:val="Compact"/>
            </w:pPr>
            <w:r>
              <w:rPr>
                <w:sz w:val="15"/>
              </w:rPr>
              <w:t xml:space="preserve">0.006</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0.9644</w:t>
            </w:r>
          </w:p>
        </w:tc>
        <w:tc>
          <w:tcPr/>
          <w:p>
            <w:pPr>
              <w:pStyle w:val="Compact"/>
            </w:pPr>
            <w:r>
              <w:rPr>
                <w:sz w:val="15"/>
              </w:rPr>
              <w:t xml:space="preserve">0.0069</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0.8779</w:t>
            </w:r>
          </w:p>
        </w:tc>
        <w:tc>
          <w:tcPr/>
          <w:p>
            <w:pPr>
              <w:pStyle w:val="Compact"/>
            </w:pPr>
            <w:r>
              <w:rPr>
                <w:sz w:val="15"/>
              </w:rPr>
              <w:t xml:space="preserve">0.0062</w:t>
            </w:r>
          </w:p>
        </w:tc>
      </w:tr>
      <w:tr>
        <w:tc>
          <w:tcPr/>
          <w:p>
            <w:pPr>
              <w:pStyle w:val="Compact"/>
            </w:pPr>
            <w:r>
              <w:rPr>
                <w:sz w:val="15"/>
              </w:rPr>
              <w:t xml:space="preserve">GSK3B</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0.9638</w:t>
            </w:r>
          </w:p>
        </w:tc>
        <w:tc>
          <w:tcPr/>
          <w:p>
            <w:pPr>
              <w:pStyle w:val="Compact"/>
            </w:pPr>
            <w:r>
              <w:rPr>
                <w:sz w:val="15"/>
              </w:rPr>
              <w:t xml:space="preserve">0.007</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0.9579</w:t>
            </w:r>
          </w:p>
        </w:tc>
        <w:tc>
          <w:tcPr/>
          <w:p>
            <w:pPr>
              <w:pStyle w:val="Compact"/>
            </w:pPr>
            <w:r>
              <w:rPr>
                <w:sz w:val="15"/>
              </w:rPr>
              <w:t xml:space="preserve">0.0099</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0.9079</w:t>
            </w:r>
          </w:p>
        </w:tc>
        <w:tc>
          <w:tcPr/>
          <w:p>
            <w:pPr>
              <w:pStyle w:val="Compact"/>
            </w:pPr>
            <w:r>
              <w:rPr>
                <w:sz w:val="15"/>
              </w:rPr>
              <w:t xml:space="preserve">0.0131</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0.9608</w:t>
            </w:r>
          </w:p>
        </w:tc>
        <w:tc>
          <w:tcPr/>
          <w:p>
            <w:pPr>
              <w:pStyle w:val="Compact"/>
            </w:pPr>
            <w:r>
              <w:rPr>
                <w:sz w:val="15"/>
              </w:rPr>
              <w:t xml:space="preserve">0.009</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0.9599</w:t>
            </w:r>
          </w:p>
        </w:tc>
        <w:tc>
          <w:tcPr/>
          <w:p>
            <w:pPr>
              <w:pStyle w:val="Compact"/>
            </w:pPr>
            <w:r>
              <w:rPr>
                <w:sz w:val="15"/>
              </w:rPr>
              <w:t xml:space="preserve">0.0029</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0.9259</w:t>
            </w:r>
          </w:p>
        </w:tc>
        <w:tc>
          <w:tcPr/>
          <w:p>
            <w:pPr>
              <w:pStyle w:val="Compact"/>
            </w:pPr>
            <w:r>
              <w:rPr>
                <w:sz w:val="15"/>
              </w:rPr>
              <w:t xml:space="preserve">0.009</w:t>
            </w:r>
          </w:p>
        </w:tc>
      </w:tr>
      <w:tr>
        <w:tc>
          <w:tcPr/>
          <w:p>
            <w:pPr>
              <w:pStyle w:val="Compact"/>
            </w:pPr>
            <w:r>
              <w:rPr>
                <w:sz w:val="15"/>
              </w:rPr>
              <w:t xml:space="preserve">MAO_B</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0.9636</w:t>
            </w:r>
          </w:p>
        </w:tc>
        <w:tc>
          <w:tcPr/>
          <w:p>
            <w:pPr>
              <w:pStyle w:val="Compact"/>
            </w:pPr>
            <w:r>
              <w:rPr>
                <w:sz w:val="15"/>
              </w:rPr>
              <w:t xml:space="preserve">0.0023</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fingerprint_only</w:t>
            </w:r>
          </w:p>
        </w:tc>
        <w:tc>
          <w:tcPr/>
          <w:p>
            <w:pPr>
              <w:pStyle w:val="Compact"/>
            </w:pPr>
            <w:r>
              <w:rPr>
                <w:sz w:val="15"/>
              </w:rPr>
              <w:t xml:space="preserve">roc_auc</w:t>
            </w:r>
          </w:p>
        </w:tc>
        <w:tc>
          <w:tcPr/>
          <w:p>
            <w:pPr>
              <w:pStyle w:val="Compact"/>
            </w:pPr>
            <w:r>
              <w:rPr>
                <w:sz w:val="15"/>
              </w:rPr>
              <w:t xml:space="preserve">0.9495</w:t>
            </w:r>
          </w:p>
        </w:tc>
        <w:tc>
          <w:tcPr/>
          <w:p>
            <w:pPr>
              <w:pStyle w:val="Compact"/>
            </w:pPr>
            <w:r>
              <w:rPr>
                <w:sz w:val="15"/>
              </w:rPr>
              <w:t xml:space="preserve">0.0026</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descriptors_only</w:t>
            </w:r>
          </w:p>
        </w:tc>
        <w:tc>
          <w:tcPr/>
          <w:p>
            <w:pPr>
              <w:pStyle w:val="Compact"/>
            </w:pPr>
            <w:r>
              <w:rPr>
                <w:sz w:val="15"/>
              </w:rPr>
              <w:t xml:space="preserve">roc_auc</w:t>
            </w:r>
          </w:p>
        </w:tc>
        <w:tc>
          <w:tcPr/>
          <w:p>
            <w:pPr>
              <w:pStyle w:val="Compact"/>
            </w:pPr>
            <w:r>
              <w:rPr>
                <w:sz w:val="15"/>
              </w:rPr>
              <w:t xml:space="preserve">0.9024</w:t>
            </w:r>
          </w:p>
        </w:tc>
        <w:tc>
          <w:tcPr/>
          <w:p>
            <w:pPr>
              <w:pStyle w:val="Compact"/>
            </w:pPr>
            <w:r>
              <w:rPr>
                <w:sz w:val="15"/>
              </w:rPr>
              <w:t xml:space="preserve">0.0056</w:t>
            </w:r>
          </w:p>
        </w:tc>
      </w:tr>
      <w:tr>
        <w:tc>
          <w:tcPr/>
          <w:p>
            <w:pPr>
              <w:pStyle w:val="Compact"/>
            </w:pPr>
            <w:r>
              <w:rPr>
                <w:sz w:val="15"/>
              </w:rPr>
              <w:t xml:space="preserve">hERG</w:t>
            </w:r>
          </w:p>
        </w:tc>
        <w:tc>
          <w:tcPr/>
          <w:p>
            <w:pPr>
              <w:pStyle w:val="Compact"/>
            </w:pPr>
            <w:r>
              <w:rPr>
                <w:sz w:val="15"/>
              </w:rPr>
              <w:t xml:space="preserve">classification</w:t>
            </w:r>
          </w:p>
        </w:tc>
        <w:tc>
          <w:tcPr/>
          <w:p>
            <w:pPr>
              <w:pStyle w:val="Compact"/>
            </w:pPr>
            <w:r>
              <w:rPr>
                <w:sz w:val="15"/>
              </w:rPr>
              <w:t xml:space="preserve">combined</w:t>
            </w:r>
          </w:p>
        </w:tc>
        <w:tc>
          <w:tcPr/>
          <w:p>
            <w:pPr>
              <w:pStyle w:val="Compact"/>
            </w:pPr>
            <w:r>
              <w:rPr>
                <w:sz w:val="15"/>
              </w:rPr>
              <w:t xml:space="preserve">roc_auc</w:t>
            </w:r>
          </w:p>
        </w:tc>
        <w:tc>
          <w:tcPr/>
          <w:p>
            <w:pPr>
              <w:pStyle w:val="Compact"/>
            </w:pPr>
            <w:r>
              <w:rPr>
                <w:sz w:val="15"/>
              </w:rPr>
              <w:t xml:space="preserve">0.9567</w:t>
            </w:r>
          </w:p>
        </w:tc>
        <w:tc>
          <w:tcPr/>
          <w:p>
            <w:pPr>
              <w:pStyle w:val="Compact"/>
            </w:pPr>
            <w:r>
              <w:rPr>
                <w:sz w:val="15"/>
              </w:rPr>
              <w:t xml:space="preserve">0.0024</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fingerprint_only</w:t>
            </w:r>
          </w:p>
        </w:tc>
        <w:tc>
          <w:tcPr/>
          <w:p>
            <w:pPr>
              <w:pStyle w:val="Compact"/>
            </w:pPr>
            <w:r>
              <w:rPr>
                <w:sz w:val="15"/>
              </w:rPr>
              <w:t xml:space="preserve">r2</w:t>
            </w:r>
          </w:p>
        </w:tc>
        <w:tc>
          <w:tcPr/>
          <w:p>
            <w:pPr>
              <w:pStyle w:val="Compact"/>
            </w:pPr>
            <w:r>
              <w:rPr>
                <w:sz w:val="15"/>
              </w:rPr>
              <w:t xml:space="preserve">0.6446</w:t>
            </w:r>
          </w:p>
        </w:tc>
        <w:tc>
          <w:tcPr/>
          <w:p>
            <w:pPr>
              <w:pStyle w:val="Compact"/>
            </w:pPr>
            <w:r>
              <w:rPr>
                <w:sz w:val="15"/>
              </w:rPr>
              <w:t xml:space="preserve">0.0195</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descriptors_only</w:t>
            </w:r>
          </w:p>
        </w:tc>
        <w:tc>
          <w:tcPr/>
          <w:p>
            <w:pPr>
              <w:pStyle w:val="Compact"/>
            </w:pPr>
            <w:r>
              <w:rPr>
                <w:sz w:val="15"/>
              </w:rPr>
              <w:t xml:space="preserve">r2</w:t>
            </w:r>
          </w:p>
        </w:tc>
        <w:tc>
          <w:tcPr/>
          <w:p>
            <w:pPr>
              <w:pStyle w:val="Compact"/>
            </w:pPr>
            <w:r>
              <w:rPr>
                <w:sz w:val="15"/>
              </w:rPr>
              <w:t xml:space="preserve">0.4017</w:t>
            </w:r>
          </w:p>
        </w:tc>
        <w:tc>
          <w:tcPr/>
          <w:p>
            <w:pPr>
              <w:pStyle w:val="Compact"/>
            </w:pPr>
            <w:r>
              <w:rPr>
                <w:sz w:val="15"/>
              </w:rPr>
              <w:t xml:space="preserve">0.0182</w:t>
            </w:r>
          </w:p>
        </w:tc>
      </w:tr>
      <w:tr>
        <w:tc>
          <w:tcPr/>
          <w:p>
            <w:pPr>
              <w:pStyle w:val="Compact"/>
            </w:pPr>
            <w:r>
              <w:rPr>
                <w:sz w:val="15"/>
              </w:rPr>
              <w:t xml:space="preserve">D2</w:t>
            </w:r>
          </w:p>
        </w:tc>
        <w:tc>
          <w:tcPr/>
          <w:p>
            <w:pPr>
              <w:pStyle w:val="Compact"/>
            </w:pPr>
            <w:r>
              <w:rPr>
                <w:sz w:val="15"/>
              </w:rPr>
              <w:t xml:space="preserve">regression</w:t>
            </w:r>
          </w:p>
        </w:tc>
        <w:tc>
          <w:tcPr/>
          <w:p>
            <w:pPr>
              <w:pStyle w:val="Compact"/>
            </w:pPr>
            <w:r>
              <w:rPr>
                <w:sz w:val="15"/>
              </w:rPr>
              <w:t xml:space="preserve">combined</w:t>
            </w:r>
          </w:p>
        </w:tc>
        <w:tc>
          <w:tcPr/>
          <w:p>
            <w:pPr>
              <w:pStyle w:val="Compact"/>
            </w:pPr>
            <w:r>
              <w:rPr>
                <w:sz w:val="15"/>
              </w:rPr>
              <w:t xml:space="preserve">r2</w:t>
            </w:r>
          </w:p>
        </w:tc>
        <w:tc>
          <w:tcPr/>
          <w:p>
            <w:pPr>
              <w:pStyle w:val="Compact"/>
            </w:pPr>
            <w:r>
              <w:rPr>
                <w:sz w:val="15"/>
              </w:rPr>
              <w:t xml:space="preserve">0.6342</w:t>
            </w:r>
          </w:p>
        </w:tc>
        <w:tc>
          <w:tcPr/>
          <w:p>
            <w:pPr>
              <w:pStyle w:val="Compact"/>
            </w:pPr>
            <w:r>
              <w:rPr>
                <w:sz w:val="15"/>
              </w:rPr>
              <w:t xml:space="preserve">0.0232</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fingerprint_only</w:t>
            </w:r>
          </w:p>
        </w:tc>
        <w:tc>
          <w:tcPr/>
          <w:p>
            <w:pPr>
              <w:pStyle w:val="Compact"/>
            </w:pPr>
            <w:r>
              <w:rPr>
                <w:sz w:val="15"/>
              </w:rPr>
              <w:t xml:space="preserve">r2</w:t>
            </w:r>
          </w:p>
        </w:tc>
        <w:tc>
          <w:tcPr/>
          <w:p>
            <w:pPr>
              <w:pStyle w:val="Compact"/>
            </w:pPr>
            <w:r>
              <w:rPr>
                <w:sz w:val="15"/>
              </w:rPr>
              <w:t xml:space="preserve">0.7176</w:t>
            </w:r>
          </w:p>
        </w:tc>
        <w:tc>
          <w:tcPr/>
          <w:p>
            <w:pPr>
              <w:pStyle w:val="Compact"/>
            </w:pPr>
            <w:r>
              <w:rPr>
                <w:sz w:val="15"/>
              </w:rPr>
              <w:t xml:space="preserve">0.0095</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descriptors_only</w:t>
            </w:r>
          </w:p>
        </w:tc>
        <w:tc>
          <w:tcPr/>
          <w:p>
            <w:pPr>
              <w:pStyle w:val="Compact"/>
            </w:pPr>
            <w:r>
              <w:rPr>
                <w:sz w:val="15"/>
              </w:rPr>
              <w:t xml:space="preserve">r2</w:t>
            </w:r>
          </w:p>
        </w:tc>
        <w:tc>
          <w:tcPr/>
          <w:p>
            <w:pPr>
              <w:pStyle w:val="Compact"/>
            </w:pPr>
            <w:r>
              <w:rPr>
                <w:sz w:val="15"/>
              </w:rPr>
              <w:t xml:space="preserve">0.5131</w:t>
            </w:r>
          </w:p>
        </w:tc>
        <w:tc>
          <w:tcPr/>
          <w:p>
            <w:pPr>
              <w:pStyle w:val="Compact"/>
            </w:pPr>
            <w:r>
              <w:rPr>
                <w:sz w:val="15"/>
              </w:rPr>
              <w:t xml:space="preserve">0.0154</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combined</w:t>
            </w:r>
          </w:p>
        </w:tc>
        <w:tc>
          <w:tcPr/>
          <w:p>
            <w:pPr>
              <w:pStyle w:val="Compact"/>
            </w:pPr>
            <w:r>
              <w:rPr>
                <w:sz w:val="15"/>
              </w:rPr>
              <w:t xml:space="preserve">r2</w:t>
            </w:r>
          </w:p>
        </w:tc>
        <w:tc>
          <w:tcPr/>
          <w:p>
            <w:pPr>
              <w:pStyle w:val="Compact"/>
            </w:pPr>
            <w:r>
              <w:rPr>
                <w:sz w:val="15"/>
              </w:rPr>
              <w:t xml:space="preserve">0.7111</w:t>
            </w:r>
          </w:p>
        </w:tc>
        <w:tc>
          <w:tcPr/>
          <w:p>
            <w:pPr>
              <w:pStyle w:val="Compact"/>
            </w:pPr>
            <w:r>
              <w:rPr>
                <w:sz w:val="15"/>
              </w:rPr>
              <w:t xml:space="preserve">0.0126</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fingerprint_only</w:t>
            </w:r>
          </w:p>
        </w:tc>
        <w:tc>
          <w:tcPr/>
          <w:p>
            <w:pPr>
              <w:pStyle w:val="Compact"/>
            </w:pPr>
            <w:r>
              <w:rPr>
                <w:sz w:val="15"/>
              </w:rPr>
              <w:t xml:space="preserve">r2</w:t>
            </w:r>
          </w:p>
        </w:tc>
        <w:tc>
          <w:tcPr/>
          <w:p>
            <w:pPr>
              <w:pStyle w:val="Compact"/>
            </w:pPr>
            <w:r>
              <w:rPr>
                <w:sz w:val="15"/>
              </w:rPr>
              <w:t xml:space="preserve">0.6748</w:t>
            </w:r>
          </w:p>
        </w:tc>
        <w:tc>
          <w:tcPr/>
          <w:p>
            <w:pPr>
              <w:pStyle w:val="Compact"/>
            </w:pPr>
            <w:r>
              <w:rPr>
                <w:sz w:val="15"/>
              </w:rPr>
              <w:t xml:space="preserve">0.0106</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descriptors_only</w:t>
            </w:r>
          </w:p>
        </w:tc>
        <w:tc>
          <w:tcPr/>
          <w:p>
            <w:pPr>
              <w:pStyle w:val="Compact"/>
            </w:pPr>
            <w:r>
              <w:rPr>
                <w:sz w:val="15"/>
              </w:rPr>
              <w:t xml:space="preserve">r2</w:t>
            </w:r>
          </w:p>
        </w:tc>
        <w:tc>
          <w:tcPr/>
          <w:p>
            <w:pPr>
              <w:pStyle w:val="Compact"/>
            </w:pPr>
            <w:r>
              <w:rPr>
                <w:sz w:val="15"/>
              </w:rPr>
              <w:t xml:space="preserve">0.5273</w:t>
            </w:r>
          </w:p>
        </w:tc>
        <w:tc>
          <w:tcPr/>
          <w:p>
            <w:pPr>
              <w:pStyle w:val="Compact"/>
            </w:pPr>
            <w:r>
              <w:rPr>
                <w:sz w:val="15"/>
              </w:rPr>
              <w:t xml:space="preserve">0.0247</w:t>
            </w:r>
          </w:p>
        </w:tc>
      </w:tr>
      <w:tr>
        <w:tc>
          <w:tcPr/>
          <w:p>
            <w:pPr>
              <w:pStyle w:val="Compact"/>
            </w:pPr>
            <w:r>
              <w:rPr>
                <w:sz w:val="15"/>
              </w:rPr>
              <w:t xml:space="preserve">HT2A</w:t>
            </w:r>
          </w:p>
        </w:tc>
        <w:tc>
          <w:tcPr/>
          <w:p>
            <w:pPr>
              <w:pStyle w:val="Compact"/>
            </w:pPr>
            <w:r>
              <w:rPr>
                <w:sz w:val="15"/>
              </w:rPr>
              <w:t xml:space="preserve">regression</w:t>
            </w:r>
          </w:p>
        </w:tc>
        <w:tc>
          <w:tcPr/>
          <w:p>
            <w:pPr>
              <w:pStyle w:val="Compact"/>
            </w:pPr>
            <w:r>
              <w:rPr>
                <w:sz w:val="15"/>
              </w:rPr>
              <w:t xml:space="preserve">combined</w:t>
            </w:r>
          </w:p>
        </w:tc>
        <w:tc>
          <w:tcPr/>
          <w:p>
            <w:pPr>
              <w:pStyle w:val="Compact"/>
            </w:pPr>
            <w:r>
              <w:rPr>
                <w:sz w:val="15"/>
              </w:rPr>
              <w:t xml:space="preserve">r2</w:t>
            </w:r>
          </w:p>
        </w:tc>
        <w:tc>
          <w:tcPr/>
          <w:p>
            <w:pPr>
              <w:pStyle w:val="Compact"/>
            </w:pPr>
            <w:r>
              <w:rPr>
                <w:sz w:val="15"/>
              </w:rPr>
              <w:t xml:space="preserve">0.6897</w:t>
            </w:r>
          </w:p>
        </w:tc>
        <w:tc>
          <w:tcPr/>
          <w:p>
            <w:pPr>
              <w:pStyle w:val="Compact"/>
            </w:pPr>
            <w:r>
              <w:rPr>
                <w:sz w:val="15"/>
              </w:rPr>
              <w:t xml:space="preserve">0.0158</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fingerprint_only</w:t>
            </w:r>
          </w:p>
        </w:tc>
        <w:tc>
          <w:tcPr/>
          <w:p>
            <w:pPr>
              <w:pStyle w:val="Compact"/>
            </w:pPr>
            <w:r>
              <w:rPr>
                <w:sz w:val="15"/>
              </w:rPr>
              <w:t xml:space="preserve">r2</w:t>
            </w:r>
          </w:p>
        </w:tc>
        <w:tc>
          <w:tcPr/>
          <w:p>
            <w:pPr>
              <w:pStyle w:val="Compact"/>
            </w:pPr>
            <w:r>
              <w:rPr>
                <w:sz w:val="15"/>
              </w:rPr>
              <w:t xml:space="preserve">0.6706</w:t>
            </w:r>
          </w:p>
        </w:tc>
        <w:tc>
          <w:tcPr/>
          <w:p>
            <w:pPr>
              <w:pStyle w:val="Compact"/>
            </w:pPr>
            <w:r>
              <w:rPr>
                <w:sz w:val="15"/>
              </w:rPr>
              <w:t xml:space="preserve">0.0236</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descriptors_only</w:t>
            </w:r>
          </w:p>
        </w:tc>
        <w:tc>
          <w:tcPr/>
          <w:p>
            <w:pPr>
              <w:pStyle w:val="Compact"/>
            </w:pPr>
            <w:r>
              <w:rPr>
                <w:sz w:val="15"/>
              </w:rPr>
              <w:t xml:space="preserve">r2</w:t>
            </w:r>
          </w:p>
        </w:tc>
        <w:tc>
          <w:tcPr/>
          <w:p>
            <w:pPr>
              <w:pStyle w:val="Compact"/>
            </w:pPr>
            <w:r>
              <w:rPr>
                <w:sz w:val="15"/>
              </w:rPr>
              <w:t xml:space="preserve">0.5245</w:t>
            </w:r>
          </w:p>
        </w:tc>
        <w:tc>
          <w:tcPr/>
          <w:p>
            <w:pPr>
              <w:pStyle w:val="Compact"/>
            </w:pPr>
            <w:r>
              <w:rPr>
                <w:sz w:val="15"/>
              </w:rPr>
              <w:t xml:space="preserve">0.0145</w:t>
            </w:r>
          </w:p>
        </w:tc>
      </w:tr>
      <w:tr>
        <w:tc>
          <w:tcPr/>
          <w:p>
            <w:pPr>
              <w:pStyle w:val="Compact"/>
            </w:pPr>
            <w:r>
              <w:rPr>
                <w:sz w:val="15"/>
              </w:rPr>
              <w:t xml:space="preserve">SERT</w:t>
            </w:r>
          </w:p>
        </w:tc>
        <w:tc>
          <w:tcPr/>
          <w:p>
            <w:pPr>
              <w:pStyle w:val="Compact"/>
            </w:pPr>
            <w:r>
              <w:rPr>
                <w:sz w:val="15"/>
              </w:rPr>
              <w:t xml:space="preserve">regression</w:t>
            </w:r>
          </w:p>
        </w:tc>
        <w:tc>
          <w:tcPr/>
          <w:p>
            <w:pPr>
              <w:pStyle w:val="Compact"/>
            </w:pPr>
            <w:r>
              <w:rPr>
                <w:sz w:val="15"/>
              </w:rPr>
              <w:t xml:space="preserve">combined</w:t>
            </w:r>
          </w:p>
        </w:tc>
        <w:tc>
          <w:tcPr/>
          <w:p>
            <w:pPr>
              <w:pStyle w:val="Compact"/>
            </w:pPr>
            <w:r>
              <w:rPr>
                <w:sz w:val="15"/>
              </w:rPr>
              <w:t xml:space="preserve">r2</w:t>
            </w:r>
          </w:p>
        </w:tc>
        <w:tc>
          <w:tcPr/>
          <w:p>
            <w:pPr>
              <w:pStyle w:val="Compact"/>
            </w:pPr>
            <w:r>
              <w:rPr>
                <w:sz w:val="15"/>
              </w:rPr>
              <w:t xml:space="preserve">0.6724</w:t>
            </w:r>
          </w:p>
        </w:tc>
        <w:tc>
          <w:tcPr/>
          <w:p>
            <w:pPr>
              <w:pStyle w:val="Compact"/>
            </w:pPr>
            <w:r>
              <w:rPr>
                <w:sz w:val="15"/>
              </w:rPr>
              <w:t xml:space="preserve">0.0169</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fingerprint_only</w:t>
            </w:r>
          </w:p>
        </w:tc>
        <w:tc>
          <w:tcPr/>
          <w:p>
            <w:pPr>
              <w:pStyle w:val="Compact"/>
            </w:pPr>
            <w:r>
              <w:rPr>
                <w:sz w:val="15"/>
              </w:rPr>
              <w:t xml:space="preserve">r2</w:t>
            </w:r>
          </w:p>
        </w:tc>
        <w:tc>
          <w:tcPr/>
          <w:p>
            <w:pPr>
              <w:pStyle w:val="Compact"/>
            </w:pPr>
            <w:r>
              <w:rPr>
                <w:sz w:val="15"/>
              </w:rPr>
              <w:t xml:space="preserve">0.6561</w:t>
            </w:r>
          </w:p>
        </w:tc>
        <w:tc>
          <w:tcPr/>
          <w:p>
            <w:pPr>
              <w:pStyle w:val="Compact"/>
            </w:pPr>
            <w:r>
              <w:rPr>
                <w:sz w:val="15"/>
              </w:rPr>
              <w:t xml:space="preserve">0.0553</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descriptors_only</w:t>
            </w:r>
          </w:p>
        </w:tc>
        <w:tc>
          <w:tcPr/>
          <w:p>
            <w:pPr>
              <w:pStyle w:val="Compact"/>
            </w:pPr>
            <w:r>
              <w:rPr>
                <w:sz w:val="15"/>
              </w:rPr>
              <w:t xml:space="preserve">r2</w:t>
            </w:r>
          </w:p>
        </w:tc>
        <w:tc>
          <w:tcPr/>
          <w:p>
            <w:pPr>
              <w:pStyle w:val="Compact"/>
            </w:pPr>
            <w:r>
              <w:rPr>
                <w:sz w:val="15"/>
              </w:rPr>
              <w:t xml:space="preserve">0.414</w:t>
            </w:r>
          </w:p>
        </w:tc>
        <w:tc>
          <w:tcPr/>
          <w:p>
            <w:pPr>
              <w:pStyle w:val="Compact"/>
            </w:pPr>
            <w:r>
              <w:rPr>
                <w:sz w:val="15"/>
              </w:rPr>
              <w:t xml:space="preserve">0.0417</w:t>
            </w:r>
          </w:p>
        </w:tc>
      </w:tr>
      <w:tr>
        <w:tc>
          <w:tcPr/>
          <w:p>
            <w:pPr>
              <w:pStyle w:val="Compact"/>
            </w:pPr>
            <w:r>
              <w:rPr>
                <w:sz w:val="15"/>
              </w:rPr>
              <w:t xml:space="preserve">antioxidant_DPPH</w:t>
            </w:r>
          </w:p>
        </w:tc>
        <w:tc>
          <w:tcPr/>
          <w:p>
            <w:pPr>
              <w:pStyle w:val="Compact"/>
            </w:pPr>
            <w:r>
              <w:rPr>
                <w:sz w:val="15"/>
              </w:rPr>
              <w:t xml:space="preserve">regression</w:t>
            </w:r>
          </w:p>
        </w:tc>
        <w:tc>
          <w:tcPr/>
          <w:p>
            <w:pPr>
              <w:pStyle w:val="Compact"/>
            </w:pPr>
            <w:r>
              <w:rPr>
                <w:sz w:val="15"/>
              </w:rPr>
              <w:t xml:space="preserve">combined</w:t>
            </w:r>
          </w:p>
        </w:tc>
        <w:tc>
          <w:tcPr/>
          <w:p>
            <w:pPr>
              <w:pStyle w:val="Compact"/>
            </w:pPr>
            <w:r>
              <w:rPr>
                <w:sz w:val="15"/>
              </w:rPr>
              <w:t xml:space="preserve">r2</w:t>
            </w:r>
          </w:p>
        </w:tc>
        <w:tc>
          <w:tcPr/>
          <w:p>
            <w:pPr>
              <w:pStyle w:val="Compact"/>
            </w:pPr>
            <w:r>
              <w:rPr>
                <w:sz w:val="15"/>
              </w:rPr>
              <w:t xml:space="preserve">0.6541</w:t>
            </w:r>
          </w:p>
        </w:tc>
        <w:tc>
          <w:tcPr/>
          <w:p>
            <w:pPr>
              <w:pStyle w:val="Compact"/>
            </w:pPr>
            <w:r>
              <w:rPr>
                <w:sz w:val="15"/>
              </w:rPr>
              <w:t xml:space="preserve">0.0511</w:t>
            </w:r>
          </w:p>
        </w:tc>
      </w:tr>
    </w:tbl>
    <w:p>
      <w:pPr>
        <w:pStyle w:val="BodyText"/>
      </w:pPr>
      <w:r>
        <w:t xml:space="preserve">The combination beats either block alone on most endpoints, but the margin over the fingerprint</w:t>
      </w:r>
      <w:r>
        <w:t xml:space="preserve"> </w:t>
      </w:r>
      <w:r>
        <w:t xml:space="preserve">alone is small. The twelve descriptors earn their place mainly on the exposure endpoints, where</w:t>
      </w:r>
      <w:r>
        <w:t xml:space="preserve"> </w:t>
      </w:r>
      <w:r>
        <w:t xml:space="preserve">physicochemistry is the mechanism, and contribute least where binding is substructure-driven.</w:t>
      </w:r>
    </w:p>
    <w:p>
      <w:pPr>
        <w:pStyle w:val="BlockText"/>
      </w:pPr>
      <w:r>
        <w:rPr>
          <w:b/>
          <w:bCs/>
        </w:rPr>
        <w:t xml:space="preserve">How to read the absolute values.</w:t>
      </w:r>
      <w:r>
        <w:t xml:space="preserve"> </w:t>
      </w:r>
      <w:r>
        <w:t xml:space="preserve">This analysis uses five-fold random cross-validation, not the</w:t>
      </w:r>
      <w:r>
        <w:t xml:space="preserve"> </w:t>
      </w:r>
      <w:r>
        <w:t xml:space="preserve">ten-fold random and scaffold-grouped regimes the headline figures use, so its numbers are not</w:t>
      </w:r>
      <w:r>
        <w:t xml:space="preserve"> </w:t>
      </w:r>
      <w:r>
        <w:t xml:space="preserve">comparable with section 6. Until it was corrected it also did not deduplicate, which inflated one</w:t>
      </w:r>
      <w:r>
        <w:t xml:space="preserve"> </w:t>
      </w:r>
      <w:r>
        <w:t xml:space="preserve">endpoint: measured against the deployed panel, seven of the eight classifiers agreed to within</w:t>
      </w:r>
      <w:r>
        <w:t xml:space="preserve"> </w:t>
      </w:r>
      <w:r>
        <w:t xml:space="preserve">0.011 AUROC while BBB read 0.060 high, BBB being where the feature-identical duplicates are</w:t>
      </w:r>
      <w:r>
        <w:t xml:space="preserve"> </w:t>
      </w:r>
      <w:r>
        <w:t xml:space="preserve">concentrated. The comparison this table exists to make, between blocks on identical data, is</w:t>
      </w:r>
      <w:r>
        <w:t xml:space="preserve"> </w:t>
      </w:r>
      <w:r>
        <w:t xml:space="preserve">unaffected either way, because whatever inflates one block inflates all three.</w:t>
      </w:r>
    </w:p>
    <w:bookmarkEnd w:id="60"/>
    <w:bookmarkStart w:id="61" w:name="would-more-data-have-helped"/>
    <w:p>
      <w:pPr>
        <w:pStyle w:val="Heading3"/>
      </w:pPr>
      <w:r>
        <w:t xml:space="preserve">7.3 Would more data have helped?</w:t>
      </w:r>
    </w:p>
    <w:p>
      <w:pPr>
        <w:pStyle w:val="FirstParagraph"/>
      </w:pPr>
      <w:r>
        <w:t xml:space="preserve">Performance against training-set fraction.</w:t>
      </w:r>
    </w:p>
    <w:tbl>
      <w:tblPr>
        <w:tblStyle w:val="Table"/>
        <w:tblW w:type="auto" w:w="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task</w:t>
            </w:r>
          </w:p>
        </w:tc>
        <w:tc>
          <w:tcPr>
            <w:shd w:val="clear" w:fill="EAF0F7"/>
          </w:tcPr>
          <w:p>
            <w:pPr>
              <w:pStyle w:val="Compact"/>
            </w:pPr>
            <w:r>
              <w:rPr>
                <w:b/>
                <w:sz w:val="17"/>
              </w:rPr>
              <w:t xml:space="preserve">train_fraction</w:t>
            </w:r>
          </w:p>
        </w:tc>
        <w:tc>
          <w:tcPr>
            <w:shd w:val="clear" w:fill="EAF0F7"/>
          </w:tcPr>
          <w:p>
            <w:pPr>
              <w:pStyle w:val="Compact"/>
            </w:pPr>
            <w:r>
              <w:rPr>
                <w:b/>
                <w:sz w:val="17"/>
              </w:rPr>
              <w:t xml:space="preserve">n_train</w:t>
            </w:r>
          </w:p>
        </w:tc>
        <w:tc>
          <w:tcPr>
            <w:shd w:val="clear" w:fill="EAF0F7"/>
          </w:tcPr>
          <w:p>
            <w:pPr>
              <w:pStyle w:val="Compact"/>
            </w:pPr>
            <w:r>
              <w:rPr>
                <w:b/>
                <w:sz w:val="17"/>
              </w:rPr>
              <w:t xml:space="preserve">n_test</w:t>
            </w:r>
          </w:p>
        </w:tc>
        <w:tc>
          <w:tcPr>
            <w:shd w:val="clear" w:fill="EAF0F7"/>
          </w:tcPr>
          <w:p>
            <w:pPr>
              <w:pStyle w:val="Compact"/>
            </w:pPr>
            <w:r>
              <w:rPr>
                <w:b/>
                <w:sz w:val="17"/>
              </w:rPr>
              <w:t xml:space="preserve">metric</w:t>
            </w:r>
          </w:p>
        </w:tc>
        <w:tc>
          <w:tcPr>
            <w:shd w:val="clear" w:fill="EAF0F7"/>
          </w:tcPr>
          <w:p>
            <w:pPr>
              <w:pStyle w:val="Compact"/>
            </w:pPr>
            <w:r>
              <w:rPr>
                <w:b/>
                <w:sz w:val="17"/>
              </w:rPr>
              <w:t xml:space="preserve">score</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0.1</w:t>
            </w:r>
          </w:p>
        </w:tc>
        <w:tc>
          <w:tcPr/>
          <w:p>
            <w:pPr>
              <w:pStyle w:val="Compact"/>
            </w:pPr>
            <w:r>
              <w:rPr>
                <w:sz w:val="15"/>
              </w:rPr>
              <w:t xml:space="preserve">650</w:t>
            </w:r>
          </w:p>
        </w:tc>
        <w:tc>
          <w:tcPr/>
          <w:p>
            <w:pPr>
              <w:pStyle w:val="Compact"/>
            </w:pPr>
            <w:r>
              <w:rPr>
                <w:sz w:val="15"/>
              </w:rPr>
              <w:t xml:space="preserve">1423</w:t>
            </w:r>
          </w:p>
        </w:tc>
        <w:tc>
          <w:tcPr/>
          <w:p>
            <w:pPr>
              <w:pStyle w:val="Compact"/>
            </w:pPr>
            <w:r>
              <w:rPr>
                <w:sz w:val="15"/>
              </w:rPr>
              <w:t xml:space="preserve">roc_auc</w:t>
            </w:r>
          </w:p>
        </w:tc>
        <w:tc>
          <w:tcPr/>
          <w:p>
            <w:pPr>
              <w:pStyle w:val="Compact"/>
            </w:pPr>
            <w:r>
              <w:rPr>
                <w:sz w:val="15"/>
              </w:rPr>
              <w:t xml:space="preserve">0.8668</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0.25</w:t>
            </w:r>
          </w:p>
        </w:tc>
        <w:tc>
          <w:tcPr/>
          <w:p>
            <w:pPr>
              <w:pStyle w:val="Compact"/>
            </w:pPr>
            <w:r>
              <w:rPr>
                <w:sz w:val="15"/>
              </w:rPr>
              <w:t xml:space="preserve">1457</w:t>
            </w:r>
          </w:p>
        </w:tc>
        <w:tc>
          <w:tcPr/>
          <w:p>
            <w:pPr>
              <w:pStyle w:val="Compact"/>
            </w:pPr>
            <w:r>
              <w:rPr>
                <w:sz w:val="15"/>
              </w:rPr>
              <w:t xml:space="preserve">1423</w:t>
            </w:r>
          </w:p>
        </w:tc>
        <w:tc>
          <w:tcPr/>
          <w:p>
            <w:pPr>
              <w:pStyle w:val="Compact"/>
            </w:pPr>
            <w:r>
              <w:rPr>
                <w:sz w:val="15"/>
              </w:rPr>
              <w:t xml:space="preserve">roc_auc</w:t>
            </w:r>
          </w:p>
        </w:tc>
        <w:tc>
          <w:tcPr/>
          <w:p>
            <w:pPr>
              <w:pStyle w:val="Compact"/>
            </w:pPr>
            <w:r>
              <w:rPr>
                <w:sz w:val="15"/>
              </w:rPr>
              <w:t xml:space="preserve">0.8794</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0.5</w:t>
            </w:r>
          </w:p>
        </w:tc>
        <w:tc>
          <w:tcPr/>
          <w:p>
            <w:pPr>
              <w:pStyle w:val="Compact"/>
            </w:pPr>
            <w:r>
              <w:rPr>
                <w:sz w:val="15"/>
              </w:rPr>
              <w:t xml:space="preserve">3050</w:t>
            </w:r>
          </w:p>
        </w:tc>
        <w:tc>
          <w:tcPr/>
          <w:p>
            <w:pPr>
              <w:pStyle w:val="Compact"/>
            </w:pPr>
            <w:r>
              <w:rPr>
                <w:sz w:val="15"/>
              </w:rPr>
              <w:t xml:space="preserve">1423</w:t>
            </w:r>
          </w:p>
        </w:tc>
        <w:tc>
          <w:tcPr/>
          <w:p>
            <w:pPr>
              <w:pStyle w:val="Compact"/>
            </w:pPr>
            <w:r>
              <w:rPr>
                <w:sz w:val="15"/>
              </w:rPr>
              <w:t xml:space="preserve">roc_auc</w:t>
            </w:r>
          </w:p>
        </w:tc>
        <w:tc>
          <w:tcPr/>
          <w:p>
            <w:pPr>
              <w:pStyle w:val="Compact"/>
            </w:pPr>
            <w:r>
              <w:rPr>
                <w:sz w:val="15"/>
              </w:rPr>
              <w:t xml:space="preserve">0.9276</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0.75</w:t>
            </w:r>
          </w:p>
        </w:tc>
        <w:tc>
          <w:tcPr/>
          <w:p>
            <w:pPr>
              <w:pStyle w:val="Compact"/>
            </w:pPr>
            <w:r>
              <w:rPr>
                <w:sz w:val="15"/>
              </w:rPr>
              <w:t xml:space="preserve">4676</w:t>
            </w:r>
          </w:p>
        </w:tc>
        <w:tc>
          <w:tcPr/>
          <w:p>
            <w:pPr>
              <w:pStyle w:val="Compact"/>
            </w:pPr>
            <w:r>
              <w:rPr>
                <w:sz w:val="15"/>
              </w:rPr>
              <w:t xml:space="preserve">1423</w:t>
            </w:r>
          </w:p>
        </w:tc>
        <w:tc>
          <w:tcPr/>
          <w:p>
            <w:pPr>
              <w:pStyle w:val="Compact"/>
            </w:pPr>
            <w:r>
              <w:rPr>
                <w:sz w:val="15"/>
              </w:rPr>
              <w:t xml:space="preserve">roc_auc</w:t>
            </w:r>
          </w:p>
        </w:tc>
        <w:tc>
          <w:tcPr/>
          <w:p>
            <w:pPr>
              <w:pStyle w:val="Compact"/>
            </w:pPr>
            <w:r>
              <w:rPr>
                <w:sz w:val="15"/>
              </w:rPr>
              <w:t xml:space="preserve">0.9278</w:t>
            </w:r>
          </w:p>
        </w:tc>
      </w:tr>
      <w:tr>
        <w:tc>
          <w:tcPr/>
          <w:p>
            <w:pPr>
              <w:pStyle w:val="Compact"/>
            </w:pPr>
            <w:r>
              <w:rPr>
                <w:sz w:val="15"/>
              </w:rPr>
              <w:t xml:space="preserve">BBB</w:t>
            </w:r>
          </w:p>
        </w:tc>
        <w:tc>
          <w:tcPr/>
          <w:p>
            <w:pPr>
              <w:pStyle w:val="Compact"/>
            </w:pPr>
            <w:r>
              <w:rPr>
                <w:sz w:val="15"/>
              </w:rPr>
              <w:t xml:space="preserve">classification</w:t>
            </w:r>
          </w:p>
        </w:tc>
        <w:tc>
          <w:tcPr/>
          <w:p>
            <w:pPr>
              <w:pStyle w:val="Compact"/>
            </w:pPr>
            <w:r>
              <w:rPr>
                <w:sz w:val="15"/>
              </w:rPr>
              <w:t xml:space="preserve">1.0</w:t>
            </w:r>
          </w:p>
        </w:tc>
        <w:tc>
          <w:tcPr/>
          <w:p>
            <w:pPr>
              <w:pStyle w:val="Compact"/>
            </w:pPr>
            <w:r>
              <w:rPr>
                <w:sz w:val="15"/>
              </w:rPr>
              <w:t xml:space="preserve">6382</w:t>
            </w:r>
          </w:p>
        </w:tc>
        <w:tc>
          <w:tcPr/>
          <w:p>
            <w:pPr>
              <w:pStyle w:val="Compact"/>
            </w:pPr>
            <w:r>
              <w:rPr>
                <w:sz w:val="15"/>
              </w:rPr>
              <w:t xml:space="preserve">1423</w:t>
            </w:r>
          </w:p>
        </w:tc>
        <w:tc>
          <w:tcPr/>
          <w:p>
            <w:pPr>
              <w:pStyle w:val="Compact"/>
            </w:pPr>
            <w:r>
              <w:rPr>
                <w:sz w:val="15"/>
              </w:rPr>
              <w:t xml:space="preserve">roc_auc</w:t>
            </w:r>
          </w:p>
        </w:tc>
        <w:tc>
          <w:tcPr/>
          <w:p>
            <w:pPr>
              <w:pStyle w:val="Compact"/>
            </w:pPr>
            <w:r>
              <w:rPr>
                <w:sz w:val="15"/>
              </w:rPr>
              <w:t xml:space="preserve">0.9325</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0.1</w:t>
            </w:r>
          </w:p>
        </w:tc>
        <w:tc>
          <w:tcPr/>
          <w:p>
            <w:pPr>
              <w:pStyle w:val="Compact"/>
            </w:pPr>
            <w:r>
              <w:rPr>
                <w:sz w:val="15"/>
              </w:rPr>
              <w:t xml:space="preserve">297</w:t>
            </w:r>
          </w:p>
        </w:tc>
        <w:tc>
          <w:tcPr/>
          <w:p>
            <w:pPr>
              <w:pStyle w:val="Compact"/>
            </w:pPr>
            <w:r>
              <w:rPr>
                <w:sz w:val="15"/>
              </w:rPr>
              <w:t xml:space="preserve">833</w:t>
            </w:r>
          </w:p>
        </w:tc>
        <w:tc>
          <w:tcPr/>
          <w:p>
            <w:pPr>
              <w:pStyle w:val="Compact"/>
            </w:pPr>
            <w:r>
              <w:rPr>
                <w:sz w:val="15"/>
              </w:rPr>
              <w:t xml:space="preserve">roc_auc</w:t>
            </w:r>
          </w:p>
        </w:tc>
        <w:tc>
          <w:tcPr/>
          <w:p>
            <w:pPr>
              <w:pStyle w:val="Compact"/>
            </w:pPr>
            <w:r>
              <w:rPr>
                <w:sz w:val="15"/>
              </w:rPr>
              <w:t xml:space="preserve">0.6783</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0.25</w:t>
            </w:r>
          </w:p>
        </w:tc>
        <w:tc>
          <w:tcPr/>
          <w:p>
            <w:pPr>
              <w:pStyle w:val="Compact"/>
            </w:pPr>
            <w:r>
              <w:rPr>
                <w:sz w:val="15"/>
              </w:rPr>
              <w:t xml:space="preserve">691</w:t>
            </w:r>
          </w:p>
        </w:tc>
        <w:tc>
          <w:tcPr/>
          <w:p>
            <w:pPr>
              <w:pStyle w:val="Compact"/>
            </w:pPr>
            <w:r>
              <w:rPr>
                <w:sz w:val="15"/>
              </w:rPr>
              <w:t xml:space="preserve">833</w:t>
            </w:r>
          </w:p>
        </w:tc>
        <w:tc>
          <w:tcPr/>
          <w:p>
            <w:pPr>
              <w:pStyle w:val="Compact"/>
            </w:pPr>
            <w:r>
              <w:rPr>
                <w:sz w:val="15"/>
              </w:rPr>
              <w:t xml:space="preserve">roc_auc</w:t>
            </w:r>
          </w:p>
        </w:tc>
        <w:tc>
          <w:tcPr/>
          <w:p>
            <w:pPr>
              <w:pStyle w:val="Compact"/>
            </w:pPr>
            <w:r>
              <w:rPr>
                <w:sz w:val="15"/>
              </w:rPr>
              <w:t xml:space="preserve">0.8026</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0.5</w:t>
            </w:r>
          </w:p>
        </w:tc>
        <w:tc>
          <w:tcPr/>
          <w:p>
            <w:pPr>
              <w:pStyle w:val="Compact"/>
            </w:pPr>
            <w:r>
              <w:rPr>
                <w:sz w:val="15"/>
              </w:rPr>
              <w:t xml:space="preserve">1333</w:t>
            </w:r>
          </w:p>
        </w:tc>
        <w:tc>
          <w:tcPr/>
          <w:p>
            <w:pPr>
              <w:pStyle w:val="Compact"/>
            </w:pPr>
            <w:r>
              <w:rPr>
                <w:sz w:val="15"/>
              </w:rPr>
              <w:t xml:space="preserve">833</w:t>
            </w:r>
          </w:p>
        </w:tc>
        <w:tc>
          <w:tcPr/>
          <w:p>
            <w:pPr>
              <w:pStyle w:val="Compact"/>
            </w:pPr>
            <w:r>
              <w:rPr>
                <w:sz w:val="15"/>
              </w:rPr>
              <w:t xml:space="preserve">roc_auc</w:t>
            </w:r>
          </w:p>
        </w:tc>
        <w:tc>
          <w:tcPr/>
          <w:p>
            <w:pPr>
              <w:pStyle w:val="Compact"/>
            </w:pPr>
            <w:r>
              <w:rPr>
                <w:sz w:val="15"/>
              </w:rPr>
              <w:t xml:space="preserve">0.841</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0.75</w:t>
            </w:r>
          </w:p>
        </w:tc>
        <w:tc>
          <w:tcPr/>
          <w:p>
            <w:pPr>
              <w:pStyle w:val="Compact"/>
            </w:pPr>
            <w:r>
              <w:rPr>
                <w:sz w:val="15"/>
              </w:rPr>
              <w:t xml:space="preserve">2257</w:t>
            </w:r>
          </w:p>
        </w:tc>
        <w:tc>
          <w:tcPr/>
          <w:p>
            <w:pPr>
              <w:pStyle w:val="Compact"/>
            </w:pPr>
            <w:r>
              <w:rPr>
                <w:sz w:val="15"/>
              </w:rPr>
              <w:t xml:space="preserve">833</w:t>
            </w:r>
          </w:p>
        </w:tc>
        <w:tc>
          <w:tcPr/>
          <w:p>
            <w:pPr>
              <w:pStyle w:val="Compact"/>
            </w:pPr>
            <w:r>
              <w:rPr>
                <w:sz w:val="15"/>
              </w:rPr>
              <w:t xml:space="preserve">roc_auc</w:t>
            </w:r>
          </w:p>
        </w:tc>
        <w:tc>
          <w:tcPr/>
          <w:p>
            <w:pPr>
              <w:pStyle w:val="Compact"/>
            </w:pPr>
            <w:r>
              <w:rPr>
                <w:sz w:val="15"/>
              </w:rPr>
              <w:t xml:space="preserve">0.864</w:t>
            </w:r>
          </w:p>
        </w:tc>
      </w:tr>
      <w:tr>
        <w:tc>
          <w:tcPr/>
          <w:p>
            <w:pPr>
              <w:pStyle w:val="Compact"/>
            </w:pPr>
            <w:r>
              <w:rPr>
                <w:sz w:val="15"/>
              </w:rPr>
              <w:t xml:space="preserve">MAO_A</w:t>
            </w:r>
          </w:p>
        </w:tc>
        <w:tc>
          <w:tcPr/>
          <w:p>
            <w:pPr>
              <w:pStyle w:val="Compact"/>
            </w:pPr>
            <w:r>
              <w:rPr>
                <w:sz w:val="15"/>
              </w:rPr>
              <w:t xml:space="preserve">classification</w:t>
            </w:r>
          </w:p>
        </w:tc>
        <w:tc>
          <w:tcPr/>
          <w:p>
            <w:pPr>
              <w:pStyle w:val="Compact"/>
            </w:pPr>
            <w:r>
              <w:rPr>
                <w:sz w:val="15"/>
              </w:rPr>
              <w:t xml:space="preserve">1.0</w:t>
            </w:r>
          </w:p>
        </w:tc>
        <w:tc>
          <w:tcPr/>
          <w:p>
            <w:pPr>
              <w:pStyle w:val="Compact"/>
            </w:pPr>
            <w:r>
              <w:rPr>
                <w:sz w:val="15"/>
              </w:rPr>
              <w:t xml:space="preserve">2956</w:t>
            </w:r>
          </w:p>
        </w:tc>
        <w:tc>
          <w:tcPr/>
          <w:p>
            <w:pPr>
              <w:pStyle w:val="Compact"/>
            </w:pPr>
            <w:r>
              <w:rPr>
                <w:sz w:val="15"/>
              </w:rPr>
              <w:t xml:space="preserve">833</w:t>
            </w:r>
          </w:p>
        </w:tc>
        <w:tc>
          <w:tcPr/>
          <w:p>
            <w:pPr>
              <w:pStyle w:val="Compact"/>
            </w:pPr>
            <w:r>
              <w:rPr>
                <w:sz w:val="15"/>
              </w:rPr>
              <w:t xml:space="preserve">roc_auc</w:t>
            </w:r>
          </w:p>
        </w:tc>
        <w:tc>
          <w:tcPr/>
          <w:p>
            <w:pPr>
              <w:pStyle w:val="Compact"/>
            </w:pPr>
            <w:r>
              <w:rPr>
                <w:sz w:val="15"/>
              </w:rPr>
              <w:t xml:space="preserve">0.8764</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0.1</w:t>
            </w:r>
          </w:p>
        </w:tc>
        <w:tc>
          <w:tcPr/>
          <w:p>
            <w:pPr>
              <w:pStyle w:val="Compact"/>
            </w:pPr>
            <w:r>
              <w:rPr>
                <w:sz w:val="15"/>
              </w:rPr>
              <w:t xml:space="preserve">679</w:t>
            </w:r>
          </w:p>
        </w:tc>
        <w:tc>
          <w:tcPr/>
          <w:p>
            <w:pPr>
              <w:pStyle w:val="Compact"/>
            </w:pPr>
            <w:r>
              <w:rPr>
                <w:sz w:val="15"/>
              </w:rPr>
              <w:t xml:space="preserve">1806</w:t>
            </w:r>
          </w:p>
        </w:tc>
        <w:tc>
          <w:tcPr/>
          <w:p>
            <w:pPr>
              <w:pStyle w:val="Compact"/>
            </w:pPr>
            <w:r>
              <w:rPr>
                <w:sz w:val="15"/>
              </w:rPr>
              <w:t xml:space="preserve">roc_auc</w:t>
            </w:r>
          </w:p>
        </w:tc>
        <w:tc>
          <w:tcPr/>
          <w:p>
            <w:pPr>
              <w:pStyle w:val="Compact"/>
            </w:pPr>
            <w:r>
              <w:rPr>
                <w:sz w:val="15"/>
              </w:rPr>
              <w:t xml:space="preserve">0.8945</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0.25</w:t>
            </w:r>
          </w:p>
        </w:tc>
        <w:tc>
          <w:tcPr/>
          <w:p>
            <w:pPr>
              <w:pStyle w:val="Compact"/>
            </w:pPr>
            <w:r>
              <w:rPr>
                <w:sz w:val="15"/>
              </w:rPr>
              <w:t xml:space="preserve">1862</w:t>
            </w:r>
          </w:p>
        </w:tc>
        <w:tc>
          <w:tcPr/>
          <w:p>
            <w:pPr>
              <w:pStyle w:val="Compact"/>
            </w:pPr>
            <w:r>
              <w:rPr>
                <w:sz w:val="15"/>
              </w:rPr>
              <w:t xml:space="preserve">1806</w:t>
            </w:r>
          </w:p>
        </w:tc>
        <w:tc>
          <w:tcPr/>
          <w:p>
            <w:pPr>
              <w:pStyle w:val="Compact"/>
            </w:pPr>
            <w:r>
              <w:rPr>
                <w:sz w:val="15"/>
              </w:rPr>
              <w:t xml:space="preserve">roc_auc</w:t>
            </w:r>
          </w:p>
        </w:tc>
        <w:tc>
          <w:tcPr/>
          <w:p>
            <w:pPr>
              <w:pStyle w:val="Compact"/>
            </w:pPr>
            <w:r>
              <w:rPr>
                <w:sz w:val="15"/>
              </w:rPr>
              <w:t xml:space="preserve">0.9064</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0.5</w:t>
            </w:r>
          </w:p>
        </w:tc>
        <w:tc>
          <w:tcPr/>
          <w:p>
            <w:pPr>
              <w:pStyle w:val="Compact"/>
            </w:pPr>
            <w:r>
              <w:rPr>
                <w:sz w:val="15"/>
              </w:rPr>
              <w:t xml:space="preserve">3530</w:t>
            </w:r>
          </w:p>
        </w:tc>
        <w:tc>
          <w:tcPr/>
          <w:p>
            <w:pPr>
              <w:pStyle w:val="Compact"/>
            </w:pPr>
            <w:r>
              <w:rPr>
                <w:sz w:val="15"/>
              </w:rPr>
              <w:t xml:space="preserve">1806</w:t>
            </w:r>
          </w:p>
        </w:tc>
        <w:tc>
          <w:tcPr/>
          <w:p>
            <w:pPr>
              <w:pStyle w:val="Compact"/>
            </w:pPr>
            <w:r>
              <w:rPr>
                <w:sz w:val="15"/>
              </w:rPr>
              <w:t xml:space="preserve">roc_auc</w:t>
            </w:r>
          </w:p>
        </w:tc>
        <w:tc>
          <w:tcPr/>
          <w:p>
            <w:pPr>
              <w:pStyle w:val="Compact"/>
            </w:pPr>
            <w:r>
              <w:rPr>
                <w:sz w:val="15"/>
              </w:rPr>
              <w:t xml:space="preserve">0.9293</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0.75</w:t>
            </w:r>
          </w:p>
        </w:tc>
        <w:tc>
          <w:tcPr/>
          <w:p>
            <w:pPr>
              <w:pStyle w:val="Compact"/>
            </w:pPr>
            <w:r>
              <w:rPr>
                <w:sz w:val="15"/>
              </w:rPr>
              <w:t xml:space="preserve">5233</w:t>
            </w:r>
          </w:p>
        </w:tc>
        <w:tc>
          <w:tcPr/>
          <w:p>
            <w:pPr>
              <w:pStyle w:val="Compact"/>
            </w:pPr>
            <w:r>
              <w:rPr>
                <w:sz w:val="15"/>
              </w:rPr>
              <w:t xml:space="preserve">1806</w:t>
            </w:r>
          </w:p>
        </w:tc>
        <w:tc>
          <w:tcPr/>
          <w:p>
            <w:pPr>
              <w:pStyle w:val="Compact"/>
            </w:pPr>
            <w:r>
              <w:rPr>
                <w:sz w:val="15"/>
              </w:rPr>
              <w:t xml:space="preserve">roc_auc</w:t>
            </w:r>
          </w:p>
        </w:tc>
        <w:tc>
          <w:tcPr/>
          <w:p>
            <w:pPr>
              <w:pStyle w:val="Compact"/>
            </w:pPr>
            <w:r>
              <w:rPr>
                <w:sz w:val="15"/>
              </w:rPr>
              <w:t xml:space="preserve">0.9387</w:t>
            </w:r>
          </w:p>
        </w:tc>
      </w:tr>
      <w:tr>
        <w:tc>
          <w:tcPr/>
          <w:p>
            <w:pPr>
              <w:pStyle w:val="Compact"/>
            </w:pPr>
            <w:r>
              <w:rPr>
                <w:sz w:val="15"/>
              </w:rPr>
              <w:t xml:space="preserve">BACE1</w:t>
            </w:r>
          </w:p>
        </w:tc>
        <w:tc>
          <w:tcPr/>
          <w:p>
            <w:pPr>
              <w:pStyle w:val="Compact"/>
            </w:pPr>
            <w:r>
              <w:rPr>
                <w:sz w:val="15"/>
              </w:rPr>
              <w:t xml:space="preserve">classification</w:t>
            </w:r>
          </w:p>
        </w:tc>
        <w:tc>
          <w:tcPr/>
          <w:p>
            <w:pPr>
              <w:pStyle w:val="Compact"/>
            </w:pPr>
            <w:r>
              <w:rPr>
                <w:sz w:val="15"/>
              </w:rPr>
              <w:t xml:space="preserve">1.0</w:t>
            </w:r>
          </w:p>
        </w:tc>
        <w:tc>
          <w:tcPr/>
          <w:p>
            <w:pPr>
              <w:pStyle w:val="Compact"/>
            </w:pPr>
            <w:r>
              <w:rPr>
                <w:sz w:val="15"/>
              </w:rPr>
              <w:t xml:space="preserve">7156</w:t>
            </w:r>
          </w:p>
        </w:tc>
        <w:tc>
          <w:tcPr/>
          <w:p>
            <w:pPr>
              <w:pStyle w:val="Compact"/>
            </w:pPr>
            <w:r>
              <w:rPr>
                <w:sz w:val="15"/>
              </w:rPr>
              <w:t xml:space="preserve">1806</w:t>
            </w:r>
          </w:p>
        </w:tc>
        <w:tc>
          <w:tcPr/>
          <w:p>
            <w:pPr>
              <w:pStyle w:val="Compact"/>
            </w:pPr>
            <w:r>
              <w:rPr>
                <w:sz w:val="15"/>
              </w:rPr>
              <w:t xml:space="preserve">roc_auc</w:t>
            </w:r>
          </w:p>
        </w:tc>
        <w:tc>
          <w:tcPr/>
          <w:p>
            <w:pPr>
              <w:pStyle w:val="Compact"/>
            </w:pPr>
            <w:r>
              <w:rPr>
                <w:sz w:val="15"/>
              </w:rPr>
              <w:t xml:space="preserve">0.9481</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0.1</w:t>
            </w:r>
          </w:p>
        </w:tc>
        <w:tc>
          <w:tcPr/>
          <w:p>
            <w:pPr>
              <w:pStyle w:val="Compact"/>
            </w:pPr>
            <w:r>
              <w:rPr>
                <w:sz w:val="15"/>
              </w:rPr>
              <w:t xml:space="preserve">618</w:t>
            </w:r>
          </w:p>
        </w:tc>
        <w:tc>
          <w:tcPr/>
          <w:p>
            <w:pPr>
              <w:pStyle w:val="Compact"/>
            </w:pPr>
            <w:r>
              <w:rPr>
                <w:sz w:val="15"/>
              </w:rPr>
              <w:t xml:space="preserve">1433</w:t>
            </w:r>
          </w:p>
        </w:tc>
        <w:tc>
          <w:tcPr/>
          <w:p>
            <w:pPr>
              <w:pStyle w:val="Compact"/>
            </w:pPr>
            <w:r>
              <w:rPr>
                <w:sz w:val="15"/>
              </w:rPr>
              <w:t xml:space="preserve">r2</w:t>
            </w:r>
          </w:p>
        </w:tc>
        <w:tc>
          <w:tcPr/>
          <w:p>
            <w:pPr>
              <w:pStyle w:val="Compact"/>
            </w:pPr>
            <w:r>
              <w:rPr>
                <w:sz w:val="15"/>
              </w:rPr>
              <w:t xml:space="preserve">0.3892</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0.25</w:t>
            </w:r>
          </w:p>
        </w:tc>
        <w:tc>
          <w:tcPr/>
          <w:p>
            <w:pPr>
              <w:pStyle w:val="Compact"/>
            </w:pPr>
            <w:r>
              <w:rPr>
                <w:sz w:val="15"/>
              </w:rPr>
              <w:t xml:space="preserve">1395</w:t>
            </w:r>
          </w:p>
        </w:tc>
        <w:tc>
          <w:tcPr/>
          <w:p>
            <w:pPr>
              <w:pStyle w:val="Compact"/>
            </w:pPr>
            <w:r>
              <w:rPr>
                <w:sz w:val="15"/>
              </w:rPr>
              <w:t xml:space="preserve">1433</w:t>
            </w:r>
          </w:p>
        </w:tc>
        <w:tc>
          <w:tcPr/>
          <w:p>
            <w:pPr>
              <w:pStyle w:val="Compact"/>
            </w:pPr>
            <w:r>
              <w:rPr>
                <w:sz w:val="15"/>
              </w:rPr>
              <w:t xml:space="preserve">r2</w:t>
            </w:r>
          </w:p>
        </w:tc>
        <w:tc>
          <w:tcPr/>
          <w:p>
            <w:pPr>
              <w:pStyle w:val="Compact"/>
            </w:pPr>
            <w:r>
              <w:rPr>
                <w:sz w:val="15"/>
              </w:rPr>
              <w:t xml:space="preserve">0.4666</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0.5</w:t>
            </w:r>
          </w:p>
        </w:tc>
        <w:tc>
          <w:tcPr/>
          <w:p>
            <w:pPr>
              <w:pStyle w:val="Compact"/>
            </w:pPr>
            <w:r>
              <w:rPr>
                <w:sz w:val="15"/>
              </w:rPr>
              <w:t xml:space="preserve">2702</w:t>
            </w:r>
          </w:p>
        </w:tc>
        <w:tc>
          <w:tcPr/>
          <w:p>
            <w:pPr>
              <w:pStyle w:val="Compact"/>
            </w:pPr>
            <w:r>
              <w:rPr>
                <w:sz w:val="15"/>
              </w:rPr>
              <w:t xml:space="preserve">1433</w:t>
            </w:r>
          </w:p>
        </w:tc>
        <w:tc>
          <w:tcPr/>
          <w:p>
            <w:pPr>
              <w:pStyle w:val="Compact"/>
            </w:pPr>
            <w:r>
              <w:rPr>
                <w:sz w:val="15"/>
              </w:rPr>
              <w:t xml:space="preserve">r2</w:t>
            </w:r>
          </w:p>
        </w:tc>
        <w:tc>
          <w:tcPr/>
          <w:p>
            <w:pPr>
              <w:pStyle w:val="Compact"/>
            </w:pPr>
            <w:r>
              <w:rPr>
                <w:sz w:val="15"/>
              </w:rPr>
              <w:t xml:space="preserve">0.5369</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0.75</w:t>
            </w:r>
          </w:p>
        </w:tc>
        <w:tc>
          <w:tcPr/>
          <w:p>
            <w:pPr>
              <w:pStyle w:val="Compact"/>
            </w:pPr>
            <w:r>
              <w:rPr>
                <w:sz w:val="15"/>
              </w:rPr>
              <w:t xml:space="preserve">4114</w:t>
            </w:r>
          </w:p>
        </w:tc>
        <w:tc>
          <w:tcPr/>
          <w:p>
            <w:pPr>
              <w:pStyle w:val="Compact"/>
            </w:pPr>
            <w:r>
              <w:rPr>
                <w:sz w:val="15"/>
              </w:rPr>
              <w:t xml:space="preserve">1433</w:t>
            </w:r>
          </w:p>
        </w:tc>
        <w:tc>
          <w:tcPr/>
          <w:p>
            <w:pPr>
              <w:pStyle w:val="Compact"/>
            </w:pPr>
            <w:r>
              <w:rPr>
                <w:sz w:val="15"/>
              </w:rPr>
              <w:t xml:space="preserve">r2</w:t>
            </w:r>
          </w:p>
        </w:tc>
        <w:tc>
          <w:tcPr/>
          <w:p>
            <w:pPr>
              <w:pStyle w:val="Compact"/>
            </w:pPr>
            <w:r>
              <w:rPr>
                <w:sz w:val="15"/>
              </w:rPr>
              <w:t xml:space="preserve">0.6136</w:t>
            </w:r>
          </w:p>
        </w:tc>
      </w:tr>
      <w:tr>
        <w:tc>
          <w:tcPr/>
          <w:p>
            <w:pPr>
              <w:pStyle w:val="Compact"/>
            </w:pPr>
            <w:r>
              <w:rPr>
                <w:sz w:val="15"/>
              </w:rPr>
              <w:t xml:space="preserve">A2A</w:t>
            </w:r>
          </w:p>
        </w:tc>
        <w:tc>
          <w:tcPr/>
          <w:p>
            <w:pPr>
              <w:pStyle w:val="Compact"/>
            </w:pPr>
            <w:r>
              <w:rPr>
                <w:sz w:val="15"/>
              </w:rPr>
              <w:t xml:space="preserve">regression</w:t>
            </w:r>
          </w:p>
        </w:tc>
        <w:tc>
          <w:tcPr/>
          <w:p>
            <w:pPr>
              <w:pStyle w:val="Compact"/>
            </w:pPr>
            <w:r>
              <w:rPr>
                <w:sz w:val="15"/>
              </w:rPr>
              <w:t xml:space="preserve">1.0</w:t>
            </w:r>
          </w:p>
        </w:tc>
        <w:tc>
          <w:tcPr/>
          <w:p>
            <w:pPr>
              <w:pStyle w:val="Compact"/>
            </w:pPr>
            <w:r>
              <w:rPr>
                <w:sz w:val="15"/>
              </w:rPr>
              <w:t xml:space="preserve">5568</w:t>
            </w:r>
          </w:p>
        </w:tc>
        <w:tc>
          <w:tcPr/>
          <w:p>
            <w:pPr>
              <w:pStyle w:val="Compact"/>
            </w:pPr>
            <w:r>
              <w:rPr>
                <w:sz w:val="15"/>
              </w:rPr>
              <w:t xml:space="preserve">1433</w:t>
            </w:r>
          </w:p>
        </w:tc>
        <w:tc>
          <w:tcPr/>
          <w:p>
            <w:pPr>
              <w:pStyle w:val="Compact"/>
            </w:pPr>
            <w:r>
              <w:rPr>
                <w:sz w:val="15"/>
              </w:rPr>
              <w:t xml:space="preserve">r2</w:t>
            </w:r>
          </w:p>
        </w:tc>
        <w:tc>
          <w:tcPr/>
          <w:p>
            <w:pPr>
              <w:pStyle w:val="Compact"/>
            </w:pPr>
            <w:r>
              <w:rPr>
                <w:sz w:val="15"/>
              </w:rPr>
              <w:t xml:space="preserve">0.6223</w:t>
            </w:r>
          </w:p>
        </w:tc>
      </w:tr>
    </w:tbl>
    <w:p>
      <w:pPr>
        <w:pStyle w:val="BodyText"/>
      </w:pPr>
      <w:r>
        <w:t xml:space="preserve">The curves flatten well before the full training set, which is the argument against expecting a</w:t>
      </w:r>
      <w:r>
        <w:t xml:space="preserve"> </w:t>
      </w:r>
      <w:r>
        <w:t xml:space="preserve">larger pull to change the result, and the argument for the effort having gone into the</w:t>
      </w:r>
      <w:r>
        <w:t xml:space="preserve"> </w:t>
      </w:r>
      <w:r>
        <w:rPr>
          <w:i/>
          <w:iCs/>
        </w:rPr>
        <w:t xml:space="preserve">negative</w:t>
      </w:r>
      <w:r>
        <w:rPr>
          <w:i/>
          <w:iCs/>
        </w:rPr>
        <w:t xml:space="preserve"> </w:t>
      </w:r>
      <w:r>
        <w:rPr>
          <w:i/>
          <w:iCs/>
        </w:rPr>
        <w:t xml:space="preserve">class</w:t>
      </w:r>
      <w:r>
        <w:t xml:space="preserve"> </w:t>
      </w:r>
      <w:r>
        <w:t xml:space="preserve">instead.</w:t>
      </w:r>
    </w:p>
    <w:bookmarkEnd w:id="61"/>
    <w:bookmarkStart w:id="62" w:name="approaches-deliberately-not-taken"/>
    <w:p>
      <w:pPr>
        <w:pStyle w:val="Heading3"/>
      </w:pPr>
      <w:r>
        <w:t xml:space="preserve">7.4 Approaches deliberately not taken</w:t>
      </w:r>
    </w:p>
    <w:p>
      <w:pPr>
        <w:pStyle w:val="Compact"/>
        <w:numPr>
          <w:ilvl w:val="0"/>
          <w:numId w:val="1009"/>
        </w:numPr>
      </w:pPr>
      <w:r>
        <w:rPr>
          <w:b/>
          <w:bCs/>
        </w:rPr>
        <w:t xml:space="preserve">Docking or physics-based scoring.</w:t>
      </w:r>
      <w:r>
        <w:t xml:space="preserve"> </w:t>
      </w:r>
      <w:r>
        <w:t xml:space="preserve">Requires a structure per target, is orders of magnitude</w:t>
      </w:r>
      <w:r>
        <w:t xml:space="preserve"> </w:t>
      </w:r>
      <w:r>
        <w:t xml:space="preserve">slower, and does not produce a calibrated probability. It answers a different question.</w:t>
      </w:r>
    </w:p>
    <w:p>
      <w:pPr>
        <w:pStyle w:val="Compact"/>
        <w:numPr>
          <w:ilvl w:val="0"/>
          <w:numId w:val="1009"/>
        </w:numPr>
      </w:pPr>
      <w:r>
        <w:rPr>
          <w:b/>
          <w:bCs/>
        </w:rPr>
        <w:t xml:space="preserve">Training on qualitative annotation.</w:t>
      </w:r>
      <w:r>
        <w:t xml:space="preserve"> </w:t>
      </w:r>
      <w:r>
        <w:t xml:space="preserve">ChEMBL carries curator-assigned activity comments. Using</w:t>
      </w:r>
      <w:r>
        <w:t xml:space="preserve"> </w:t>
      </w:r>
      <w:r>
        <w:t xml:space="preserve">them would multiply the training data, and would make the model a restatement of a curator’s</w:t>
      </w:r>
      <w:r>
        <w:t xml:space="preserve"> </w:t>
      </w:r>
      <w:r>
        <w:t xml:space="preserve">opinion rather than of a measurement.</w:t>
      </w:r>
    </w:p>
    <w:p>
      <w:pPr>
        <w:pStyle w:val="Compact"/>
        <w:numPr>
          <w:ilvl w:val="0"/>
          <w:numId w:val="1009"/>
        </w:numPr>
      </w:pPr>
      <w:r>
        <w:rPr>
          <w:b/>
          <w:bCs/>
        </w:rPr>
        <w:t xml:space="preserve">A learned meta-model over the panel.</w:t>
      </w:r>
      <w:r>
        <w:t xml:space="preserve"> </w:t>
      </w:r>
      <w:r>
        <w:t xml:space="preserve">Would need compounds labelled with ground-truth disease</w:t>
      </w:r>
      <w:r>
        <w:t xml:space="preserve"> </w:t>
      </w:r>
      <w:r>
        <w:t xml:space="preserve">relevance. That set does not exist, so the combination rule is stated rather than fitted.</w:t>
      </w:r>
    </w:p>
    <w:p>
      <w:pPr>
        <w:pStyle w:val="Compact"/>
        <w:numPr>
          <w:ilvl w:val="0"/>
          <w:numId w:val="1009"/>
        </w:numPr>
      </w:pPr>
      <w:r>
        <w:rPr>
          <w:b/>
          <w:bCs/>
        </w:rPr>
        <w:t xml:space="preserve">Fine-tuning a pretrained chemical language model.</w:t>
      </w:r>
      <w:r>
        <w:t xml:space="preserve"> </w:t>
      </w:r>
      <w:r>
        <w:t xml:space="preserve">Plausible, and untested here. It is the most</w:t>
      </w:r>
      <w:r>
        <w:t xml:space="preserve"> </w:t>
      </w:r>
      <w:r>
        <w:t xml:space="preserve">defensible thing an unconvinced reader could ask for next.</w:t>
      </w:r>
    </w:p>
    <w:p>
      <w:r>
        <w:pict>
          <v:rect style="width:0;height:1.5pt" o:hralign="center" o:hrstd="t" o:hr="t"/>
        </w:pict>
      </w:r>
    </w:p>
    <w:bookmarkEnd w:id="62"/>
    <w:bookmarkEnd w:id="63"/>
    <w:bookmarkStart w:id="71" w:name="known-limitations"/>
    <w:p>
      <w:pPr>
        <w:pStyle w:val="Heading2"/>
      </w:pPr>
      <w:r>
        <w:t xml:space="preserve">8. Known limitations</w:t>
      </w:r>
    </w:p>
    <w:p>
      <w:pPr>
        <w:pStyle w:val="FirstParagraph"/>
      </w:pPr>
      <w:r>
        <w:t xml:space="preserve">Stated because a tool that reports only what works cannot be checked.</w:t>
      </w:r>
    </w:p>
    <w:p>
      <w:pPr>
        <w:pStyle w:val="Compact"/>
        <w:numPr>
          <w:ilvl w:val="0"/>
          <w:numId w:val="1010"/>
        </w:numPr>
      </w:pPr>
      <w:r>
        <w:rPr>
          <w:b/>
          <w:bCs/>
        </w:rPr>
        <w:t xml:space="preserve">The applicability-domain flag is a weak signal.</w:t>
      </w:r>
      <w:r>
        <w:t xml:space="preserve"> </w:t>
      </w:r>
      <w:r>
        <w:t xml:space="preserve">Its adversarial check now passes, after its controls were corrected, but it separates only weakly and does not cleanly separate</w:t>
      </w:r>
      <w:r>
        <w:t xml:space="preserve"> </w:t>
      </w:r>
      <w:r>
        <w:t xml:space="preserve">non-drug-like chemistry from unseen drugs. Read the conformal interval and the nearest-analogue</w:t>
      </w:r>
      <w:r>
        <w:t xml:space="preserve"> </w:t>
      </w:r>
      <w:r>
        <w:t xml:space="preserve">distance instead.</w:t>
      </w:r>
    </w:p>
    <w:p>
      <w:pPr>
        <w:pStyle w:val="Compact"/>
        <w:numPr>
          <w:ilvl w:val="0"/>
          <w:numId w:val="1010"/>
        </w:numPr>
      </w:pPr>
      <w:r>
        <w:rPr>
          <w:b/>
          <w:bCs/>
        </w:rPr>
        <w:t xml:space="preserve">Specificity is a lower bound.</w:t>
      </w:r>
      <w:r>
        <w:t xml:space="preserve"> </w:t>
      </w:r>
      <w:r>
        <w:t xml:space="preserve">It rests on compounds presumed inactive because nothing is</w:t>
      </w:r>
      <w:r>
        <w:t xml:space="preserve"> </w:t>
      </w:r>
      <w:r>
        <w:t xml:space="preserve">recorded about them, drawn from within the reference library, so it does not bound behaviour on</w:t>
      </w:r>
      <w:r>
        <w:t xml:space="preserve"> </w:t>
      </w:r>
      <w:r>
        <w:t xml:space="preserve">genuinely distant chemistry.</w:t>
      </w:r>
    </w:p>
    <w:p>
      <w:pPr>
        <w:pStyle w:val="Compact"/>
        <w:numPr>
          <w:ilvl w:val="0"/>
          <w:numId w:val="1010"/>
        </w:numPr>
      </w:pPr>
      <w:r>
        <w:rPr>
          <w:b/>
          <w:bCs/>
        </w:rPr>
        <w:t xml:space="preserve">Natural-product chemistry is largely outside the training library</w:t>
      </w:r>
      <w:r>
        <w:t xml:space="preserve">, whose median fraction-sp3</w:t>
      </w:r>
      <w:r>
        <w:t xml:space="preserve"> </w:t>
      </w:r>
      <w:r>
        <w:t xml:space="preserve">is 0.34, and only 9.2 per cent of it is both sp3-rich and free of</w:t>
      </w:r>
      <w:r>
        <w:t xml:space="preserve"> </w:t>
      </w:r>
      <w:r>
        <w:t xml:space="preserve">aromatic rings. Extending the panel to targets natural products are actually assayed</w:t>
      </w:r>
      <w:r>
        <w:t xml:space="preserve"> </w:t>
      </w:r>
      <w:r>
        <w:t xml:space="preserve">against was</w:t>
      </w:r>
      <w:r>
        <w:t xml:space="preserve"> </w:t>
      </w:r>
      <w:r>
        <w:t xml:space="preserve">attempted, and the three endpoints added all failed and were withdrawn.</w:t>
      </w:r>
    </w:p>
    <w:p>
      <w:pPr>
        <w:pStyle w:val="Compact"/>
        <w:numPr>
          <w:ilvl w:val="0"/>
          <w:numId w:val="1010"/>
        </w:numPr>
      </w:pPr>
      <w:r>
        <w:rPr>
          <w:b/>
          <w:bCs/>
        </w:rPr>
        <w:t xml:space="preserve">The disease layer does not predict indication.</w:t>
      </w:r>
      <w:r>
        <w:t xml:space="preserve"> </w:t>
      </w:r>
      <w:r>
        <w:t xml:space="preserve">27 of the 51 targets in the pathway graph drive</w:t>
      </w:r>
      <w:r>
        <w:t xml:space="preserve"> </w:t>
      </w:r>
      <w:r>
        <w:t xml:space="preserve">more than one condition. It does not beat a frequency baseline at any reporting depth, and</w:t>
      </w:r>
      <w:r>
        <w:t xml:space="preserve"> </w:t>
      </w:r>
      <w:r>
        <w:t xml:space="preserve">reporting more conditions widens the gap rather than closing it. It is a route from a mechanism to</w:t>
      </w:r>
      <w:r>
        <w:t xml:space="preserve"> </w:t>
      </w:r>
      <w:r>
        <w:t xml:space="preserve">the conditions that mechanism touches.</w:t>
      </w:r>
    </w:p>
    <w:p>
      <w:pPr>
        <w:pStyle w:val="Compact"/>
        <w:numPr>
          <w:ilvl w:val="0"/>
          <w:numId w:val="1010"/>
        </w:numPr>
      </w:pPr>
      <w:r>
        <w:rPr>
          <w:b/>
          <w:bCs/>
        </w:rPr>
        <w:t xml:space="preserve">Chirality is not represented.</w:t>
      </w:r>
      <w:r>
        <w:t xml:space="preserve"> </w:t>
      </w:r>
      <w:r>
        <w:t xml:space="preserve">Two enantiomers give identical predictions.</w:t>
      </w:r>
    </w:p>
    <w:p>
      <w:pPr>
        <w:pStyle w:val="Compact"/>
        <w:numPr>
          <w:ilvl w:val="0"/>
          <w:numId w:val="1010"/>
        </w:numPr>
      </w:pPr>
      <w:r>
        <w:rPr>
          <w:b/>
          <w:bCs/>
        </w:rPr>
        <w:t xml:space="preserve">Agonism and antagonism are not distinguished.</w:t>
      </w:r>
      <w:r>
        <w:t xml:space="preserve"> </w:t>
      </w:r>
      <w:r>
        <w:t xml:space="preserve">Both bind, and the models are trained on binding.</w:t>
      </w:r>
    </w:p>
    <w:bookmarkStart w:id="64" w:name="endpoints-trained-and-withdrawn"/>
    <w:p>
      <w:pPr>
        <w:pStyle w:val="Heading3"/>
      </w:pPr>
      <w:r>
        <w:t xml:space="preserve">8.1 Endpoints trained and withdrawn</w:t>
      </w:r>
    </w:p>
    <w:tbl>
      <w:tblPr>
        <w:tblStyle w:val="Table"/>
        <w:tblW w:type="pct" w:w="5000"/>
        <w:jc w:val="center"/>
        <w:tblLayout w:type="autofit"/>
        <w:tblLook w:firstRow="1" w:lastRow="0" w:firstColumn="0" w:lastColumn="0" w:noHBand="0" w:noVBand="0" w:val="0020"/>
        <w:tblLayout w:type="autofit"/>
      </w:tblPr>
      <w:tblGrid>
        <w:gridCol w:w="1980"/>
        <w:gridCol w:w="1980"/>
        <w:gridCol w:w="1980"/>
        <w:gridCol w:w="1980"/>
      </w:tblGrid>
      <w:tr>
        <w:trPr>
          <w:tblHeader w:val="on"/>
          <w:tblHeader w:val="true"/>
        </w:trPr>
        <w:tc>
          <w:tcPr>
            <w:shd w:val="clear" w:fill="EAF0F7"/>
          </w:tcPr>
          <w:p>
            <w:pPr>
              <w:pStyle w:val="Compact"/>
            </w:pPr>
            <w:r>
              <w:rPr>
                <w:b/>
                <w:sz w:val="17"/>
              </w:rPr>
              <w:t xml:space="preserve">endpoint</w:t>
            </w:r>
          </w:p>
        </w:tc>
        <w:tc>
          <w:tcPr>
            <w:shd w:val="clear" w:fill="EAF0F7"/>
          </w:tcPr>
          <w:p>
            <w:pPr>
              <w:pStyle w:val="Compact"/>
            </w:pPr>
            <w:r>
              <w:rPr>
                <w:b/>
                <w:sz w:val="17"/>
              </w:rPr>
              <w:t xml:space="preserve">AUROC vs measured inactives</w:t>
            </w:r>
          </w:p>
        </w:tc>
        <w:tc>
          <w:tcPr>
            <w:shd w:val="clear" w:fill="EAF0F7"/>
          </w:tcPr>
          <w:p>
            <w:pPr>
              <w:pStyle w:val="Compact"/>
            </w:pPr>
            <w:r>
              <w:rPr>
                <w:b/>
                <w:sz w:val="17"/>
              </w:rPr>
              <w:t xml:space="preserve">sensitivity</w:t>
            </w:r>
          </w:p>
        </w:tc>
        <w:tc>
          <w:tcPr>
            <w:shd w:val="clear" w:fill="EAF0F7"/>
          </w:tcPr>
          <w:p>
            <w:pPr>
              <w:pStyle w:val="Compact"/>
            </w:pPr>
            <w:r>
              <w:rPr>
                <w:b/>
                <w:sz w:val="17"/>
              </w:rPr>
              <w:t xml:space="preserve">why withdrawn</w:t>
            </w:r>
          </w:p>
        </w:tc>
      </w:tr>
      <w:tr>
        <w:tc>
          <w:tcPr/>
          <w:p>
            <w:pPr>
              <w:pStyle w:val="Compact"/>
            </w:pPr>
            <w:r>
              <w:t xml:space="preserve">GluA2</w:t>
            </w:r>
          </w:p>
        </w:tc>
        <w:tc>
          <w:tcPr/>
          <w:p>
            <w:pPr>
              <w:pStyle w:val="Compact"/>
            </w:pPr>
            <w:r>
              <w:t xml:space="preserve">0.696</w:t>
            </w:r>
          </w:p>
        </w:tc>
        <w:tc>
          <w:tcPr/>
          <w:p>
            <w:pPr>
              <w:pStyle w:val="Compact"/>
            </w:pPr>
            <w:r>
              <w:t xml:space="preserve">0.103</w:t>
            </w:r>
          </w:p>
        </w:tc>
        <w:tc>
          <w:tcPr/>
          <w:p>
            <w:pPr>
              <w:pStyle w:val="Compact"/>
            </w:pPr>
            <w:r>
              <w:t xml:space="preserve">fires on glucose and atenolol at its calibrated threshold of 0.629, reaching 0.719 on a trivial molecule, with a random-chemistry false-positive rate of 0.072 and a sensitivity of</w:t>
            </w:r>
          </w:p>
        </w:tc>
      </w:tr>
      <w:tr>
        <w:tc>
          <w:tcPr/>
          <w:p>
            <w:pPr>
              <w:pStyle w:val="Compact"/>
            </w:pPr>
            <w:r>
              <w:t xml:space="preserve">Nav1_1</w:t>
            </w:r>
          </w:p>
        </w:tc>
        <w:tc>
          <w:tcPr/>
          <w:p>
            <w:pPr>
              <w:pStyle w:val="Compact"/>
            </w:pPr>
            <w:r>
              <w:t xml:space="preserve">0.952</w:t>
            </w:r>
          </w:p>
        </w:tc>
        <w:tc>
          <w:tcPr/>
          <w:p>
            <w:pPr>
              <w:pStyle w:val="Compact"/>
            </w:pPr>
            <w:r>
              <w:t xml:space="preserve">0.12</w:t>
            </w:r>
          </w:p>
        </w:tc>
        <w:tc>
          <w:tcPr/>
          <w:p>
            <w:pPr>
              <w:pStyle w:val="Compact"/>
            </w:pPr>
            <w:r>
              <w:t xml:space="preserve">fires on glucose, urea, glycine, lactate and atenolol at its calibrated threshold of 0.571, with a random-chemistry false-positive rate of 0.080. Holding 5 per cent on random chemi</w:t>
            </w:r>
          </w:p>
        </w:tc>
      </w:tr>
      <w:tr>
        <w:tc>
          <w:tcPr/>
          <w:p>
            <w:pPr>
              <w:pStyle w:val="Compact"/>
            </w:pPr>
            <w:r>
              <w:t xml:space="preserve">NRF2</w:t>
            </w:r>
          </w:p>
        </w:tc>
        <w:tc>
          <w:tcPr/>
          <w:p>
            <w:pPr>
              <w:pStyle w:val="Compact"/>
            </w:pPr>
            <w:r>
              <w:t xml:space="preserve">0.789</w:t>
            </w:r>
          </w:p>
        </w:tc>
        <w:tc>
          <w:tcPr/>
          <w:p>
            <w:pPr>
              <w:pStyle w:val="Compact"/>
            </w:pPr>
            <w:r>
              <w:t xml:space="preserve">0.545</w:t>
            </w:r>
          </w:p>
        </w:tc>
        <w:tc>
          <w:tcPr/>
          <w:p>
            <w:pPr>
              <w:pStyle w:val="Compact"/>
            </w:pPr>
            <w:r>
              <w:t xml:space="preserve">added to test natural-product coverage. Its random-chemistry false-positive rate is 0.057, above the 5 per cent the panel holds to, and reaching that rate would need a threshold of</w:t>
            </w:r>
          </w:p>
        </w:tc>
      </w:tr>
      <w:tr>
        <w:tc>
          <w:tcPr/>
          <w:p>
            <w:pPr>
              <w:pStyle w:val="Compact"/>
            </w:pPr>
            <w:r>
              <w:t xml:space="preserve">NFKB1</w:t>
            </w:r>
          </w:p>
        </w:tc>
        <w:tc>
          <w:tcPr/>
          <w:p>
            <w:pPr>
              <w:pStyle w:val="Compact"/>
            </w:pPr>
            <w:r>
              <w:t xml:space="preserve">0.459</w:t>
            </w:r>
          </w:p>
        </w:tc>
        <w:tc>
          <w:tcPr/>
          <w:p>
            <w:pPr>
              <w:pStyle w:val="Compact"/>
            </w:pPr>
            <w:r>
              <w:t xml:space="preserve">0.0</w:t>
            </w:r>
          </w:p>
        </w:tc>
        <w:tc>
          <w:tcPr/>
          <w:p>
            <w:pPr>
              <w:pStyle w:val="Compact"/>
            </w:pPr>
            <w:r>
              <w:t xml:space="preserve">added to test natural-product coverage. Fires on glucose, urea, acetate, glycine and lactate at its calibrated threshold of 0.416, and scores AUROC 0.459 against its own held-out m</w:t>
            </w:r>
          </w:p>
        </w:tc>
      </w:tr>
      <w:tr>
        <w:tc>
          <w:tcPr/>
          <w:p>
            <w:pPr>
              <w:pStyle w:val="Compact"/>
            </w:pPr>
            <w:r>
              <w:t xml:space="preserve">NR3C1</w:t>
            </w:r>
          </w:p>
        </w:tc>
        <w:tc>
          <w:tcPr/>
          <w:p>
            <w:pPr>
              <w:pStyle w:val="Compact"/>
            </w:pPr>
            <w:r>
              <w:t xml:space="preserve">0.41</w:t>
            </w:r>
          </w:p>
        </w:tc>
        <w:tc>
          <w:tcPr/>
          <w:p>
            <w:pPr>
              <w:pStyle w:val="Compact"/>
            </w:pPr>
            <w:r>
              <w:t xml:space="preserve">0.167</w:t>
            </w:r>
          </w:p>
        </w:tc>
        <w:tc>
          <w:tcPr/>
          <w:p>
            <w:pPr>
              <w:pStyle w:val="Compact"/>
            </w:pPr>
            <w:r>
              <w:t xml:space="preserve">added to test natural-product coverage. It passes the specificity audit, firing on no trivial molecule, and fails on discrimination instead: AUROC 0.410 against its own held-out me</w:t>
            </w:r>
          </w:p>
        </w:tc>
      </w:tr>
    </w:tbl>
    <w:p>
      <w:pPr>
        <w:pStyle w:val="BodyText"/>
      </w:pPr>
      <w:r>
        <w:t xml:space="preserve">Withdrawal is re-derived whenever the panel is refitted rather than carried forward, because it is a</w:t>
      </w:r>
      <w:r>
        <w:t xml:space="preserve"> </w:t>
      </w:r>
      <w:r>
        <w:t xml:space="preserve">claim about a particular fit. When the panel was last retrained, Cav3.2 stopped failing and was</w:t>
      </w:r>
    </w:p>
    <w:p>
      <w:r>
        <w:pict>
          <v:rect style="width:0;height:1.5pt" o:hralign="center" o:hrstd="t" o:hr="t"/>
        </w:pict>
      </w:r>
    </w:p>
    <w:bookmarkEnd w:id="64"/>
    <w:bookmarkStart w:id="70" w:name="X07b8c6069856654fbd18aef0ac8f3d4162bf50f"/>
    <w:p>
      <w:pPr>
        <w:pStyle w:val="Heading3"/>
      </w:pPr>
      <w:r>
        <w:t xml:space="preserve">8.2 Criticisms anticipated, and what the evidence says</w:t>
      </w:r>
    </w:p>
    <w:p>
      <w:pPr>
        <w:pStyle w:val="FirstParagraph"/>
      </w:pPr>
      <w:r>
        <w:t xml:space="preserve">Five objections are foreseeable, and each is answered here with a measurement rather than an</w:t>
      </w:r>
      <w:r>
        <w:t xml:space="preserve"> </w:t>
      </w:r>
      <w:r>
        <w:t xml:space="preserve">argument. Two of them turned out to be right, one turned out to be a defect in the test rather than</w:t>
      </w:r>
      <w:r>
        <w:t xml:space="preserve"> </w:t>
      </w:r>
      <w:r>
        <w:t xml:space="preserve">in the tool, and two are bounded more narrowly than the objection assumes.</w:t>
      </w:r>
    </w:p>
    <w:bookmarkStart w:id="65" w:name="Xecedc707b5cf7251c69af4fc0729d2319c99899"/>
    <w:p>
      <w:pPr>
        <w:pStyle w:val="Heading4"/>
      </w:pPr>
      <w:r>
        <w:t xml:space="preserve">8.2.1 The disease layer does not beat a frequency baseline</w:t>
      </w:r>
    </w:p>
    <w:p>
      <w:pPr>
        <w:pStyle w:val="FirstParagraph"/>
      </w:pPr>
      <w:r>
        <w:rPr>
          <w:b/>
          <w:bCs/>
        </w:rPr>
        <w:t xml:space="preserve">Partly right, and the comparison is the wrong one.</w:t>
      </w:r>
      <w:r>
        <w:t xml:space="preserve"> </w:t>
      </w:r>
      <w:r>
        <w:t xml:space="preserve">On top-3 accuracy over drugs never seen in</w:t>
      </w:r>
      <w:r>
        <w:t xml:space="preserve"> </w:t>
      </w:r>
      <w:r>
        <w:t xml:space="preserve">training the layer scores 0.352 against a frequency null of 0.654, and that is reported as it stands.</w:t>
      </w:r>
      <w:r>
        <w:t xml:space="preserve"> </w:t>
      </w:r>
      <w:r>
        <w:t xml:space="preserve">But the frequency null answers</w:t>
      </w:r>
      <w:r>
        <w:t xml:space="preserve"> </w:t>
      </w:r>
      <w:r>
        <w:rPr>
          <w:i/>
          <w:iCs/>
        </w:rPr>
        <w:t xml:space="preserve">chronic pain, depression, psychosis</w:t>
      </w:r>
      <w:r>
        <w:t xml:space="preserve"> </w:t>
      </w:r>
      <w:r>
        <w:t xml:space="preserve">for every compound it is shown.</w:t>
      </w:r>
      <w:r>
        <w:t xml:space="preserve"> </w:t>
      </w:r>
      <w:r>
        <w:t xml:space="preserve">It is right often because 40 per cent of approved CNS drugs treat chronic pain, not because it knows</w:t>
      </w:r>
      <w:r>
        <w:t xml:space="preserve"> </w:t>
      </w:r>
      <w:r>
        <w:t xml:space="preserve">anything, and it cannot rank one molecule against another, which is the only thing a triage tool is</w:t>
      </w:r>
      <w:r>
        <w:t xml:space="preserve"> </w:t>
      </w:r>
      <w:r>
        <w:t xml:space="preserve">for. Top-k accuracy against a constant predictor rewards guessing the base rate.</w:t>
      </w:r>
    </w:p>
    <w:p>
      <w:pPr>
        <w:pStyle w:val="BodyText"/>
      </w:pPr>
      <w:r>
        <w:t xml:space="preserve">Two metrics a constant predictor cannot pass were therefore measured, on the same 162 drugs:</w:t>
      </w:r>
    </w:p>
    <w:tbl>
      <w:tblPr>
        <w:tblStyle w:val="Table"/>
        <w:tblW w:type="auto" w:w="0"/>
        <w:jc w:val="center"/>
        <w:tblLayout w:type="autofit"/>
        <w:tblLook w:firstRow="1" w:lastRow="0" w:firstColumn="0" w:lastColumn="0" w:noHBand="0" w:noVBand="0" w:val="0020"/>
        <w:tblLayout w:type="autofit"/>
      </w:tblPr>
      <w:tblGrid>
        <w:gridCol w:w="1980"/>
        <w:gridCol w:w="1980"/>
        <w:gridCol w:w="1980"/>
        <w:gridCol w:w="1980"/>
      </w:tblGrid>
      <w:tr>
        <w:trPr>
          <w:tblHeader w:val="on"/>
          <w:tblHeader w:val="true"/>
        </w:trPr>
        <w:tc>
          <w:tcPr>
            <w:shd w:val="clear" w:fill="EAF0F7"/>
          </w:tcPr>
          <w:p>
            <w:pPr>
              <w:pStyle w:val="Compact"/>
            </w:pPr>
            <w:r>
              <w:rPr>
                <w:b/>
                <w:sz w:val="17"/>
              </w:rPr>
              <w:t xml:space="preserve">indication</w:t>
            </w:r>
          </w:p>
        </w:tc>
        <w:tc>
          <w:tcPr>
            <w:shd w:val="clear" w:fill="EAF0F7"/>
          </w:tcPr>
          <w:p>
            <w:pPr>
              <w:pStyle w:val="Compact"/>
            </w:pPr>
            <w:r>
              <w:rPr>
                <w:b/>
                <w:sz w:val="17"/>
              </w:rPr>
              <w:t xml:space="preserve">n_drugs_with_it</w:t>
            </w:r>
          </w:p>
        </w:tc>
        <w:tc>
          <w:tcPr>
            <w:shd w:val="clear" w:fill="EAF0F7"/>
          </w:tcPr>
          <w:p>
            <w:pPr>
              <w:pStyle w:val="Compact"/>
            </w:pPr>
            <w:r>
              <w:rPr>
                <w:b/>
                <w:sz w:val="17"/>
              </w:rPr>
              <w:t xml:space="preserve">auroc_model</w:t>
            </w:r>
          </w:p>
        </w:tc>
        <w:tc>
          <w:tcPr>
            <w:shd w:val="clear" w:fill="EAF0F7"/>
          </w:tcPr>
          <w:p>
            <w:pPr>
              <w:pStyle w:val="Compact"/>
            </w:pPr>
            <w:r>
              <w:rPr>
                <w:b/>
                <w:sz w:val="17"/>
              </w:rPr>
              <w:t xml:space="preserve">auroc_frequency_null</w:t>
            </w:r>
          </w:p>
        </w:tc>
      </w:tr>
      <w:tr>
        <w:tc>
          <w:tcPr/>
          <w:p>
            <w:pPr>
              <w:pStyle w:val="Compact"/>
            </w:pPr>
            <w:r>
              <w:t xml:space="preserve">Depression / anxiety</w:t>
            </w:r>
          </w:p>
        </w:tc>
        <w:tc>
          <w:tcPr/>
          <w:p>
            <w:pPr>
              <w:pStyle w:val="Compact"/>
            </w:pPr>
            <w:r>
              <w:t xml:space="preserve">31</w:t>
            </w:r>
          </w:p>
        </w:tc>
        <w:tc>
          <w:tcPr/>
          <w:p>
            <w:pPr>
              <w:pStyle w:val="Compact"/>
            </w:pPr>
            <w:r>
              <w:t xml:space="preserve">0.7981</w:t>
            </w:r>
          </w:p>
        </w:tc>
        <w:tc>
          <w:tcPr/>
          <w:p>
            <w:pPr>
              <w:pStyle w:val="Compact"/>
            </w:pPr>
            <w:r>
              <w:t xml:space="preserve">0.5</w:t>
            </w:r>
          </w:p>
        </w:tc>
      </w:tr>
      <w:tr>
        <w:tc>
          <w:tcPr/>
          <w:p>
            <w:pPr>
              <w:pStyle w:val="Compact"/>
            </w:pPr>
            <w:r>
              <w:t xml:space="preserve">Psychosis / schizophrenia</w:t>
            </w:r>
          </w:p>
        </w:tc>
        <w:tc>
          <w:tcPr/>
          <w:p>
            <w:pPr>
              <w:pStyle w:val="Compact"/>
            </w:pPr>
            <w:r>
              <w:t xml:space="preserve">18</w:t>
            </w:r>
          </w:p>
        </w:tc>
        <w:tc>
          <w:tcPr/>
          <w:p>
            <w:pPr>
              <w:pStyle w:val="Compact"/>
            </w:pPr>
            <w:r>
              <w:t xml:space="preserve">0.7647</w:t>
            </w:r>
          </w:p>
        </w:tc>
        <w:tc>
          <w:tcPr/>
          <w:p>
            <w:pPr>
              <w:pStyle w:val="Compact"/>
            </w:pPr>
            <w:r>
              <w:t xml:space="preserve">0.5</w:t>
            </w:r>
          </w:p>
        </w:tc>
      </w:tr>
      <w:tr>
        <w:tc>
          <w:tcPr/>
          <w:p>
            <w:pPr>
              <w:pStyle w:val="Compact"/>
            </w:pPr>
            <w:r>
              <w:t xml:space="preserve">Alzheimer’s disease</w:t>
            </w:r>
          </w:p>
        </w:tc>
        <w:tc>
          <w:tcPr/>
          <w:p>
            <w:pPr>
              <w:pStyle w:val="Compact"/>
            </w:pPr>
            <w:r>
              <w:t xml:space="preserve">9</w:t>
            </w:r>
          </w:p>
        </w:tc>
        <w:tc>
          <w:tcPr/>
          <w:p>
            <w:pPr>
              <w:pStyle w:val="Compact"/>
            </w:pPr>
            <w:r>
              <w:t xml:space="preserve">0.6565</w:t>
            </w:r>
          </w:p>
        </w:tc>
        <w:tc>
          <w:tcPr/>
          <w:p>
            <w:pPr>
              <w:pStyle w:val="Compact"/>
            </w:pPr>
            <w:r>
              <w:t xml:space="preserve">0.5</w:t>
            </w:r>
          </w:p>
        </w:tc>
      </w:tr>
      <w:tr>
        <w:tc>
          <w:tcPr/>
          <w:p>
            <w:pPr>
              <w:pStyle w:val="Compact"/>
            </w:pPr>
            <w:r>
              <w:t xml:space="preserve">Chronic pain</w:t>
            </w:r>
          </w:p>
        </w:tc>
        <w:tc>
          <w:tcPr/>
          <w:p>
            <w:pPr>
              <w:pStyle w:val="Compact"/>
            </w:pPr>
            <w:r>
              <w:t xml:space="preserve">64</w:t>
            </w:r>
          </w:p>
        </w:tc>
        <w:tc>
          <w:tcPr/>
          <w:p>
            <w:pPr>
              <w:pStyle w:val="Compact"/>
            </w:pPr>
            <w:r>
              <w:t xml:space="preserve">0.6456</w:t>
            </w:r>
          </w:p>
        </w:tc>
        <w:tc>
          <w:tcPr/>
          <w:p>
            <w:pPr>
              <w:pStyle w:val="Compact"/>
            </w:pPr>
            <w:r>
              <w:t xml:space="preserve">0.5</w:t>
            </w:r>
          </w:p>
        </w:tc>
      </w:tr>
      <w:tr>
        <w:tc>
          <w:tcPr/>
          <w:p>
            <w:pPr>
              <w:pStyle w:val="Compact"/>
            </w:pPr>
            <w:r>
              <w:t xml:space="preserve">Parkinson’s disease</w:t>
            </w:r>
          </w:p>
        </w:tc>
        <w:tc>
          <w:tcPr/>
          <w:p>
            <w:pPr>
              <w:pStyle w:val="Compact"/>
            </w:pPr>
            <w:r>
              <w:t xml:space="preserve">15</w:t>
            </w:r>
          </w:p>
        </w:tc>
        <w:tc>
          <w:tcPr/>
          <w:p>
            <w:pPr>
              <w:pStyle w:val="Compact"/>
            </w:pPr>
            <w:r>
              <w:t xml:space="preserve">0.622</w:t>
            </w:r>
          </w:p>
        </w:tc>
        <w:tc>
          <w:tcPr/>
          <w:p>
            <w:pPr>
              <w:pStyle w:val="Compact"/>
            </w:pPr>
            <w:r>
              <w:t xml:space="preserve">0.5</w:t>
            </w:r>
          </w:p>
        </w:tc>
      </w:tr>
      <w:tr>
        <w:tc>
          <w:tcPr/>
          <w:p>
            <w:pPr>
              <w:pStyle w:val="Compact"/>
            </w:pPr>
            <w:r>
              <w:t xml:space="preserve">Addiction</w:t>
            </w:r>
          </w:p>
        </w:tc>
        <w:tc>
          <w:tcPr/>
          <w:p>
            <w:pPr>
              <w:pStyle w:val="Compact"/>
            </w:pPr>
            <w:r>
              <w:t xml:space="preserve">7</w:t>
            </w:r>
          </w:p>
        </w:tc>
        <w:tc>
          <w:tcPr/>
          <w:p>
            <w:pPr>
              <w:pStyle w:val="Compact"/>
            </w:pPr>
            <w:r>
              <w:t xml:space="preserve">0.5659</w:t>
            </w:r>
          </w:p>
        </w:tc>
        <w:tc>
          <w:tcPr/>
          <w:p>
            <w:pPr>
              <w:pStyle w:val="Compact"/>
            </w:pPr>
            <w:r>
              <w:t xml:space="preserve">0.5</w:t>
            </w:r>
          </w:p>
        </w:tc>
      </w:tr>
      <w:tr>
        <w:tc>
          <w:tcPr/>
          <w:p>
            <w:pPr>
              <w:pStyle w:val="Compact"/>
            </w:pPr>
            <w:r>
              <w:t xml:space="preserve">ADHD</w:t>
            </w:r>
          </w:p>
        </w:tc>
        <w:tc>
          <w:tcPr/>
          <w:p>
            <w:pPr>
              <w:pStyle w:val="Compact"/>
            </w:pPr>
            <w:r>
              <w:t xml:space="preserve">12</w:t>
            </w:r>
          </w:p>
        </w:tc>
        <w:tc>
          <w:tcPr/>
          <w:p>
            <w:pPr>
              <w:pStyle w:val="Compact"/>
            </w:pPr>
            <w:r>
              <w:t xml:space="preserve">0.5006</w:t>
            </w:r>
          </w:p>
        </w:tc>
        <w:tc>
          <w:tcPr/>
          <w:p>
            <w:pPr>
              <w:pStyle w:val="Compact"/>
            </w:pPr>
            <w:r>
              <w:t xml:space="preserve">0.5</w:t>
            </w:r>
          </w:p>
        </w:tc>
      </w:tr>
      <w:tr>
        <w:tc>
          <w:tcPr/>
          <w:p>
            <w:pPr>
              <w:pStyle w:val="Compact"/>
            </w:pPr>
            <w:r>
              <w:t xml:space="preserve">Sleep / wakefulness</w:t>
            </w:r>
          </w:p>
        </w:tc>
        <w:tc>
          <w:tcPr/>
          <w:p>
            <w:pPr>
              <w:pStyle w:val="Compact"/>
            </w:pPr>
            <w:r>
              <w:t xml:space="preserve">10</w:t>
            </w:r>
          </w:p>
        </w:tc>
        <w:tc>
          <w:tcPr/>
          <w:p>
            <w:pPr>
              <w:pStyle w:val="Compact"/>
            </w:pPr>
            <w:r>
              <w:t xml:space="preserve">0.4993</w:t>
            </w:r>
          </w:p>
        </w:tc>
        <w:tc>
          <w:tcPr/>
          <w:p>
            <w:pPr>
              <w:pStyle w:val="Compact"/>
            </w:pPr>
            <w:r>
              <w:t xml:space="preserve">0.5</w:t>
            </w:r>
          </w:p>
        </w:tc>
      </w:tr>
      <w:tr>
        <w:tc>
          <w:tcPr/>
          <w:p>
            <w:pPr>
              <w:pStyle w:val="Compact"/>
            </w:pPr>
            <w:r>
              <w:t xml:space="preserve">Epilepsy</w:t>
            </w:r>
          </w:p>
        </w:tc>
        <w:tc>
          <w:tcPr/>
          <w:p>
            <w:pPr>
              <w:pStyle w:val="Compact"/>
            </w:pPr>
            <w:r>
              <w:t xml:space="preserve">15</w:t>
            </w:r>
          </w:p>
        </w:tc>
        <w:tc>
          <w:tcPr/>
          <w:p>
            <w:pPr>
              <w:pStyle w:val="Compact"/>
            </w:pPr>
            <w:r>
              <w:t xml:space="preserve">0.4898</w:t>
            </w:r>
          </w:p>
        </w:tc>
        <w:tc>
          <w:tcPr/>
          <w:p>
            <w:pPr>
              <w:pStyle w:val="Compact"/>
            </w:pPr>
            <w:r>
              <w:t xml:space="preserve">0.5</w:t>
            </w:r>
          </w:p>
        </w:tc>
      </w:tr>
    </w:tbl>
    <w:p>
      <w:pPr>
        <w:pStyle w:val="BodyText"/>
      </w:pPr>
      <w:r>
        <w:t xml:space="preserve">Mean per-indication AUROC is</w:t>
      </w:r>
      <w:r>
        <w:t xml:space="preserve"> </w:t>
      </w:r>
      <w:r>
        <w:rPr>
          <w:b/>
          <w:bCs/>
        </w:rPr>
        <w:t xml:space="preserve">0.616</w:t>
      </w:r>
      <w:r>
        <w:t xml:space="preserve"> </w:t>
      </w:r>
      <w:r>
        <w:t xml:space="preserve">against</w:t>
      </w:r>
      <w:r>
        <w:t xml:space="preserve"> </w:t>
      </w:r>
      <w:r>
        <w:rPr>
          <w:b/>
          <w:bCs/>
        </w:rPr>
        <w:t xml:space="preserve">0.500</w:t>
      </w:r>
      <w:r>
        <w:t xml:space="preserve"> </w:t>
      </w:r>
      <w:r>
        <w:t xml:space="preserve">for any constant</w:t>
      </w:r>
      <w:r>
        <w:t xml:space="preserve"> </w:t>
      </w:r>
      <w:r>
        <w:t xml:space="preserve">predictor, and the layer beats chance on</w:t>
      </w:r>
      <w:r>
        <w:t xml:space="preserve"> </w:t>
      </w:r>
      <w:r>
        <w:rPr>
          <w:b/>
          <w:bCs/>
        </w:rPr>
        <w:t xml:space="preserve">7 of 9</w:t>
      </w:r>
      <w:r>
        <w:t xml:space="preserve"> </w:t>
      </w:r>
      <w:r>
        <w:t xml:space="preserve">indications. Macro-averaged top-3</w:t>
      </w:r>
      <w:r>
        <w:t xml:space="preserve"> </w:t>
      </w:r>
      <w:r>
        <w:t xml:space="preserve">recall, which averages per indication rather than pooling and so cannot be carried by naming the</w:t>
      </w:r>
      <w:r>
        <w:t xml:space="preserve"> </w:t>
      </w:r>
      <w:r>
        <w:t xml:space="preserve">common conditions, is</w:t>
      </w:r>
      <w:r>
        <w:t xml:space="preserve"> </w:t>
      </w:r>
      <w:r>
        <w:rPr>
          <w:b/>
          <w:bCs/>
        </w:rPr>
        <w:t xml:space="preserve">0.385 against 0.333</w:t>
      </w:r>
      <w:r>
        <w:t xml:space="preserve">.</w:t>
      </w:r>
    </w:p>
    <w:p>
      <w:pPr>
        <w:pStyle w:val="BodyText"/>
      </w:pPr>
      <w:r>
        <w:t xml:space="preserve">The honest reading is that the layer responds to the compound, decisively for depression (0.794) and</w:t>
      </w:r>
      <w:r>
        <w:t xml:space="preserve"> </w:t>
      </w:r>
      <w:r>
        <w:t xml:space="preserve">psychosis (0.765), and not at all for epilepsy (0.490) or sleep (0.499), both of which sit at or just below chance. That is a layer</w:t>
      </w:r>
      <w:r>
        <w:t xml:space="preserve"> </w:t>
      </w:r>
      <w:r>
        <w:t xml:space="preserve">worth shipping as a route from mechanism to condition and not worth shipping as an indication</w:t>
      </w:r>
      <w:r>
        <w:t xml:space="preserve"> </w:t>
      </w:r>
      <w:r>
        <w:t xml:space="preserve">prediction, which is exactly how it is presented.</w:t>
      </w:r>
    </w:p>
    <w:bookmarkEnd w:id="65"/>
    <w:bookmarkStart w:id="66" w:name="chirality-is-not-represented"/>
    <w:p>
      <w:pPr>
        <w:pStyle w:val="Heading4"/>
      </w:pPr>
      <w:r>
        <w:t xml:space="preserve">8.2.2 Chirality is not represented</w:t>
      </w:r>
    </w:p>
    <w:p>
      <w:pPr>
        <w:pStyle w:val="FirstParagraph"/>
      </w:pPr>
      <w:r>
        <w:rPr>
          <w:b/>
          <w:bCs/>
        </w:rPr>
        <w:t xml:space="preserve">Right, and now bounded.</w:t>
      </w:r>
      <w:r>
        <w:t xml:space="preserve"> </w:t>
      </w:r>
      <w:r>
        <w:t xml:space="preserve">The featuriser excludes stereochemistry, so two enantiomers receive</w:t>
      </w:r>
      <w:r>
        <w:t xml:space="preserve"> </w:t>
      </w:r>
      <w:r>
        <w:t xml:space="preserve">identical predictions. For a CNS panel this is the sharpest available criticism, and the correct</w:t>
      </w:r>
      <w:r>
        <w:t xml:space="preserve"> </w:t>
      </w:r>
      <w:r>
        <w:t xml:space="preserve">response is to measure what it costs rather than to concede it in the abstract.</w:t>
      </w:r>
    </w:p>
    <w:tbl>
      <w:tblPr>
        <w:tblStyle w:val="Table"/>
        <w:tblW w:type="pct" w:w="5000"/>
        <w:jc w:val="center"/>
        <w:tblLayout w:type="autofit"/>
        <w:tblLook w:firstRow="0" w:lastRow="0" w:firstColumn="0" w:lastColumn="0" w:noHBand="0" w:noVBand="0" w:val="0000"/>
        <w:tblLayout w:type="autofit"/>
      </w:tblPr>
      <w:tblGrid>
        <w:gridCol w:w="3960"/>
        <w:gridCol w:w="3960"/>
      </w:tblGrid>
      <w:tr>
        <w:trPr>
          <w:tblHeader w:val="true"/>
        </w:trPr>
        <w:tc>
          <w:tcPr>
            <w:shd w:val="clear" w:fill="EAF0F7"/>
          </w:tcPr>
          <w:p>
            <w:pPr>
              <w:pStyle w:val="Compact"/>
            </w:pPr>
            <w:r>
              <w:rPr>
                <w:b/>
                <w:sz w:val="17"/>
              </w:rPr>
              <w:t xml:space="preserve">Training structures carrying an assigned stereocentre</w:t>
            </w:r>
          </w:p>
        </w:tc>
        <w:tc>
          <w:tcPr>
            <w:shd w:val="clear" w:fill="EAF0F7"/>
          </w:tcPr>
          <w:p>
            <w:pPr>
              <w:pStyle w:val="Compact"/>
            </w:pPr>
            <w:r>
              <w:rPr>
                <w:b/>
                <w:sz w:val="17"/>
              </w:rPr>
              <w:t xml:space="preserve">93,102 of 228,198 (40.8 per cent)</w:t>
            </w:r>
          </w:p>
        </w:tc>
      </w:tr>
      <w:tr>
        <w:tc>
          <w:tcPr/>
          <w:p>
            <w:pPr>
              <w:pStyle w:val="Compact"/>
            </w:pPr>
            <w:r>
              <w:t xml:space="preserve">Skeletons present as two or more stereoisomers at one endpoint</w:t>
            </w:r>
          </w:p>
        </w:tc>
        <w:tc>
          <w:tcPr/>
          <w:p>
            <w:pPr>
              <w:pStyle w:val="Compact"/>
            </w:pPr>
            <w:r>
              <w:t xml:space="preserve">8,013</w:t>
            </w:r>
          </w:p>
        </w:tc>
      </w:tr>
      <w:tr>
        <w:tc>
          <w:tcPr/>
          <w:p>
            <w:pPr>
              <w:pStyle w:val="Compact"/>
            </w:pPr>
            <w:r>
              <w:t xml:space="preserve">Of those pairs, labels</w:t>
            </w:r>
            <w:r>
              <w:t xml:space="preserve"> </w:t>
            </w:r>
            <w:r>
              <w:rPr>
                <w:b/>
                <w:bCs/>
              </w:rPr>
              <w:t xml:space="preserve">agree</w:t>
            </w:r>
          </w:p>
        </w:tc>
        <w:tc>
          <w:tcPr/>
          <w:p>
            <w:pPr>
              <w:pStyle w:val="Compact"/>
            </w:pPr>
            <w:r>
              <w:t xml:space="preserve">7,579 (94.6 per cent)</w:t>
            </w:r>
          </w:p>
        </w:tc>
      </w:tr>
      <w:tr>
        <w:tc>
          <w:tcPr/>
          <w:p>
            <w:pPr>
              <w:pStyle w:val="Compact"/>
            </w:pPr>
            <w:r>
              <w:t xml:space="preserve">Of those pairs, labels</w:t>
            </w:r>
            <w:r>
              <w:t xml:space="preserve"> </w:t>
            </w:r>
            <w:r>
              <w:rPr>
                <w:b/>
                <w:bCs/>
              </w:rPr>
              <w:t xml:space="preserve">disagree</w:t>
            </w:r>
          </w:p>
        </w:tc>
        <w:tc>
          <w:tcPr/>
          <w:p>
            <w:pPr>
              <w:pStyle w:val="Compact"/>
            </w:pPr>
            <w:r>
              <w:t xml:space="preserve">434 (5.4 per cent)</w:t>
            </w:r>
          </w:p>
        </w:tc>
      </w:tr>
      <w:tr>
        <w:tc>
          <w:tcPr/>
          <w:p>
            <w:pPr>
              <w:pStyle w:val="Compact"/>
            </w:pPr>
            <w:r>
              <w:t xml:space="preserve">Median potency gap within a stereo pair</w:t>
            </w:r>
          </w:p>
        </w:tc>
        <w:tc>
          <w:tcPr/>
          <w:p>
            <w:pPr>
              <w:pStyle w:val="Compact"/>
            </w:pPr>
            <w:r>
              <w:t xml:space="preserve">0.41 log units</w:t>
            </w:r>
          </w:p>
        </w:tc>
      </w:tr>
      <w:tr>
        <w:tc>
          <w:tcPr/>
          <w:p>
            <w:pPr>
              <w:pStyle w:val="Compact"/>
            </w:pPr>
            <w:r>
              <w:t xml:space="preserve">Pairs differing by more than one log unit</w:t>
            </w:r>
          </w:p>
        </w:tc>
        <w:tc>
          <w:tcPr/>
          <w:p>
            <w:pPr>
              <w:pStyle w:val="Compact"/>
            </w:pPr>
            <w:r>
              <w:t xml:space="preserve">1,698 (24.7 per cent)</w:t>
            </w:r>
          </w:p>
        </w:tc>
      </w:tr>
      <w:tr>
        <w:tc>
          <w:tcPr/>
          <w:p>
            <w:pPr>
              <w:pStyle w:val="Compact"/>
            </w:pPr>
            <w:r>
              <w:t xml:space="preserve">Share of the whole panel where chirality could change a class call</w:t>
            </w:r>
          </w:p>
        </w:tc>
        <w:tc>
          <w:tcPr/>
          <w:p>
            <w:pPr>
              <w:pStyle w:val="Compact"/>
            </w:pPr>
            <w:r>
              <w:rPr>
                <w:b/>
                <w:bCs/>
              </w:rPr>
              <w:t xml:space="preserve">0.19 per cent</w:t>
            </w:r>
          </w:p>
        </w:tc>
      </w:tr>
    </w:tbl>
    <w:p>
      <w:pPr>
        <w:pStyle w:val="BodyText"/>
      </w:pPr>
      <w:r>
        <w:t xml:space="preserve">Four in ten training structures carry a stereocentre, so the data could support a chirality-aware</w:t>
      </w:r>
      <w:r>
        <w:t xml:space="preserve"> </w:t>
      </w:r>
      <w:r>
        <w:t xml:space="preserve">fingerprint. But where the same skeleton appears as more than one stereoisomer measured at the same</w:t>
      </w:r>
      <w:r>
        <w:t xml:space="preserve"> </w:t>
      </w:r>
      <w:r>
        <w:t xml:space="preserve">endpoint, the measured labels agree 95 per cent of</w:t>
      </w:r>
      <w:r>
        <w:t xml:space="preserve"> </w:t>
      </w:r>
      <w:r>
        <w:t xml:space="preserve">the time. Stereochemistry is therefore mostly not what separates an active from an inactive</w:t>
      </w:r>
      <w:r>
        <w:t xml:space="preserve"> </w:t>
      </w:r>
      <w:r>
        <w:rPr>
          <w:i/>
          <w:iCs/>
        </w:rPr>
        <w:t xml:space="preserve">in this</w:t>
      </w:r>
      <w:r>
        <w:rPr>
          <w:i/>
          <w:iCs/>
        </w:rPr>
        <w:t xml:space="preserve"> </w:t>
      </w:r>
      <w:r>
        <w:rPr>
          <w:i/>
          <w:iCs/>
        </w:rPr>
        <w:t xml:space="preserve">data</w:t>
      </w:r>
      <w:r>
        <w:t xml:space="preserve">, and a chirality-aware fingerprint would add sparsity to resolve a distinction the labels</w:t>
      </w:r>
      <w:r>
        <w:t xml:space="preserve"> </w:t>
      </w:r>
      <w:r>
        <w:t xml:space="preserve">usually do not make.</w:t>
      </w:r>
    </w:p>
    <w:p>
      <w:pPr>
        <w:pStyle w:val="BodyText"/>
      </w:pPr>
      <w:r>
        <w:t xml:space="preserve">That is a bound, not an absolution. A quarter of the pairs that can be compared on potency differ by</w:t>
      </w:r>
      <w:r>
        <w:t xml:space="preserve"> </w:t>
      </w:r>
      <w:r>
        <w:t xml:space="preserve">more than a log unit, and the disagreements concentrate where a pharmacologist would expect them:</w:t>
      </w:r>
      <w:r>
        <w:t xml:space="preserve"> </w:t>
      </w:r>
      <w:r>
        <w:t xml:space="preserve">BBB, BACE1, D2, OX2, the mu-opioid receptor and CB1. The right statement is that predictions are</w:t>
      </w:r>
      <w:r>
        <w:t xml:space="preserve"> </w:t>
      </w:r>
      <w:r>
        <w:t xml:space="preserve">made on the flat skeleton, that this is invisible to the user unless said, and that for a compound</w:t>
      </w:r>
      <w:r>
        <w:t xml:space="preserve"> </w:t>
      </w:r>
      <w:r>
        <w:t xml:space="preserve">whose activity is known to be enantiomer-specific the prediction should be read as applying to the</w:t>
      </w:r>
      <w:r>
        <w:t xml:space="preserve"> </w:t>
      </w:r>
      <w:r>
        <w:t xml:space="preserve">racemate.</w:t>
      </w:r>
    </w:p>
    <w:bookmarkEnd w:id="66"/>
    <w:bookmarkStart w:id="67" w:name="Xf8bd344231b588f7eea5e66124208c2f3af2908"/>
    <w:p>
      <w:pPr>
        <w:pStyle w:val="Heading4"/>
      </w:pPr>
      <w:r>
        <w:t xml:space="preserve">8.2.3 Agonism and antagonism are not distinguished</w:t>
      </w:r>
    </w:p>
    <w:p>
      <w:pPr>
        <w:pStyle w:val="FirstParagraph"/>
      </w:pPr>
      <w:r>
        <w:rPr>
          <w:b/>
          <w:bCs/>
        </w:rPr>
        <w:t xml:space="preserve">Right, and it is a limitation of the labels rather than of the models.</w:t>
      </w:r>
      <w:r>
        <w:t xml:space="preserve"> </w:t>
      </w:r>
      <w:r>
        <w:t xml:space="preserve">The training label is a</w:t>
      </w:r>
      <w:r>
        <w:t xml:space="preserve"> </w:t>
      </w:r>
      <w:r>
        <w:t xml:space="preserve">potency value: IC50, Ki, Kd or EC50. Those measure</w:t>
      </w:r>
      <w:r>
        <w:t xml:space="preserve"> </w:t>
      </w:r>
      <w:r>
        <w:rPr>
          <w:i/>
          <w:iCs/>
        </w:rPr>
        <w:t xml:space="preserve">affinity</w:t>
      </w:r>
      <w:r>
        <w:t xml:space="preserve">, how tightly a compound binds, and an</w:t>
      </w:r>
      <w:r>
        <w:t xml:space="preserve"> </w:t>
      </w:r>
      <w:r>
        <w:t xml:space="preserve">agonist and an antagonist at the same receptor can share one. Direction is carried in ChEMBL’s</w:t>
      </w:r>
      <w:r>
        <w:t xml:space="preserve"> </w:t>
      </w:r>
      <w:r>
        <w:rPr>
          <w:rStyle w:val="VerbatimChar"/>
        </w:rPr>
        <w:t xml:space="preserve">action_type</w:t>
      </w:r>
      <w:r>
        <w:t xml:space="preserve"> </w:t>
      </w:r>
      <w:r>
        <w:t xml:space="preserve">field, which is sparsely populated and was never pulled: it appears nowhere in this</w:t>
      </w:r>
      <w:r>
        <w:t xml:space="preserve"> </w:t>
      </w:r>
      <w:r>
        <w:t xml:space="preserve">project’s data, and the endpoint tables retain only structure, label, potency, year and source.</w:t>
      </w:r>
    </w:p>
    <w:p>
      <w:pPr>
        <w:pStyle w:val="BodyText"/>
      </w:pPr>
      <w:r>
        <w:t xml:space="preserve">No modelling choice recovers this. Training a direction classifier needs directional labels, and</w:t>
      </w:r>
      <w:r>
        <w:t xml:space="preserve"> </w:t>
      </w:r>
      <w:r>
        <w:t xml:space="preserve">they are not present. The honest description of what the panel predicts is therefore</w:t>
      </w:r>
      <w:r>
        <w:t xml:space="preserve"> </w:t>
      </w:r>
      <w:r>
        <w:rPr>
          <w:i/>
          <w:iCs/>
        </w:rPr>
        <w:t xml:space="preserve">engagement</w:t>
      </w:r>
      <w:r>
        <w:t xml:space="preserve">,</w:t>
      </w:r>
      <w:r>
        <w:t xml:space="preserve"> </w:t>
      </w:r>
      <w:r>
        <w:t xml:space="preserve">not</w:t>
      </w:r>
      <w:r>
        <w:t xml:space="preserve"> </w:t>
      </w:r>
      <w:r>
        <w:rPr>
          <w:i/>
          <w:iCs/>
        </w:rPr>
        <w:t xml:space="preserve">modulation</w:t>
      </w:r>
      <w:r>
        <w:t xml:space="preserve">, and the interface and this report both say so. Adding it would mean re-pulling the</w:t>
      </w:r>
      <w:r>
        <w:t xml:space="preserve"> </w:t>
      </w:r>
      <w:r>
        <w:t xml:space="preserve">source data with the functional annotation retained, restricting to the subset that carries it, and</w:t>
      </w:r>
      <w:r>
        <w:t xml:space="preserve"> </w:t>
      </w:r>
      <w:r>
        <w:t xml:space="preserve">accepting a much smaller training set per endpoint. That is a defensible next piece of work and it</w:t>
      </w:r>
      <w:r>
        <w:t xml:space="preserve"> </w:t>
      </w:r>
      <w:r>
        <w:t xml:space="preserve">is not a correction to what is here.</w:t>
      </w:r>
    </w:p>
    <w:bookmarkEnd w:id="67"/>
    <w:bookmarkStart w:id="68" w:name="X6e66dc2bbc36cc9edd0fab3b03dfb43ed3dc7b8"/>
    <w:p>
      <w:pPr>
        <w:pStyle w:val="Heading4"/>
      </w:pPr>
      <w:r>
        <w:t xml:space="preserve">8.2.4 The applicability-domain flag fails its own adversarial test, as it then did</w:t>
      </w:r>
    </w:p>
    <w:p>
      <w:pPr>
        <w:pStyle w:val="FirstParagraph"/>
      </w:pPr>
      <w:r>
        <w:rPr>
          <w:b/>
          <w:bCs/>
        </w:rPr>
        <w:t xml:space="preserve">The test was wrong, not the flag, and the test has been corrected.</w:t>
      </w:r>
      <w:r>
        <w:t xml:space="preserve"> </w:t>
      </w:r>
      <w:r>
        <w:t xml:space="preserve">This needs stating carefully,</w:t>
      </w:r>
      <w:r>
        <w:t xml:space="preserve"> </w:t>
      </w:r>
      <w:r>
        <w:t xml:space="preserve">because</w:t>
      </w:r>
      <w:r>
        <w:t xml:space="preserve"> </w:t>
      </w:r>
      <w:r>
        <w:t xml:space="preserve">“we changed a failing test and now it passes”</w:t>
      </w:r>
      <w:r>
        <w:t xml:space="preserve"> </w:t>
      </w:r>
      <w:r>
        <w:t xml:space="preserve">is the least trustworthy sentence in science.</w:t>
      </w:r>
      <w:r>
        <w:t xml:space="preserve"> </w:t>
      </w:r>
      <w:r>
        <w:t xml:space="preserve">What changed is the control set, not the passing criterion, and the reason is specific.</w:t>
      </w:r>
    </w:p>
    <w:p>
      <w:pPr>
        <w:pStyle w:val="BodyText"/>
      </w:pPr>
      <w:r>
        <w:t xml:space="preserve">The check showed sugars, fatty acids, buffers and simple acids to the flag and asked whether it</w:t>
      </w:r>
      <w:r>
        <w:t xml:space="preserve"> </w:t>
      </w:r>
      <w:r>
        <w:t xml:space="preserve">rated them worse-placed than approved drugs it had never seen. It did not, and the check was</w:t>
      </w:r>
      <w:r>
        <w:t xml:space="preserve"> </w:t>
      </w:r>
      <w:r>
        <w:t xml:space="preserve">recorded as failing.</w:t>
      </w:r>
    </w:p>
    <w:p>
      <w:pPr>
        <w:pStyle w:val="BodyText"/>
      </w:pPr>
      <w:r>
        <w:t xml:space="preserve">The reason is that</w:t>
      </w:r>
      <w:r>
        <w:t xml:space="preserve"> </w:t>
      </w:r>
      <w:r>
        <w:rPr>
          <w:b/>
          <w:bCs/>
        </w:rPr>
        <w:t xml:space="preserve">most of those controls are in the reference library</w:t>
      </w:r>
      <w:r>
        <w:t xml:space="preserve">. Glucose, palmitic acid,</w:t>
      </w:r>
      <w:r>
        <w:t xml:space="preserve"> </w:t>
      </w:r>
      <w:r>
        <w:t xml:space="preserve">citric acid, EDTA, taurine and twenty-two others are measured compounds in their own right and sit</w:t>
      </w:r>
      <w:r>
        <w:t xml:space="preserve"> </w:t>
      </w:r>
      <w:r>
        <w:t xml:space="preserve">in the 158,890-compound measured reference, so their maximum similarity is 1.00. Asking a domain</w:t>
      </w:r>
      <w:r>
        <w:t xml:space="preserve"> </w:t>
      </w:r>
      <w:r>
        <w:t xml:space="preserve">flag to disown chemistry it has data for tests nothing. Of the original controls, 27 of 38 are</w:t>
      </w:r>
      <w:r>
        <w:t xml:space="preserve"> </w:t>
      </w:r>
      <w:r>
        <w:t xml:space="preserve">present in the reference.</w:t>
      </w:r>
    </w:p>
    <w:p>
      <w:pPr>
        <w:pStyle w:val="BodyText"/>
      </w:pPr>
      <w:r>
        <w:t xml:space="preserve">Re-run against controls genuinely absent from the reference, four candidate measures behave as</w:t>
      </w:r>
      <w:r>
        <w:t xml:space="preserve"> </w:t>
      </w:r>
      <w:r>
        <w:t xml:space="preserve">follows:</w:t>
      </w:r>
    </w:p>
    <w:tbl>
      <w:tblPr>
        <w:tblStyle w:val="Table"/>
        <w:tblW w:type="pct" w:w="5000"/>
        <w:jc w:val="center"/>
        <w:tblLayout w:type="autofit"/>
        <w:tblLook w:firstRow="1" w:lastRow="0" w:firstColumn="0" w:lastColumn="0" w:noHBand="0" w:noVBand="0" w:val="0020"/>
        <w:tblLayout w:type="autofit"/>
      </w:tblPr>
      <w:tblGrid>
        <w:gridCol w:w="1131"/>
        <w:gridCol w:w="1131"/>
        <w:gridCol w:w="1131"/>
        <w:gridCol w:w="1131"/>
        <w:gridCol w:w="1131"/>
        <w:gridCol w:w="1131"/>
        <w:gridCol w:w="1131"/>
      </w:tblGrid>
      <w:tr>
        <w:trPr>
          <w:tblHeader w:val="on"/>
          <w:tblHeader w:val="true"/>
        </w:trPr>
        <w:tc>
          <w:tcPr>
            <w:shd w:val="clear" w:fill="EAF0F7"/>
          </w:tcPr>
          <w:p>
            <w:pPr>
              <w:pStyle w:val="Compact"/>
            </w:pPr>
            <w:r>
              <w:rPr>
                <w:b/>
                <w:sz w:val="17"/>
              </w:rPr>
              <w:t xml:space="preserve">measure</w:t>
            </w:r>
          </w:p>
        </w:tc>
        <w:tc>
          <w:tcPr>
            <w:shd w:val="clear" w:fill="EAF0F7"/>
          </w:tcPr>
          <w:p>
            <w:pPr>
              <w:pStyle w:val="Compact"/>
            </w:pPr>
            <w:r>
              <w:rPr>
                <w:b/>
                <w:sz w:val="17"/>
              </w:rPr>
              <w:t xml:space="preserve">median_unseen_drugs</w:t>
            </w:r>
          </w:p>
        </w:tc>
        <w:tc>
          <w:tcPr>
            <w:shd w:val="clear" w:fill="EAF0F7"/>
          </w:tcPr>
          <w:p>
            <w:pPr>
              <w:pStyle w:val="Compact"/>
            </w:pPr>
            <w:r>
              <w:rPr>
                <w:b/>
                <w:sz w:val="17"/>
              </w:rPr>
              <w:t xml:space="preserve">median_non_drug_like</w:t>
            </w:r>
          </w:p>
        </w:tc>
        <w:tc>
          <w:tcPr>
            <w:shd w:val="clear" w:fill="EAF0F7"/>
          </w:tcPr>
          <w:p>
            <w:pPr>
              <w:pStyle w:val="Compact"/>
            </w:pPr>
            <w:r>
              <w:rPr>
                <w:b/>
                <w:sz w:val="17"/>
              </w:rPr>
              <w:t xml:space="preserve">mann_whitney_p</w:t>
            </w:r>
          </w:p>
        </w:tc>
        <w:tc>
          <w:tcPr>
            <w:shd w:val="clear" w:fill="EAF0F7"/>
          </w:tcPr>
          <w:p>
            <w:pPr>
              <w:pStyle w:val="Compact"/>
            </w:pPr>
            <w:r>
              <w:rPr>
                <w:b/>
                <w:sz w:val="17"/>
              </w:rPr>
              <w:t xml:space="preserve">separates</w:t>
            </w:r>
          </w:p>
        </w:tc>
        <w:tc>
          <w:tcPr>
            <w:shd w:val="clear" w:fill="EAF0F7"/>
          </w:tcPr>
          <w:p>
            <w:pPr>
              <w:pStyle w:val="Compact"/>
            </w:pPr>
            <w:r>
              <w:rPr>
                <w:b/>
                <w:sz w:val="17"/>
              </w:rPr>
              <w:t xml:space="preserve">threshold_at_10pct_drug_loss</w:t>
            </w:r>
          </w:p>
        </w:tc>
        <w:tc>
          <w:tcPr>
            <w:shd w:val="clear" w:fill="EAF0F7"/>
          </w:tcPr>
          <w:p>
            <w:pPr>
              <w:pStyle w:val="Compact"/>
            </w:pPr>
            <w:r>
              <w:rPr>
                <w:b/>
                <w:sz w:val="17"/>
              </w:rPr>
              <w:t xml:space="preserve">non_drug_like_caught</w:t>
            </w:r>
          </w:p>
        </w:tc>
      </w:tr>
      <w:tr>
        <w:tc>
          <w:tcPr/>
          <w:p>
            <w:pPr>
              <w:pStyle w:val="Compact"/>
            </w:pPr>
            <w:r>
              <w:rPr>
                <w:sz w:val="15"/>
              </w:rPr>
              <w:t xml:space="preserve">max</w:t>
            </w:r>
          </w:p>
        </w:tc>
        <w:tc>
          <w:tcPr/>
          <w:p>
            <w:pPr>
              <w:pStyle w:val="Compact"/>
            </w:pPr>
            <w:r>
              <w:rPr>
                <w:sz w:val="15"/>
              </w:rPr>
              <w:t xml:space="preserve">0.5658</w:t>
            </w:r>
          </w:p>
        </w:tc>
        <w:tc>
          <w:tcPr/>
          <w:p>
            <w:pPr>
              <w:pStyle w:val="Compact"/>
            </w:pPr>
            <w:r>
              <w:rPr>
                <w:sz w:val="15"/>
              </w:rPr>
              <w:t xml:space="preserve">0.4606</w:t>
            </w:r>
          </w:p>
        </w:tc>
        <w:tc>
          <w:tcPr/>
          <w:p>
            <w:pPr>
              <w:pStyle w:val="Compact"/>
            </w:pPr>
            <w:r>
              <w:rPr>
                <w:sz w:val="15"/>
              </w:rPr>
              <w:t xml:space="preserve">0.00923</w:t>
            </w:r>
          </w:p>
        </w:tc>
        <w:tc>
          <w:tcPr/>
          <w:p>
            <w:pPr>
              <w:pStyle w:val="Compact"/>
            </w:pPr>
            <w:r>
              <w:rPr>
                <w:sz w:val="15"/>
              </w:rPr>
              <w:t xml:space="preserve">True</w:t>
            </w:r>
          </w:p>
        </w:tc>
        <w:tc>
          <w:tcPr/>
          <w:p>
            <w:pPr>
              <w:pStyle w:val="Compact"/>
            </w:pPr>
            <w:r>
              <w:rPr>
                <w:sz w:val="15"/>
              </w:rPr>
              <w:t xml:space="preserve">0.3456</w:t>
            </w:r>
          </w:p>
        </w:tc>
        <w:tc>
          <w:tcPr/>
          <w:p>
            <w:pPr>
              <w:pStyle w:val="Compact"/>
            </w:pPr>
            <w:r>
              <w:rPr>
                <w:sz w:val="15"/>
              </w:rPr>
              <w:t xml:space="preserve">0.375</w:t>
            </w:r>
          </w:p>
        </w:tc>
      </w:tr>
      <w:tr>
        <w:tc>
          <w:tcPr/>
          <w:p>
            <w:pPr>
              <w:pStyle w:val="Compact"/>
            </w:pPr>
            <w:r>
              <w:rPr>
                <w:sz w:val="15"/>
              </w:rPr>
              <w:t xml:space="preserve">mean_top5</w:t>
            </w:r>
          </w:p>
        </w:tc>
        <w:tc>
          <w:tcPr/>
          <w:p>
            <w:pPr>
              <w:pStyle w:val="Compact"/>
            </w:pPr>
            <w:r>
              <w:rPr>
                <w:sz w:val="15"/>
              </w:rPr>
              <w:t xml:space="preserve">0.5149</w:t>
            </w:r>
          </w:p>
        </w:tc>
        <w:tc>
          <w:tcPr/>
          <w:p>
            <w:pPr>
              <w:pStyle w:val="Compact"/>
            </w:pPr>
            <w:r>
              <w:rPr>
                <w:sz w:val="15"/>
              </w:rPr>
              <w:t xml:space="preserve">0.3781</w:t>
            </w:r>
          </w:p>
        </w:tc>
        <w:tc>
          <w:tcPr/>
          <w:p>
            <w:pPr>
              <w:pStyle w:val="Compact"/>
            </w:pPr>
            <w:r>
              <w:rPr>
                <w:sz w:val="15"/>
              </w:rPr>
              <w:t xml:space="preserve">0.00928</w:t>
            </w:r>
          </w:p>
        </w:tc>
        <w:tc>
          <w:tcPr/>
          <w:p>
            <w:pPr>
              <w:pStyle w:val="Compact"/>
            </w:pPr>
            <w:r>
              <w:rPr>
                <w:sz w:val="15"/>
              </w:rPr>
              <w:t xml:space="preserve">True</w:t>
            </w:r>
          </w:p>
        </w:tc>
        <w:tc>
          <w:tcPr/>
          <w:p>
            <w:pPr>
              <w:pStyle w:val="Compact"/>
            </w:pPr>
            <w:r>
              <w:rPr>
                <w:sz w:val="15"/>
              </w:rPr>
              <w:t xml:space="preserve">0.3178</w:t>
            </w:r>
          </w:p>
        </w:tc>
        <w:tc>
          <w:tcPr/>
          <w:p>
            <w:pPr>
              <w:pStyle w:val="Compact"/>
            </w:pPr>
            <w:r>
              <w:rPr>
                <w:sz w:val="15"/>
              </w:rPr>
              <w:t xml:space="preserve">0.375</w:t>
            </w:r>
          </w:p>
        </w:tc>
      </w:tr>
      <w:tr>
        <w:tc>
          <w:tcPr/>
          <w:p>
            <w:pPr>
              <w:pStyle w:val="Compact"/>
            </w:pPr>
            <w:r>
              <w:rPr>
                <w:sz w:val="15"/>
              </w:rPr>
              <w:t xml:space="preserve">kth_5</w:t>
            </w:r>
          </w:p>
        </w:tc>
        <w:tc>
          <w:tcPr/>
          <w:p>
            <w:pPr>
              <w:pStyle w:val="Compact"/>
            </w:pPr>
            <w:r>
              <w:rPr>
                <w:sz w:val="15"/>
              </w:rPr>
              <w:t xml:space="preserve">0.439</w:t>
            </w:r>
          </w:p>
        </w:tc>
        <w:tc>
          <w:tcPr/>
          <w:p>
            <w:pPr>
              <w:pStyle w:val="Compact"/>
            </w:pPr>
            <w:r>
              <w:rPr>
                <w:sz w:val="15"/>
              </w:rPr>
              <w:t xml:space="preserve">0.3287</w:t>
            </w:r>
          </w:p>
        </w:tc>
        <w:tc>
          <w:tcPr/>
          <w:p>
            <w:pPr>
              <w:pStyle w:val="Compact"/>
            </w:pPr>
            <w:r>
              <w:rPr>
                <w:sz w:val="15"/>
              </w:rPr>
              <w:t xml:space="preserve">0.0204</w:t>
            </w:r>
          </w:p>
        </w:tc>
        <w:tc>
          <w:tcPr/>
          <w:p>
            <w:pPr>
              <w:pStyle w:val="Compact"/>
            </w:pPr>
            <w:r>
              <w:rPr>
                <w:sz w:val="15"/>
              </w:rPr>
              <w:t xml:space="preserve">False</w:t>
            </w:r>
          </w:p>
        </w:tc>
        <w:tc>
          <w:tcPr/>
          <w:p>
            <w:pPr>
              <w:pStyle w:val="Compact"/>
            </w:pPr>
            <w:r>
              <w:rPr>
                <w:sz w:val="15"/>
              </w:rPr>
              <w:t xml:space="preserve">0.2916</w:t>
            </w:r>
          </w:p>
        </w:tc>
        <w:tc>
          <w:tcPr/>
          <w:p>
            <w:pPr>
              <w:pStyle w:val="Compact"/>
            </w:pPr>
            <w:r>
              <w:rPr>
                <w:sz w:val="15"/>
              </w:rPr>
              <w:t xml:space="preserve">0.5</w:t>
            </w:r>
          </w:p>
        </w:tc>
      </w:tr>
      <w:tr>
        <w:tc>
          <w:tcPr/>
          <w:p>
            <w:pPr>
              <w:pStyle w:val="Compact"/>
            </w:pPr>
            <w:r>
              <w:rPr>
                <w:sz w:val="15"/>
              </w:rPr>
              <w:t xml:space="preserve">density_0.4</w:t>
            </w:r>
          </w:p>
        </w:tc>
        <w:tc>
          <w:tcPr/>
          <w:p>
            <w:pPr>
              <w:pStyle w:val="Compact"/>
            </w:pPr>
            <w:r>
              <w:rPr>
                <w:sz w:val="15"/>
              </w:rPr>
              <w:t xml:space="preserve">8.0</w:t>
            </w:r>
          </w:p>
        </w:tc>
        <w:tc>
          <w:tcPr/>
          <w:p>
            <w:pPr>
              <w:pStyle w:val="Compact"/>
            </w:pPr>
            <w:r>
              <w:rPr>
                <w:sz w:val="15"/>
              </w:rPr>
              <w:t xml:space="preserve">1.5</w:t>
            </w:r>
          </w:p>
        </w:tc>
        <w:tc>
          <w:tcPr/>
          <w:p>
            <w:pPr>
              <w:pStyle w:val="Compact"/>
            </w:pPr>
            <w:r>
              <w:rPr>
                <w:sz w:val="15"/>
              </w:rPr>
              <w:t xml:space="preserve">0.0652</w:t>
            </w:r>
          </w:p>
        </w:tc>
        <w:tc>
          <w:tcPr/>
          <w:p>
            <w:pPr>
              <w:pStyle w:val="Compact"/>
            </w:pPr>
            <w:r>
              <w:rPr>
                <w:sz w:val="15"/>
              </w:rPr>
              <w:t xml:space="preserve">False</w:t>
            </w:r>
          </w:p>
        </w:tc>
        <w:tc>
          <w:tcPr/>
          <w:p>
            <w:pPr>
              <w:pStyle w:val="Compact"/>
            </w:pPr>
            <w:r>
              <w:rPr>
                <w:sz w:val="15"/>
              </w:rPr>
              <w:t xml:space="preserve">0.0</w:t>
            </w:r>
          </w:p>
        </w:tc>
        <w:tc>
          <w:tcPr/>
          <w:p>
            <w:pPr>
              <w:pStyle w:val="Compact"/>
            </w:pPr>
            <w:r>
              <w:rPr>
                <w:sz w:val="15"/>
              </w:rPr>
              <w:t xml:space="preserve">0.375</w:t>
            </w:r>
          </w:p>
        </w:tc>
      </w:tr>
    </w:tbl>
    <w:p>
      <w:pPr>
        <w:pStyle w:val="BodyText"/>
      </w:pPr>
      <w:r>
        <w:t xml:space="preserve">The deployed measure separates: median 0.46</w:t>
      </w:r>
      <w:r>
        <w:t xml:space="preserve"> </w:t>
      </w:r>
      <w:r>
        <w:t xml:space="preserve">for distant chemistry against 0.57</w:t>
      </w:r>
      <w:r>
        <w:t xml:space="preserve"> </w:t>
      </w:r>
      <w:r>
        <w:t xml:space="preserve">for unseen drugs, one-sided Mann-Whitney</w:t>
      </w:r>
      <w:r>
        <w:t xml:space="preserve"> </w:t>
      </w:r>
      <w:r>
        <w:t xml:space="preserve">p = 0.00923. 2 of the four candidates</w:t>
      </w:r>
      <w:r>
        <w:t xml:space="preserve"> </w:t>
      </w:r>
      <w:r>
        <w:t xml:space="preserve">separate, and no alternative beats the deployed one.</w:t>
      </w:r>
    </w:p>
    <w:p>
      <w:pPr>
        <w:pStyle w:val="BodyText"/>
      </w:pPr>
      <w:r>
        <w:t xml:space="preserve">With the corrected control set the check passes: median maximum similarity 0.47 for genuinely</w:t>
      </w:r>
      <w:r>
        <w:t xml:space="preserve"> </w:t>
      </w:r>
      <w:r>
        <w:t xml:space="preserve">distant chemistry against 0.59 for unseen drugs, one-sided Mann-Whitney p = 1.1e-03 over 25</w:t>
      </w:r>
      <w:r>
        <w:t xml:space="preserve"> </w:t>
      </w:r>
      <w:r>
        <w:t xml:space="preserve">controls. The suite therefore now reports</w:t>
      </w:r>
      <w:r>
        <w:t xml:space="preserve"> </w:t>
      </w:r>
      <w:r>
        <w:rPr>
          <w:b/>
          <w:bCs/>
        </w:rPr>
        <w:t xml:space="preserve">6 of 6 passing</w:t>
      </w:r>
      <w:r>
        <w:t xml:space="preserve"> </w:t>
      </w:r>
      <w:r>
        <w:t xml:space="preserve">where it previously reported 5 of 6.</w:t>
      </w:r>
    </w:p>
    <w:p>
      <w:pPr>
        <w:pStyle w:val="BodyText"/>
      </w:pPr>
      <w:r>
        <w:t xml:space="preserve">Three things are worth stating about that change, so a reader can judge it rather than take it:</w:t>
      </w:r>
    </w:p>
    <w:p>
      <w:pPr>
        <w:pStyle w:val="Compact"/>
        <w:numPr>
          <w:ilvl w:val="0"/>
          <w:numId w:val="1011"/>
        </w:numPr>
      </w:pPr>
      <w:r>
        <w:rPr>
          <w:b/>
          <w:bCs/>
        </w:rPr>
        <w:t xml:space="preserve">The threshold for passing was not moved.</w:t>
      </w:r>
      <w:r>
        <w:t xml:space="preserve"> </w:t>
      </w:r>
      <w:r>
        <w:t xml:space="preserve">It is still p &lt; 0.01 with the aliens scoring below</w:t>
      </w:r>
      <w:r>
        <w:t xml:space="preserve"> </w:t>
      </w:r>
      <w:r>
        <w:t xml:space="preserve">the drugs. Only the controls changed, and only by removing compounds that are in the reference</w:t>
      </w:r>
      <w:r>
        <w:t xml:space="preserve"> </w:t>
      </w:r>
      <w:r>
        <w:t xml:space="preserve">library and adding chemistry that is not.</w:t>
      </w:r>
    </w:p>
    <w:p>
      <w:pPr>
        <w:pStyle w:val="Compact"/>
        <w:numPr>
          <w:ilvl w:val="0"/>
          <w:numId w:val="1011"/>
        </w:numPr>
      </w:pPr>
      <w:r>
        <w:rPr>
          <w:b/>
          <w:bCs/>
        </w:rPr>
        <w:t xml:space="preserve">The direction was already correct before the panel was enlarged.</w:t>
      </w:r>
      <w:r>
        <w:t xml:space="preserve"> </w:t>
      </w:r>
      <w:r>
        <w:t xml:space="preserve">With eleven valid controls</w:t>
      </w:r>
      <w:r>
        <w:t xml:space="preserve"> </w:t>
      </w:r>
      <w:r>
        <w:t xml:space="preserve">the flag scored distant chemistry at 0.47 against 0.59 for drugs, which is the right ordering; it</w:t>
      </w:r>
      <w:r>
        <w:t xml:space="preserve"> </w:t>
      </w:r>
      <w:r>
        <w:t xml:space="preserve">simply could not reach p &lt; 0.01 at that sample size. Enlarging the panel bought power, not the</w:t>
      </w:r>
      <w:r>
        <w:t xml:space="preserve"> </w:t>
      </w:r>
      <w:r>
        <w:t xml:space="preserve">result.</w:t>
      </w:r>
    </w:p>
    <w:p>
      <w:pPr>
        <w:pStyle w:val="Compact"/>
        <w:numPr>
          <w:ilvl w:val="0"/>
          <w:numId w:val="1011"/>
        </w:numPr>
      </w:pPr>
      <w:r>
        <w:rPr>
          <w:b/>
          <w:bCs/>
        </w:rPr>
        <w:t xml:space="preserve">The residual weakness is real and is not repaired by this.</w:t>
      </w:r>
      <w:r>
        <w:t xml:space="preserve"> </w:t>
      </w:r>
      <w:r>
        <w:t xml:space="preserve">At a threshold that rejects a</w:t>
      </w:r>
      <w:r>
        <w:t xml:space="preserve"> </w:t>
      </w:r>
      <w:r>
        <w:t xml:space="preserve">tenth of genuine drugs the flag still catches under half of genuinely distant chemistry. It is a</w:t>
      </w:r>
      <w:r>
        <w:t xml:space="preserve"> </w:t>
      </w:r>
      <w:r>
        <w:t xml:space="preserve">weak signal, not a broken one, and the conformal interval and the nearest-analogue distance</w:t>
      </w:r>
      <w:r>
        <w:t xml:space="preserve"> </w:t>
      </w:r>
      <w:r>
        <w:t xml:space="preserve">remain the stronger statements of confidence. The interface says so.</w:t>
      </w:r>
    </w:p>
    <w:p>
      <w:pPr>
        <w:pStyle w:val="FirstParagraph"/>
      </w:pPr>
      <w:r>
        <w:t xml:space="preserve">A check that cannot fail for the right reason is worse than no check, and one that fails for the</w:t>
      </w:r>
      <w:r>
        <w:t xml:space="preserve"> </w:t>
      </w:r>
      <w:r>
        <w:t xml:space="preserve">wrong reason is not much better: it spends the credibility that a real failure would need.</w:t>
      </w:r>
    </w:p>
    <w:bookmarkEnd w:id="68"/>
    <w:bookmarkStart w:id="69" w:name="X5aa5453ddddb69da85c65cbfafdf42e562a4289"/>
    <w:p>
      <w:pPr>
        <w:pStyle w:val="Heading4"/>
      </w:pPr>
      <w:r>
        <w:t xml:space="preserve">8.2.5 External validation is thin outside the barrier model</w:t>
      </w:r>
    </w:p>
    <w:p>
      <w:pPr>
        <w:pStyle w:val="FirstParagraph"/>
      </w:pPr>
      <w:r>
        <w:rPr>
          <w:b/>
          <w:bCs/>
        </w:rPr>
        <w:t xml:space="preserve">Right when it was written, and it has since been answered as far as this data permits.</w:t>
      </w:r>
      <w:r>
        <w:t xml:space="preserve"> </w:t>
      </w:r>
      <w:r>
        <w:t xml:space="preserve">The</w:t>
      </w:r>
      <w:r>
        <w:t xml:space="preserve"> </w:t>
      </w:r>
      <w:r>
        <w:t xml:space="preserve">criticism stands in one respect that no analysis can remove: an external set must be measured</w:t>
      </w:r>
      <w:r>
        <w:t xml:space="preserve"> </w:t>
      </w:r>
      <w:r>
        <w:t xml:space="preserve">chemistry absent from training, and for most of these targets the public measured chemistry</w:t>
      </w:r>
      <w:r>
        <w:t xml:space="preserve"> </w:t>
      </w:r>
      <w:r>
        <w:rPr>
          <w:i/>
          <w:iCs/>
        </w:rPr>
        <w:t xml:space="preserve">is</w:t>
      </w:r>
      <w:r>
        <w:t xml:space="preserve"> </w:t>
      </w:r>
      <w:r>
        <w:t xml:space="preserve">the</w:t>
      </w:r>
      <w:r>
        <w:t xml:space="preserve"> </w:t>
      </w:r>
      <w:r>
        <w:t xml:space="preserve">training set. Buying a genuinely independent set would mean running new assays. What could be done</w:t>
      </w:r>
      <w:r>
        <w:t xml:space="preserve"> </w:t>
      </w:r>
      <w:r>
        <w:t xml:space="preserve">instead was to stop treating that as a reason to report nothing.</w:t>
      </w:r>
    </w:p>
    <w:p>
      <w:pPr>
        <w:pStyle w:val="BodyText"/>
      </w:pPr>
      <w:r>
        <w:t xml:space="preserve">Section 6.5 now carries a full programme rather than a single table. Two kinds of independence were</w:t>
      </w:r>
      <w:r>
        <w:t xml:space="preserve"> </w:t>
      </w:r>
      <w:r>
        <w:t xml:space="preserve">constructed from the data that exists, and the panel was refitted for both, because scoring the</w:t>
      </w:r>
      <w:r>
        <w:t xml:space="preserve"> </w:t>
      </w:r>
      <w:r>
        <w:t xml:space="preserve">deployed models on any of it would have measured only what they had already been fitted to.</w:t>
      </w:r>
    </w:p>
    <w:p>
      <w:pPr>
        <w:pStyle w:val="BodyText"/>
      </w:pPr>
      <w:r>
        <w:rPr>
          <w:b/>
          <w:bCs/>
        </w:rPr>
        <w:t xml:space="preserve">Time.</w:t>
      </w:r>
      <w:r>
        <w:t xml:space="preserve"> </w:t>
      </w:r>
      <w:r>
        <w:t xml:space="preserve">Every measured row carries a document year. Each endpoint was refitted on its pre-cutoff</w:t>
      </w:r>
      <w:r>
        <w:t xml:space="preserve"> </w:t>
      </w:r>
      <w:r>
        <w:t xml:space="preserve">rows alone, with its decision threshold also frozen before the cutoff, and tested on compounds first</w:t>
      </w:r>
      <w:r>
        <w:t xml:space="preserve"> </w:t>
      </w:r>
      <w:r>
        <w:t xml:space="preserve">published afterwards. Each was fitted a second time on a size-matched random split, so that a drop</w:t>
      </w:r>
      <w:r>
        <w:t xml:space="preserve"> </w:t>
      </w:r>
      <w:r>
        <w:t xml:space="preserve">could be attributed to the temporal wall rather than to the smaller training set that a time split</w:t>
      </w:r>
      <w:r>
        <w:t xml:space="preserve"> </w:t>
      </w:r>
      <w:r>
        <w:t xml:space="preserve">necessarily has. 39 of the 47 deployed endpoints carry enough dated chemistry on both sides</w:t>
      </w:r>
      <w:r>
        <w:t xml:space="preserve"> </w:t>
      </w:r>
      <w:r>
        <w:t xml:space="preserve">to be assessed.</w:t>
      </w:r>
    </w:p>
    <w:p>
      <w:pPr>
        <w:pStyle w:val="BodyText"/>
      </w:pPr>
      <w:r>
        <w:rPr>
          <w:b/>
          <w:bCs/>
        </w:rPr>
        <w:t xml:space="preserve">Provenance.</w:t>
      </w:r>
      <w:r>
        <w:t xml:space="preserve"> </w:t>
      </w:r>
      <w:r>
        <w:t xml:space="preserve">Compounds deposited in BindingDB and absent from ChEMBL are curated by different people from different papers. Refitting on the ChEMBL side and testing on the BindingDB-only side asks whether the signal is a property of the chemistry or of one database’s habits; 3 endpoints carry enough of it to be assessed.</w:t>
      </w:r>
    </w:p>
    <w:p>
      <w:pPr>
        <w:pStyle w:val="BodyText"/>
      </w:pPr>
      <w:r>
        <w:t xml:space="preserve">The findings are mixed and are reported as such. Specificity transfers essentially unchanged, so a</w:t>
      </w:r>
      <w:r>
        <w:t xml:space="preserve"> </w:t>
      </w:r>
      <w:r>
        <w:t xml:space="preserve">temporal wall does not make the panel reckless. Ranking against background chemistry survives, at a</w:t>
      </w:r>
      <w:r>
        <w:t xml:space="preserve"> </w:t>
      </w:r>
      <w:r>
        <w:t xml:space="preserve">mean AUROC cost of 0.062. Ranking against measured inactives at the same</w:t>
      </w:r>
      <w:r>
        <w:t xml:space="preserve"> </w:t>
      </w:r>
      <w:r>
        <w:t xml:space="preserve">target costs 0.128, which is the harder and more relevant task.</w:t>
      </w:r>
      <w:r>
        <w:t xml:space="preserve"> </w:t>
      </w:r>
      <w:r>
        <w:t xml:space="preserve">Sensitivity at the deployed operating point is the weakest claim: the panel does not become wrong on</w:t>
      </w:r>
      <w:r>
        <w:t xml:space="preserve"> </w:t>
      </w:r>
      <w:r>
        <w:t xml:space="preserve">new chemistry, it becomes quiet, and the deployed sensitivity figures overstate what a user</w:t>
      </w:r>
      <w:r>
        <w:t xml:space="preserve"> </w:t>
      </w:r>
      <w:r>
        <w:t xml:space="preserve">submitting a genuinely novel scaffold should expect.</w:t>
      </w:r>
    </w:p>
    <w:p>
      <w:pPr>
        <w:pStyle w:val="BodyText"/>
      </w:pPr>
      <w:r>
        <w:t xml:space="preserve">What remains true of the original criticism, and is stated in 6.5.5 rather than buried: none of this</w:t>
      </w:r>
      <w:r>
        <w:t xml:space="preserve"> </w:t>
      </w:r>
      <w:r>
        <w:t xml:space="preserve">is prospective in the strict sense, because no compound here was predicted before it was measured.</w:t>
      </w:r>
      <w:r>
        <w:t xml:space="preserve"> </w:t>
      </w:r>
      <w:r>
        <w:t xml:space="preserve">The dates are real and the analysis is retrospective. It does not replace an external set for the</w:t>
      </w:r>
      <w:r>
        <w:t xml:space="preserve"> </w:t>
      </w:r>
      <w:r>
        <w:t xml:space="preserve">target panel, and it does not cover targets whose chemistry appeared in a single burst of</w:t>
      </w:r>
      <w:r>
        <w:t xml:space="preserve"> </w:t>
      </w:r>
      <w:r>
        <w:t xml:space="preserve">publications, which are excluded for want of anything beyond the wall.</w:t>
      </w:r>
    </w:p>
    <w:p>
      <w:pPr>
        <w:pStyle w:val="BodyText"/>
      </w:pPr>
      <w:r>
        <w:t xml:space="preserve">reinstated while GluA2 began failing and was withdrawn.</w:t>
      </w:r>
    </w:p>
    <w:p>
      <w:r>
        <w:pict>
          <v:rect style="width:0;height:1.5pt" o:hralign="center" o:hrstd="t" o:hr="t"/>
        </w:pict>
      </w:r>
    </w:p>
    <w:bookmarkEnd w:id="69"/>
    <w:bookmarkEnd w:id="70"/>
    <w:bookmarkEnd w:id="71"/>
    <w:bookmarkStart w:id="74" w:name="glossary"/>
    <w:p>
      <w:pPr>
        <w:pStyle w:val="Heading2"/>
      </w:pPr>
      <w:r>
        <w:t xml:space="preserve">9. Glossary</w:t>
      </w:r>
    </w:p>
    <w:bookmarkStart w:id="72" w:name="quantities-the-server-reports"/>
    <w:p>
      <w:pPr>
        <w:pStyle w:val="Heading3"/>
      </w:pPr>
      <w:r>
        <w:t xml:space="preserve">9.1 Quantities the server reports</w:t>
      </w:r>
    </w:p>
    <w:tbl>
      <w:tblPr>
        <w:tblStyle w:val="Table"/>
        <w:tblW w:type="pct" w:w="5000"/>
        <w:jc w:val="center"/>
        <w:tblLayout w:type="autofit"/>
        <w:tblLook w:firstRow="1" w:lastRow="0" w:firstColumn="0" w:lastColumn="0" w:noHBand="0" w:noVBand="0" w:val="0020"/>
        <w:tblLayout w:type="autofit"/>
      </w:tblPr>
      <w:tblGrid>
        <w:gridCol w:w="3960"/>
        <w:gridCol w:w="3960"/>
      </w:tblGrid>
      <w:tr>
        <w:trPr>
          <w:tblHeader w:val="on"/>
          <w:tblHeader w:val="true"/>
        </w:trPr>
        <w:tc>
          <w:tcPr>
            <w:shd w:val="clear" w:fill="EAF0F7"/>
          </w:tcPr>
          <w:p>
            <w:pPr>
              <w:pStyle w:val="Compact"/>
            </w:pPr>
            <w:r>
              <w:rPr>
                <w:b/>
                <w:sz w:val="17"/>
              </w:rPr>
              <w:t xml:space="preserve">Term</w:t>
            </w:r>
          </w:p>
        </w:tc>
        <w:tc>
          <w:tcPr>
            <w:shd w:val="clear" w:fill="EAF0F7"/>
          </w:tcPr>
          <w:p>
            <w:pPr>
              <w:pStyle w:val="Compact"/>
            </w:pPr>
            <w:r>
              <w:rPr>
                <w:b/>
                <w:sz w:val="17"/>
              </w:rPr>
              <w:t xml:space="preserve">Definition</w:t>
            </w:r>
          </w:p>
        </w:tc>
      </w:tr>
      <w:tr>
        <w:tc>
          <w:tcPr/>
          <w:p>
            <w:pPr>
              <w:pStyle w:val="Compact"/>
            </w:pPr>
            <w:r>
              <w:rPr>
                <w:b/>
                <w:bCs/>
              </w:rPr>
              <w:t xml:space="preserve">BBB penetration</w:t>
            </w:r>
          </w:p>
        </w:tc>
        <w:tc>
          <w:tcPr/>
          <w:p>
            <w:pPr>
              <w:pStyle w:val="Compact"/>
            </w:pPr>
            <w:r>
              <w:t xml:space="preserve">Calibrated probability that the compound crosses the blood-brain barrier, from measured brain-to-blood partition data</w:t>
            </w:r>
          </w:p>
        </w:tc>
      </w:tr>
      <w:tr>
        <w:tc>
          <w:tcPr/>
          <w:p>
            <w:pPr>
              <w:pStyle w:val="Compact"/>
            </w:pPr>
            <w:r>
              <w:rPr>
                <w:b/>
                <w:bCs/>
              </w:rPr>
              <w:t xml:space="preserve">Kp,uu</w:t>
            </w:r>
          </w:p>
        </w:tc>
        <w:tc>
          <w:tcPr/>
          <w:p>
            <w:pPr>
              <w:pStyle w:val="Compact"/>
            </w:pPr>
            <w:r>
              <w:t xml:space="preserve">Ratio of</w:t>
            </w:r>
            <w:r>
              <w:t xml:space="preserve"> </w:t>
            </w:r>
            <w:r>
              <w:rPr>
                <w:i/>
                <w:iCs/>
              </w:rPr>
              <w:t xml:space="preserve">unbound</w:t>
            </w:r>
            <w:r>
              <w:t xml:space="preserve"> </w:t>
            </w:r>
            <w:r>
              <w:t xml:space="preserve">drug in brain to unbound drug in plasma. Above ~0.3 a meaningful free concentration reaches the target; below 0.1 it does not, whatever the total brain level</w:t>
            </w:r>
          </w:p>
        </w:tc>
      </w:tr>
      <w:tr>
        <w:tc>
          <w:tcPr/>
          <w:p>
            <w:pPr>
              <w:pStyle w:val="Compact"/>
            </w:pPr>
            <w:r>
              <w:rPr>
                <w:b/>
                <w:bCs/>
              </w:rPr>
              <w:t xml:space="preserve">logBB</w:t>
            </w:r>
          </w:p>
        </w:tc>
        <w:tc>
          <w:tcPr/>
          <w:p>
            <w:pPr>
              <w:pStyle w:val="Compact"/>
            </w:pPr>
            <w:r>
              <w:t xml:space="preserve">Total brain-to-plasma ratio. Less informative than Kp,uu because it counts drug bound to tissue, which cannot engage a target</w:t>
            </w:r>
          </w:p>
        </w:tc>
      </w:tr>
      <w:tr>
        <w:tc>
          <w:tcPr/>
          <w:p>
            <w:pPr>
              <w:pStyle w:val="Compact"/>
            </w:pPr>
            <w:r>
              <w:rPr>
                <w:b/>
                <w:bCs/>
              </w:rPr>
              <w:t xml:space="preserve">Binder probability</w:t>
            </w:r>
          </w:p>
        </w:tc>
        <w:tc>
          <w:tcPr/>
          <w:p>
            <w:pPr>
              <w:pStyle w:val="Compact"/>
            </w:pPr>
            <w:r>
              <w:t xml:space="preserve">Calibrated probability that the compound binds the named target at pChEMBL ≥ 7 (~100 nM). Not comparable between targets: each has its own threshold</w:t>
            </w:r>
          </w:p>
        </w:tc>
      </w:tr>
      <w:tr>
        <w:tc>
          <w:tcPr/>
          <w:p>
            <w:pPr>
              <w:pStyle w:val="Compact"/>
            </w:pPr>
            <w:r>
              <w:rPr>
                <w:b/>
                <w:bCs/>
              </w:rPr>
              <w:t xml:space="preserve">Engagement signal</w:t>
            </w:r>
          </w:p>
        </w:tc>
        <w:tc>
          <w:tcPr/>
          <w:p>
            <w:pPr>
              <w:pStyle w:val="Compact"/>
            </w:pPr>
            <w:r>
              <w:t xml:space="preserve">Distance above a target’s own reporting threshold, rescaled to 0–1. The only engagement quantity comparable across targets, and what the disease layer consumes</w:t>
            </w:r>
          </w:p>
        </w:tc>
      </w:tr>
      <w:tr>
        <w:tc>
          <w:tcPr/>
          <w:p>
            <w:pPr>
              <w:pStyle w:val="Compact"/>
            </w:pPr>
            <w:r>
              <w:rPr>
                <w:b/>
                <w:bCs/>
              </w:rPr>
              <w:t xml:space="preserve">Base-rate enrichment</w:t>
            </w:r>
          </w:p>
        </w:tc>
        <w:tc>
          <w:tcPr/>
          <w:p>
            <w:pPr>
              <w:pStyle w:val="Compact"/>
            </w:pPr>
            <w:r>
              <w:t xml:space="preserve">How far a prediction sits above what the training set would give by chance. Zero means the prediction is no better than the base rate</w:t>
            </w:r>
          </w:p>
        </w:tc>
      </w:tr>
      <w:tr>
        <w:tc>
          <w:tcPr/>
          <w:p>
            <w:pPr>
              <w:pStyle w:val="Compact"/>
            </w:pPr>
            <w:r>
              <w:rPr>
                <w:b/>
                <w:bCs/>
              </w:rPr>
              <w:t xml:space="preserve">Disease relevance score</w:t>
            </w:r>
          </w:p>
        </w:tc>
        <w:tc>
          <w:tcPr/>
          <w:p>
            <w:pPr>
              <w:pStyle w:val="Compact"/>
            </w:pPr>
            <w:r>
              <w:t xml:space="preserve">Strongest engaged mechanism for that condition, multiplied by predicted barrier penetration. Ranks conditions by mechanism; not a probability of clinical efficacy</w:t>
            </w:r>
          </w:p>
        </w:tc>
      </w:tr>
      <w:tr>
        <w:tc>
          <w:tcPr/>
          <w:p>
            <w:pPr>
              <w:pStyle w:val="Compact"/>
            </w:pPr>
            <w:r>
              <w:rPr>
                <w:b/>
                <w:bCs/>
              </w:rPr>
              <w:t xml:space="preserve">Applicability domain</w:t>
            </w:r>
          </w:p>
        </w:tc>
        <w:tc>
          <w:tcPr/>
          <w:p>
            <w:pPr>
              <w:pStyle w:val="Compact"/>
            </w:pPr>
            <w:r>
              <w:t xml:space="preserve">Maximum Tanimoto similarity to the nearest measured training compound</w:t>
            </w:r>
          </w:p>
        </w:tc>
      </w:tr>
      <w:tr>
        <w:tc>
          <w:tcPr/>
          <w:p>
            <w:pPr>
              <w:pStyle w:val="Compact"/>
            </w:pPr>
            <w:r>
              <w:rPr>
                <w:b/>
                <w:bCs/>
              </w:rPr>
              <w:t xml:space="preserve">CNS MPO</w:t>
            </w:r>
          </w:p>
        </w:tc>
        <w:tc>
          <w:tcPr/>
          <w:p>
            <w:pPr>
              <w:pStyle w:val="Compact"/>
            </w:pPr>
            <w:r>
              <w:t xml:space="preserve">A desirability score over six physicochemical properties associated with central exposure. A drug-likeness heuristic, not a model of activity</w:t>
            </w:r>
          </w:p>
        </w:tc>
      </w:tr>
    </w:tbl>
    <w:bookmarkEnd w:id="72"/>
    <w:bookmarkStart w:id="73" w:name="statistics-and-methods"/>
    <w:p>
      <w:pPr>
        <w:pStyle w:val="Heading3"/>
      </w:pPr>
      <w:r>
        <w:t xml:space="preserve">9.2 Statistics and methods</w:t>
      </w:r>
    </w:p>
    <w:tbl>
      <w:tblPr>
        <w:tblStyle w:val="Table"/>
        <w:tblW w:type="pct" w:w="5000"/>
        <w:jc w:val="center"/>
        <w:tblLayout w:type="autofit"/>
        <w:tblLook w:firstRow="1" w:lastRow="0" w:firstColumn="0" w:lastColumn="0" w:noHBand="0" w:noVBand="0" w:val="0020"/>
        <w:tblLayout w:type="autofit"/>
      </w:tblPr>
      <w:tblGrid>
        <w:gridCol w:w="3960"/>
        <w:gridCol w:w="3960"/>
      </w:tblGrid>
      <w:tr>
        <w:trPr>
          <w:tblHeader w:val="on"/>
          <w:tblHeader w:val="true"/>
        </w:trPr>
        <w:tc>
          <w:tcPr>
            <w:shd w:val="clear" w:fill="EAF0F7"/>
          </w:tcPr>
          <w:p>
            <w:pPr>
              <w:pStyle w:val="Compact"/>
            </w:pPr>
            <w:r>
              <w:rPr>
                <w:b/>
                <w:sz w:val="17"/>
              </w:rPr>
              <w:t xml:space="preserve">Term</w:t>
            </w:r>
          </w:p>
        </w:tc>
        <w:tc>
          <w:tcPr>
            <w:shd w:val="clear" w:fill="EAF0F7"/>
          </w:tcPr>
          <w:p>
            <w:pPr>
              <w:pStyle w:val="Compact"/>
            </w:pPr>
            <w:r>
              <w:rPr>
                <w:b/>
                <w:sz w:val="17"/>
              </w:rPr>
              <w:t xml:space="preserve">Definition and how it is calculated</w:t>
            </w:r>
          </w:p>
        </w:tc>
      </w:tr>
      <w:tr>
        <w:tc>
          <w:tcPr/>
          <w:p>
            <w:pPr>
              <w:pStyle w:val="Compact"/>
            </w:pPr>
            <w:r>
              <w:rPr>
                <w:b/>
                <w:bCs/>
              </w:rPr>
              <w:t xml:space="preserve">AUROC</w:t>
            </w:r>
          </w:p>
        </w:tc>
        <w:tc>
          <w:tcPr/>
          <w:p>
            <w:pPr>
              <w:pStyle w:val="Compact"/>
            </w:pPr>
            <w:r>
              <w:t xml:space="preserve">Area under the receiver-operating characteristic curve. The probability that a randomly chosen active is ranked above a randomly chosen inactive. 0.5 is chance, 1.0 is perfect. Threshold-free</w:t>
            </w:r>
          </w:p>
        </w:tc>
      </w:tr>
      <w:tr>
        <w:tc>
          <w:tcPr/>
          <w:p>
            <w:pPr>
              <w:pStyle w:val="Compact"/>
            </w:pPr>
            <w:r>
              <w:rPr>
                <w:b/>
                <w:bCs/>
              </w:rPr>
              <w:t xml:space="preserve">R²</w:t>
            </w:r>
          </w:p>
        </w:tc>
        <w:tc>
          <w:tcPr/>
          <w:p>
            <w:pPr>
              <w:pStyle w:val="Compact"/>
            </w:pPr>
            <w:r>
              <w:t xml:space="preserve">Coefficient of determination: the fraction of variance in the measured value explained by the prediction. 0 means no better than predicting the mean; can be negative</w:t>
            </w:r>
          </w:p>
        </w:tc>
      </w:tr>
      <w:tr>
        <w:tc>
          <w:tcPr/>
          <w:p>
            <w:pPr>
              <w:pStyle w:val="Compact"/>
            </w:pPr>
            <w:r>
              <w:rPr>
                <w:b/>
                <w:bCs/>
              </w:rPr>
              <w:t xml:space="preserve">Sensitivity (recall)</w:t>
            </w:r>
          </w:p>
        </w:tc>
        <w:tc>
          <w:tcPr/>
          <w:p>
            <w:pPr>
              <w:pStyle w:val="Compact"/>
            </w:pPr>
            <w:r>
              <w:t xml:space="preserve">TP / (TP + FN). Of the compounds that truly bind, the fraction the model calls</w:t>
            </w:r>
          </w:p>
        </w:tc>
      </w:tr>
      <w:tr>
        <w:tc>
          <w:tcPr/>
          <w:p>
            <w:pPr>
              <w:pStyle w:val="Compact"/>
            </w:pPr>
            <w:r>
              <w:rPr>
                <w:b/>
                <w:bCs/>
              </w:rPr>
              <w:t xml:space="preserve">Specificity</w:t>
            </w:r>
          </w:p>
        </w:tc>
        <w:tc>
          <w:tcPr/>
          <w:p>
            <w:pPr>
              <w:pStyle w:val="Compact"/>
            </w:pPr>
            <w:r>
              <w:t xml:space="preserve">TN / (TN + FP). Of the compounds that truly do not bind, the fraction the model correctly stays quiet about</w:t>
            </w:r>
          </w:p>
        </w:tc>
      </w:tr>
      <w:tr>
        <w:tc>
          <w:tcPr/>
          <w:p>
            <w:pPr>
              <w:pStyle w:val="Compact"/>
            </w:pPr>
            <w:r>
              <w:rPr>
                <w:b/>
                <w:bCs/>
              </w:rPr>
              <w:t xml:space="preserve">PPV (precision)</w:t>
            </w:r>
          </w:p>
        </w:tc>
        <w:tc>
          <w:tcPr/>
          <w:p>
            <w:pPr>
              <w:pStyle w:val="Compact"/>
            </w:pPr>
            <w:r>
              <w:t xml:space="preserve">TP / (TP + FP). Of the compounds the model calls, the fraction that truly bind. Depends on prevalence, which is why it is quoted at stated prevalences</w:t>
            </w:r>
          </w:p>
        </w:tc>
      </w:tr>
      <w:tr>
        <w:tc>
          <w:tcPr/>
          <w:p>
            <w:pPr>
              <w:pStyle w:val="Compact"/>
            </w:pPr>
            <w:r>
              <w:rPr>
                <w:b/>
                <w:bCs/>
              </w:rPr>
              <w:t xml:space="preserve">MCC</w:t>
            </w:r>
          </w:p>
        </w:tc>
        <w:tc>
          <w:tcPr/>
          <w:p>
            <w:pPr>
              <w:pStyle w:val="Compact"/>
            </w:pPr>
            <w:r>
              <w:t xml:space="preserve">Matthews correlation coefficient. A balanced single number for a confusion matrix that stays honest under class imbalance, unlike accuracy</w:t>
            </w:r>
          </w:p>
        </w:tc>
      </w:tr>
      <w:tr>
        <w:tc>
          <w:tcPr/>
          <w:p>
            <w:pPr>
              <w:pStyle w:val="Compact"/>
            </w:pPr>
            <w:r>
              <w:rPr>
                <w:b/>
                <w:bCs/>
              </w:rPr>
              <w:t xml:space="preserve">ECE</w:t>
            </w:r>
          </w:p>
        </w:tc>
        <w:tc>
          <w:tcPr/>
          <w:p>
            <w:pPr>
              <w:pStyle w:val="Compact"/>
            </w:pPr>
            <w:r>
              <w:t xml:space="preserve">Expected calibration error. Predictions are binned by confidence; ECE is the average absolute gap between confidence and observed accuracy in each bin, weighted by bin size. 0 means a stated 80 per cent is right 80 per cent of the time</w:t>
            </w:r>
          </w:p>
        </w:tc>
      </w:tr>
      <w:tr>
        <w:tc>
          <w:tcPr/>
          <w:p>
            <w:pPr>
              <w:pStyle w:val="Compact"/>
            </w:pPr>
            <w:r>
              <w:rPr>
                <w:b/>
                <w:bCs/>
              </w:rPr>
              <w:t xml:space="preserve">Brier score</w:t>
            </w:r>
          </w:p>
        </w:tc>
        <w:tc>
          <w:tcPr/>
          <w:p>
            <w:pPr>
              <w:pStyle w:val="Compact"/>
            </w:pPr>
            <w:r>
              <w:t xml:space="preserve">Mean squared difference between predicted probability and outcome. Lower is better; combines calibration and discrimination</w:t>
            </w:r>
          </w:p>
        </w:tc>
      </w:tr>
      <w:tr>
        <w:tc>
          <w:tcPr/>
          <w:p>
            <w:pPr>
              <w:pStyle w:val="Compact"/>
            </w:pPr>
            <w:r>
              <w:rPr>
                <w:b/>
                <w:bCs/>
              </w:rPr>
              <w:t xml:space="preserve">Conformal coverage</w:t>
            </w:r>
          </w:p>
        </w:tc>
        <w:tc>
          <w:tcPr/>
          <w:p>
            <w:pPr>
              <w:pStyle w:val="Compact"/>
            </w:pPr>
            <w:r>
              <w:t xml:space="preserve">The fraction of held-out compounds whose true label falls in the prediction set. At a 0.90 target, coverage near 0.90 means the uncertainty statement is honest</w:t>
            </w:r>
          </w:p>
        </w:tc>
      </w:tr>
      <w:tr>
        <w:tc>
          <w:tcPr/>
          <w:p>
            <w:pPr>
              <w:pStyle w:val="Compact"/>
            </w:pPr>
            <w:r>
              <w:rPr>
                <w:b/>
                <w:bCs/>
              </w:rPr>
              <w:t xml:space="preserve">Tanimoto similarity</w:t>
            </w:r>
          </w:p>
        </w:tc>
        <w:tc>
          <w:tcPr/>
          <w:p>
            <w:pPr>
              <w:pStyle w:val="Compact"/>
            </w:pPr>
            <w:r>
              <w:t xml:space="preserve">Intersection over union of two fingerprints’ set bits. 1.0 is identical bit patterns; ~0.3 is the point where predictive power approaches chance here</w:t>
            </w:r>
          </w:p>
        </w:tc>
      </w:tr>
      <w:tr>
        <w:tc>
          <w:tcPr/>
          <w:p>
            <w:pPr>
              <w:pStyle w:val="Compact"/>
            </w:pPr>
            <w:r>
              <w:rPr>
                <w:b/>
                <w:bCs/>
              </w:rPr>
              <w:t xml:space="preserve">pChEMBL</w:t>
            </w:r>
          </w:p>
        </w:tc>
        <w:tc>
          <w:tcPr/>
          <w:p>
            <w:pPr>
              <w:pStyle w:val="Compact"/>
            </w:pPr>
            <w:r>
              <w:t xml:space="preserve">−log₁₀ of a molar potency (IC50, Ki, Kd, EC50). pChEMBL 7 = 100 nM; 6 = 1 µM; 5 = 10 µM. Higher is more potent</w:t>
            </w:r>
          </w:p>
        </w:tc>
      </w:tr>
      <w:tr>
        <w:tc>
          <w:tcPr/>
          <w:p>
            <w:pPr>
              <w:pStyle w:val="Compact"/>
            </w:pPr>
            <w:r>
              <w:rPr>
                <w:b/>
                <w:bCs/>
              </w:rPr>
              <w:t xml:space="preserve">Bemis-Murcko scaffold</w:t>
            </w:r>
          </w:p>
        </w:tc>
        <w:tc>
          <w:tcPr/>
          <w:p>
            <w:pPr>
              <w:pStyle w:val="Compact"/>
            </w:pPr>
            <w:r>
              <w:t xml:space="preserve">A molecule reduced to its ring systems and the linkers between them, with side chains stripped. Grouping by this is what makes a scaffold split withhold a structural</w:t>
            </w:r>
            <w:r>
              <w:t xml:space="preserve"> </w:t>
            </w:r>
            <w:r>
              <w:rPr>
                <w:i/>
                <w:iCs/>
              </w:rPr>
              <w:t xml:space="preserve">class</w:t>
            </w:r>
          </w:p>
        </w:tc>
      </w:tr>
      <w:tr>
        <w:tc>
          <w:tcPr/>
          <w:p>
            <w:pPr>
              <w:pStyle w:val="Compact"/>
            </w:pPr>
            <w:r>
              <w:rPr>
                <w:b/>
                <w:bCs/>
              </w:rPr>
              <w:t xml:space="preserve">ECFP-4</w:t>
            </w:r>
          </w:p>
        </w:tc>
        <w:tc>
          <w:tcPr/>
          <w:p>
            <w:pPr>
              <w:pStyle w:val="Compact"/>
            </w:pPr>
            <w:r>
              <w:t xml:space="preserve">Extended-connectivity fingerprint, diameter 4 (Morgan radius 2). Each atom’s circular environment is hashed to a bit</w:t>
            </w:r>
          </w:p>
        </w:tc>
      </w:tr>
      <w:tr>
        <w:tc>
          <w:tcPr/>
          <w:p>
            <w:pPr>
              <w:pStyle w:val="Compact"/>
            </w:pPr>
            <w:r>
              <w:rPr>
                <w:b/>
                <w:bCs/>
              </w:rPr>
              <w:t xml:space="preserve">Folding</w:t>
            </w:r>
          </w:p>
        </w:tc>
        <w:tc>
          <w:tcPr/>
          <w:p>
            <w:pPr>
              <w:pStyle w:val="Compact"/>
            </w:pPr>
            <w:r>
              <w:t xml:space="preserve">Hashing a large bit space into a fixed 1,024. Two different environments can collide on one bit, so a set bit means</w:t>
            </w:r>
            <w:r>
              <w:t xml:space="preserve"> </w:t>
            </w:r>
            <w:r>
              <w:t xml:space="preserve">“some environment hashing here is present”</w:t>
            </w:r>
          </w:p>
        </w:tc>
      </w:tr>
      <w:tr>
        <w:tc>
          <w:tcPr/>
          <w:p>
            <w:pPr>
              <w:pStyle w:val="Compact"/>
            </w:pPr>
            <w:r>
              <w:rPr>
                <w:b/>
                <w:bCs/>
              </w:rPr>
              <w:t xml:space="preserve">Out-of-fold prediction</w:t>
            </w:r>
          </w:p>
        </w:tc>
        <w:tc>
          <w:tcPr/>
          <w:p>
            <w:pPr>
              <w:pStyle w:val="Compact"/>
            </w:pPr>
            <w:r>
              <w:t xml:space="preserve">A prediction for a compound made by a model that did not see it during fitting. Calibrating on these is what stops a compound contributing to the calibrator that scores it</w:t>
            </w:r>
          </w:p>
        </w:tc>
      </w:tr>
      <w:tr>
        <w:tc>
          <w:tcPr/>
          <w:p>
            <w:pPr>
              <w:pStyle w:val="Compact"/>
            </w:pPr>
            <w:r>
              <w:rPr>
                <w:b/>
                <w:bCs/>
              </w:rPr>
              <w:t xml:space="preserve">Censored bound</w:t>
            </w:r>
          </w:p>
        </w:tc>
        <w:tc>
          <w:tcPr/>
          <w:p>
            <w:pPr>
              <w:pStyle w:val="Compact"/>
            </w:pPr>
            <w:r>
              <w:t xml:space="preserve">A measurement recorded as an inequality (</w:t>
            </w:r>
            <w:r>
              <w:rPr>
                <w:rStyle w:val="VerbatimChar"/>
              </w:rPr>
              <w:t xml:space="preserve">&gt; 10 µM</w:t>
            </w:r>
            <w:r>
              <w:t xml:space="preserve">) rather than a value. It settles a label only when the whole interval it defines falls on one side of the activity cut</w:t>
            </w:r>
          </w:p>
        </w:tc>
      </w:tr>
      <w:tr>
        <w:tc>
          <w:tcPr/>
          <w:p>
            <w:pPr>
              <w:pStyle w:val="Compact"/>
            </w:pPr>
            <w:r>
              <w:rPr>
                <w:b/>
                <w:bCs/>
              </w:rPr>
              <w:t xml:space="preserve">Decoy</w:t>
            </w:r>
          </w:p>
        </w:tc>
        <w:tc>
          <w:tcPr/>
          <w:p>
            <w:pPr>
              <w:pStyle w:val="Compact"/>
            </w:pPr>
            <w:r>
              <w:t xml:space="preserve">A compound property-matched to the actives but assumed inactive. An assumption, not a measurement, which is why measured inactives are preferred wherever they exist</w:t>
            </w:r>
          </w:p>
        </w:tc>
      </w:tr>
      <w:tr>
        <w:tc>
          <w:tcPr/>
          <w:p>
            <w:pPr>
              <w:pStyle w:val="Compact"/>
            </w:pPr>
            <w:r>
              <w:rPr>
                <w:b/>
                <w:bCs/>
              </w:rPr>
              <w:t xml:space="preserve">Class weight balanced</w:t>
            </w:r>
          </w:p>
        </w:tc>
        <w:tc>
          <w:tcPr/>
          <w:p>
            <w:pPr>
              <w:pStyle w:val="Compact"/>
            </w:pPr>
            <w:r>
              <w:t xml:space="preserve">Each class is weighted inversely to its frequency, so a 90-per-cent-active endpoint does not train a model that simply says</w:t>
            </w:r>
            <w:r>
              <w:t xml:space="preserve"> </w:t>
            </w:r>
            <w:r>
              <w:t xml:space="preserve">“active”</w:t>
            </w:r>
          </w:p>
        </w:tc>
      </w:tr>
    </w:tbl>
    <w:p>
      <w:r>
        <w:pict>
          <v:rect style="width:0;height:1.5pt" o:hralign="center" o:hrstd="t" o:hr="t"/>
        </w:pict>
      </w:r>
    </w:p>
    <w:bookmarkEnd w:id="73"/>
    <w:bookmarkEnd w:id="74"/>
    <w:bookmarkStart w:id="76" w:name="software-environment-and-runtime"/>
    <w:p>
      <w:pPr>
        <w:pStyle w:val="Heading2"/>
      </w:pPr>
      <w:r>
        <w:t xml:space="preserve">10. Software environment and runtime</w:t>
      </w:r>
    </w:p>
    <w:p>
      <w:pPr>
        <w:pStyle w:val="FirstParagraph"/>
      </w:pPr>
      <w:r>
        <w:t xml:space="preserve">Reproducibility depends on the versions as much as on the code. The panel was fitted under the</w:t>
      </w:r>
      <w:r>
        <w:t xml:space="preserve"> </w:t>
      </w:r>
      <w:r>
        <w:t xml:space="preserve">environment below; scikit-learn in particular is pinned, because an estimator unpickled under a</w:t>
      </w:r>
      <w:r>
        <w:t xml:space="preserve"> </w:t>
      </w:r>
      <w:r>
        <w:t xml:space="preserve">different minor version can silently change behaviour.</w:t>
      </w:r>
    </w:p>
    <w:tbl>
      <w:tblPr>
        <w:tblStyle w:val="Table"/>
        <w:tblW w:type="pct" w:w="5000"/>
        <w:jc w:val="center"/>
        <w:tblLayout w:type="autofit"/>
        <w:tblLook w:firstRow="0" w:lastRow="0" w:firstColumn="0" w:lastColumn="0" w:noHBand="0" w:noVBand="0" w:val="0000"/>
        <w:tblLayout w:type="autofit"/>
      </w:tblPr>
      <w:tblGrid>
        <w:gridCol w:w="3960"/>
        <w:gridCol w:w="3960"/>
      </w:tblGrid>
      <w:tr>
        <w:trPr>
          <w:tblHeader w:val="true"/>
        </w:trPr>
        <w:tc>
          <w:tcPr>
            <w:shd w:val="clear" w:fill="EAF0F7"/>
          </w:tcPr>
          <w:p>
            <w:pPr>
              <w:pStyle w:val="Compact"/>
            </w:pPr>
            <w:r>
              <w:rPr>
                <w:b/>
                <w:sz w:val="17"/>
              </w:rPr>
              <w:t xml:space="preserve">Python</w:t>
            </w:r>
          </w:p>
        </w:tc>
        <w:tc>
          <w:tcPr>
            <w:shd w:val="clear" w:fill="EAF0F7"/>
          </w:tcPr>
          <w:p>
            <w:pPr>
              <w:pStyle w:val="Compact"/>
            </w:pPr>
            <w:r>
              <w:rPr>
                <w:b/>
                <w:sz w:val="17"/>
              </w:rPr>
              <w:t xml:space="preserve">3.13.13</w:t>
            </w:r>
          </w:p>
        </w:tc>
      </w:tr>
      <w:tr>
        <w:tc>
          <w:tcPr/>
          <w:p>
            <w:pPr>
              <w:pStyle w:val="Compact"/>
            </w:pPr>
            <w:r>
              <w:t xml:space="preserve">Platform</w:t>
            </w:r>
          </w:p>
        </w:tc>
        <w:tc>
          <w:tcPr/>
          <w:p>
            <w:pPr>
              <w:pStyle w:val="Compact"/>
            </w:pPr>
            <w:r>
              <w:t xml:space="preserve">Windows-11-10.0.26200-SP0</w:t>
            </w:r>
          </w:p>
        </w:tc>
      </w:tr>
      <w:tr>
        <w:tc>
          <w:tcPr/>
          <w:p>
            <w:pPr>
              <w:pStyle w:val="Compact"/>
            </w:pPr>
            <w:r>
              <w:t xml:space="preserve">Processor</w:t>
            </w:r>
          </w:p>
        </w:tc>
        <w:tc>
          <w:tcPr/>
          <w:p>
            <w:pPr>
              <w:pStyle w:val="Compact"/>
            </w:pPr>
            <w:r>
              <w:t xml:space="preserve">Intel64 Family 6 Model 198 Stepping 2, GenuineIntel, 24 logical cores</w:t>
            </w:r>
          </w:p>
        </w:tc>
      </w:tr>
      <w:tr>
        <w:tc>
          <w:tcPr/>
          <w:p>
            <w:pPr>
              <w:pStyle w:val="Compact"/>
            </w:pPr>
            <w:r>
              <w:t xml:space="preserve">Random seed</w:t>
            </w:r>
          </w:p>
        </w:tc>
        <w:tc>
          <w:tcPr/>
          <w:p>
            <w:pPr>
              <w:pStyle w:val="Compact"/>
            </w:pPr>
            <w:r>
              <w:t xml:space="preserve">42 throughout</w:t>
            </w:r>
          </w:p>
        </w:tc>
      </w:tr>
      <w:tr>
        <w:tc>
          <w:tcPr/>
          <w:p>
            <w:pPr>
              <w:pStyle w:val="Compact"/>
            </w:pPr>
            <w:r>
              <w:t xml:space="preserve">joblib</w:t>
            </w:r>
          </w:p>
        </w:tc>
        <w:tc>
          <w:tcPr/>
          <w:p>
            <w:pPr>
              <w:pStyle w:val="Compact"/>
            </w:pPr>
            <w:r>
              <w:rPr>
                <w:rStyle w:val="VerbatimChar"/>
              </w:rPr>
              <w:t xml:space="preserve">1.5.3</w:t>
            </w:r>
          </w:p>
        </w:tc>
      </w:tr>
      <w:tr>
        <w:tc>
          <w:tcPr/>
          <w:p>
            <w:pPr>
              <w:pStyle w:val="Compact"/>
            </w:pPr>
            <w:r>
              <w:t xml:space="preserve">matplotlib</w:t>
            </w:r>
          </w:p>
        </w:tc>
        <w:tc>
          <w:tcPr/>
          <w:p>
            <w:pPr>
              <w:pStyle w:val="Compact"/>
            </w:pPr>
            <w:r>
              <w:rPr>
                <w:rStyle w:val="VerbatimChar"/>
              </w:rPr>
              <w:t xml:space="preserve">3.10.9</w:t>
            </w:r>
          </w:p>
        </w:tc>
      </w:tr>
      <w:tr>
        <w:tc>
          <w:tcPr/>
          <w:p>
            <w:pPr>
              <w:pStyle w:val="Compact"/>
            </w:pPr>
            <w:r>
              <w:t xml:space="preserve">numpy</w:t>
            </w:r>
          </w:p>
        </w:tc>
        <w:tc>
          <w:tcPr/>
          <w:p>
            <w:pPr>
              <w:pStyle w:val="Compact"/>
            </w:pPr>
            <w:r>
              <w:rPr>
                <w:rStyle w:val="VerbatimChar"/>
              </w:rPr>
              <w:t xml:space="preserve">2.4.6</w:t>
            </w:r>
          </w:p>
        </w:tc>
      </w:tr>
      <w:tr>
        <w:tc>
          <w:tcPr/>
          <w:p>
            <w:pPr>
              <w:pStyle w:val="Compact"/>
            </w:pPr>
            <w:r>
              <w:t xml:space="preserve">pandas</w:t>
            </w:r>
          </w:p>
        </w:tc>
        <w:tc>
          <w:tcPr/>
          <w:p>
            <w:pPr>
              <w:pStyle w:val="Compact"/>
            </w:pPr>
            <w:r>
              <w:rPr>
                <w:rStyle w:val="VerbatimChar"/>
              </w:rPr>
              <w:t xml:space="preserve">3.0.3</w:t>
            </w:r>
          </w:p>
        </w:tc>
      </w:tr>
      <w:tr>
        <w:tc>
          <w:tcPr/>
          <w:p>
            <w:pPr>
              <w:pStyle w:val="Compact"/>
            </w:pPr>
            <w:r>
              <w:t xml:space="preserve">rdkit</w:t>
            </w:r>
          </w:p>
        </w:tc>
        <w:tc>
          <w:tcPr/>
          <w:p>
            <w:pPr>
              <w:pStyle w:val="Compact"/>
            </w:pPr>
            <w:r>
              <w:rPr>
                <w:rStyle w:val="VerbatimChar"/>
              </w:rPr>
              <w:t xml:space="preserve">2026.3.2</w:t>
            </w:r>
          </w:p>
        </w:tc>
      </w:tr>
      <w:tr>
        <w:tc>
          <w:tcPr/>
          <w:p>
            <w:pPr>
              <w:pStyle w:val="Compact"/>
            </w:pPr>
            <w:r>
              <w:t xml:space="preserve">scikit-learn</w:t>
            </w:r>
          </w:p>
        </w:tc>
        <w:tc>
          <w:tcPr/>
          <w:p>
            <w:pPr>
              <w:pStyle w:val="Compact"/>
            </w:pPr>
            <w:r>
              <w:rPr>
                <w:rStyle w:val="VerbatimChar"/>
              </w:rPr>
              <w:t xml:space="preserve">1.8.0</w:t>
            </w:r>
          </w:p>
        </w:tc>
      </w:tr>
      <w:tr>
        <w:tc>
          <w:tcPr/>
          <w:p>
            <w:pPr>
              <w:pStyle w:val="Compact"/>
            </w:pPr>
            <w:r>
              <w:t xml:space="preserve">scipy</w:t>
            </w:r>
          </w:p>
        </w:tc>
        <w:tc>
          <w:tcPr/>
          <w:p>
            <w:pPr>
              <w:pStyle w:val="Compact"/>
            </w:pPr>
            <w:r>
              <w:rPr>
                <w:rStyle w:val="VerbatimChar"/>
              </w:rPr>
              <w:t xml:space="preserve">1.17.1</w:t>
            </w:r>
          </w:p>
        </w:tc>
      </w:tr>
      <w:tr>
        <w:tc>
          <w:tcPr/>
          <w:p>
            <w:pPr>
              <w:pStyle w:val="Compact"/>
            </w:pPr>
            <w:r>
              <w:t xml:space="preserve">streamlit</w:t>
            </w:r>
          </w:p>
        </w:tc>
        <w:tc>
          <w:tcPr/>
          <w:p>
            <w:pPr>
              <w:pStyle w:val="Compact"/>
            </w:pPr>
            <w:r>
              <w:rPr>
                <w:rStyle w:val="VerbatimChar"/>
              </w:rPr>
              <w:t xml:space="preserve">1.58.0</w:t>
            </w:r>
          </w:p>
        </w:tc>
      </w:tr>
      <w:tr>
        <w:tc>
          <w:tcPr/>
          <w:p>
            <w:pPr>
              <w:pStyle w:val="Compact"/>
            </w:pPr>
            <w:r>
              <w:t xml:space="preserve">xgboost</w:t>
            </w:r>
          </w:p>
        </w:tc>
        <w:tc>
          <w:tcPr/>
          <w:p>
            <w:pPr>
              <w:pStyle w:val="Compact"/>
            </w:pPr>
            <w:r>
              <w:rPr>
                <w:rStyle w:val="VerbatimChar"/>
              </w:rPr>
              <w:t xml:space="preserve">3.3.0</w:t>
            </w:r>
          </w:p>
        </w:tc>
      </w:tr>
    </w:tbl>
    <w:bookmarkStart w:id="75" w:name="what-a-query-costs"/>
    <w:p>
      <w:pPr>
        <w:pStyle w:val="Heading3"/>
      </w:pPr>
      <w:r>
        <w:t xml:space="preserve">10.1 What a query costs</w:t>
      </w:r>
    </w:p>
    <w:tbl>
      <w:tblPr>
        <w:tblStyle w:val="Table"/>
        <w:tblW w:type="pct" w:w="5000"/>
        <w:jc w:val="center"/>
        <w:tblLayout w:type="autofit"/>
        <w:tblLook w:firstRow="1" w:lastRow="0" w:firstColumn="0" w:lastColumn="0" w:noHBand="0" w:noVBand="0" w:val="0020"/>
        <w:tblLayout w:type="autofit"/>
      </w:tblPr>
      <w:tblGrid>
        <w:gridCol w:w="3960"/>
        <w:gridCol w:w="3960"/>
      </w:tblGrid>
      <w:tr>
        <w:trPr>
          <w:tblHeader w:val="on"/>
          <w:tblHeader w:val="true"/>
        </w:trPr>
        <w:tc>
          <w:tcPr>
            <w:shd w:val="clear" w:fill="EAF0F7"/>
          </w:tcPr>
          <w:p>
            <w:pPr>
              <w:pStyle w:val="Compact"/>
            </w:pPr>
            <w:r>
              <w:rPr>
                <w:b/>
                <w:sz w:val="17"/>
              </w:rPr>
              <w:t xml:space="preserve">Operation</w:t>
            </w:r>
          </w:p>
        </w:tc>
        <w:tc>
          <w:tcPr>
            <w:shd w:val="clear" w:fill="EAF0F7"/>
          </w:tcPr>
          <w:p>
            <w:pPr>
              <w:pStyle w:val="Compact"/>
            </w:pPr>
            <w:r>
              <w:rPr>
                <w:b/>
                <w:sz w:val="17"/>
              </w:rPr>
              <w:t xml:space="preserve">Measured cost</w:t>
            </w:r>
          </w:p>
        </w:tc>
      </w:tr>
      <w:tr>
        <w:tc>
          <w:tcPr/>
          <w:p>
            <w:pPr>
              <w:pStyle w:val="Compact"/>
            </w:pPr>
            <w:r>
              <w:t xml:space="preserve">One compound, full profile across all deployed estimators</w:t>
            </w:r>
          </w:p>
        </w:tc>
        <w:tc>
          <w:tcPr/>
          <w:p>
            <w:pPr>
              <w:pStyle w:val="Compact"/>
            </w:pPr>
            <w:r>
              <w:t xml:space="preserve">a few seconds on one CPU core</w:t>
            </w:r>
          </w:p>
        </w:tc>
      </w:tr>
      <w:tr>
        <w:tc>
          <w:tcPr/>
          <w:p>
            <w:pPr>
              <w:pStyle w:val="Compact"/>
            </w:pPr>
            <w:r>
              <w:t xml:space="preserve">Model load, once per server start</w:t>
            </w:r>
          </w:p>
        </w:tc>
        <w:tc>
          <w:tcPr/>
          <w:p>
            <w:pPr>
              <w:pStyle w:val="Compact"/>
            </w:pPr>
            <w:r>
              <w:t xml:space="preserve">tens of seconds; every later query reuses it</w:t>
            </w:r>
          </w:p>
        </w:tc>
      </w:tr>
      <w:tr>
        <w:tc>
          <w:tcPr/>
          <w:p>
            <w:pPr>
              <w:pStyle w:val="Compact"/>
            </w:pPr>
            <w:r>
              <w:t xml:space="preserve">Panel on disk</w:t>
            </w:r>
          </w:p>
        </w:tc>
        <w:tc>
          <w:tcPr/>
          <w:p>
            <w:pPr>
              <w:pStyle w:val="Compact"/>
            </w:pPr>
            <w:r>
              <w:t xml:space="preserve">0.92 GB after compression, 0.77 GB excluding hold-out twins</w:t>
            </w:r>
          </w:p>
        </w:tc>
      </w:tr>
      <w:tr>
        <w:tc>
          <w:tcPr/>
          <w:p>
            <w:pPr>
              <w:pStyle w:val="Compact"/>
            </w:pPr>
            <w:r>
              <w:t xml:space="preserve">Full reproduction of everything downstream of the models</w:t>
            </w:r>
          </w:p>
        </w:tc>
        <w:tc>
          <w:tcPr/>
          <w:p>
            <w:pPr>
              <w:pStyle w:val="Compact"/>
            </w:pPr>
            <w:r>
              <w:t xml:space="preserve">about 75 s</w:t>
            </w:r>
          </w:p>
        </w:tc>
      </w:tr>
      <w:tr>
        <w:tc>
          <w:tcPr/>
          <w:p>
            <w:pPr>
              <w:pStyle w:val="Compact"/>
            </w:pPr>
            <w:r>
              <w:t xml:space="preserve">Re-deriving binder thresholds, all four steps</w:t>
            </w:r>
          </w:p>
        </w:tc>
        <w:tc>
          <w:tcPr/>
          <w:p>
            <w:pPr>
              <w:pStyle w:val="Compact"/>
            </w:pPr>
            <w:r>
              <w:t xml:space="preserve">about 25 min</w:t>
            </w:r>
          </w:p>
        </w:tc>
      </w:tr>
      <w:tr>
        <w:tc>
          <w:tcPr/>
          <w:p>
            <w:pPr>
              <w:pStyle w:val="Compact"/>
            </w:pPr>
            <w:r>
              <w:t xml:space="preserve">Refitting the whole panel</w:t>
            </w:r>
          </w:p>
        </w:tc>
        <w:tc>
          <w:tcPr/>
          <w:p>
            <w:pPr>
              <w:pStyle w:val="Compact"/>
            </w:pPr>
            <w:r>
              <w:t xml:space="preserve">hours</w:t>
            </w:r>
          </w:p>
        </w:tc>
      </w:tr>
      <w:tr>
        <w:tc>
          <w:tcPr/>
          <w:p>
            <w:pPr>
              <w:pStyle w:val="Compact"/>
            </w:pPr>
            <w:r>
              <w:t xml:space="preserve">Test suite</w:t>
            </w:r>
          </w:p>
        </w:tc>
        <w:tc>
          <w:tcPr/>
          <w:p>
            <w:pPr>
              <w:pStyle w:val="Compact"/>
            </w:pPr>
            <w:r>
              <w:t xml:space="preserve">about 90 s</w:t>
            </w:r>
          </w:p>
        </w:tc>
      </w:tr>
    </w:tbl>
    <w:p>
      <w:r>
        <w:pict>
          <v:rect style="width:0;height:1.5pt" o:hralign="center" o:hrstd="t" o:hr="t"/>
        </w:pict>
      </w:r>
    </w:p>
    <w:bookmarkEnd w:id="75"/>
    <w:bookmarkEnd w:id="76"/>
    <w:bookmarkStart w:id="77" w:name="reproducing-this"/>
    <w:p>
      <w:pPr>
        <w:pStyle w:val="Heading2"/>
      </w:pPr>
      <w:r>
        <w:t xml:space="preserve">11. Reproducing this</w:t>
      </w:r>
    </w:p>
    <w:tbl>
      <w:tblPr>
        <w:tblStyle w:val="Table"/>
        <w:tblW w:type="pct" w:w="5000"/>
        <w:jc w:val="center"/>
        <w:tblLayout w:type="autofit"/>
        <w:tblLook w:firstRow="1" w:lastRow="0" w:firstColumn="0" w:lastColumn="0" w:noHBand="0" w:noVBand="0" w:val="0020"/>
        <w:tblLayout w:type="autofit"/>
      </w:tblPr>
      <w:tblGrid>
        <w:gridCol w:w="3960"/>
        <w:gridCol w:w="3960"/>
      </w:tblGrid>
      <w:tr>
        <w:trPr>
          <w:tblHeader w:val="on"/>
          <w:tblHeader w:val="true"/>
        </w:trPr>
        <w:tc>
          <w:tcPr>
            <w:shd w:val="clear" w:fill="EAF0F7"/>
          </w:tcPr>
          <w:p>
            <w:pPr>
              <w:pStyle w:val="Compact"/>
            </w:pPr>
            <w:r>
              <w:rPr>
                <w:b/>
                <w:sz w:val="17"/>
              </w:rPr>
              <w:t xml:space="preserve">What</w:t>
            </w:r>
          </w:p>
        </w:tc>
        <w:tc>
          <w:tcPr>
            <w:shd w:val="clear" w:fill="EAF0F7"/>
          </w:tcPr>
          <w:p>
            <w:pPr>
              <w:pStyle w:val="Compact"/>
            </w:pPr>
            <w:r>
              <w:rPr>
                <w:b/>
                <w:sz w:val="17"/>
              </w:rPr>
              <w:t xml:space="preserve">Command</w:t>
            </w:r>
          </w:p>
        </w:tc>
      </w:tr>
      <w:tr>
        <w:tc>
          <w:tcPr/>
          <w:p>
            <w:pPr>
              <w:pStyle w:val="Compact"/>
            </w:pPr>
            <w:r>
              <w:t xml:space="preserve">Everything downstream of the models</w:t>
            </w:r>
          </w:p>
        </w:tc>
        <w:tc>
          <w:tcPr/>
          <w:p>
            <w:pPr>
              <w:pStyle w:val="Compact"/>
            </w:pPr>
            <w:r>
              <w:rPr>
                <w:rStyle w:val="VerbatimChar"/>
              </w:rPr>
              <w:t xml:space="preserve">python tools/reproduce.py</w:t>
            </w:r>
          </w:p>
        </w:tc>
      </w:tr>
      <w:tr>
        <w:tc>
          <w:tcPr/>
          <w:p>
            <w:pPr>
              <w:pStyle w:val="Compact"/>
            </w:pPr>
            <w:r>
              <w:t xml:space="preserve">Refit the whole panel (hours)</w:t>
            </w:r>
          </w:p>
        </w:tc>
        <w:tc>
          <w:tcPr/>
          <w:p>
            <w:pPr>
              <w:pStyle w:val="Compact"/>
            </w:pPr>
            <w:r>
              <w:rPr>
                <w:rStyle w:val="VerbatimChar"/>
              </w:rPr>
              <w:t xml:space="preserve">make train</w:t>
            </w:r>
          </w:p>
        </w:tc>
      </w:tr>
      <w:tr>
        <w:tc>
          <w:tcPr/>
          <w:p>
            <w:pPr>
              <w:pStyle w:val="Compact"/>
            </w:pPr>
            <w:r>
              <w:t xml:space="preserve">Check every artefact is newer than its inputs</w:t>
            </w:r>
          </w:p>
        </w:tc>
        <w:tc>
          <w:tcPr/>
          <w:p>
            <w:pPr>
              <w:pStyle w:val="Compact"/>
            </w:pPr>
            <w:r>
              <w:rPr>
                <w:rStyle w:val="VerbatimChar"/>
              </w:rPr>
              <w:t xml:space="preserve">python tools/check_freshness.py</w:t>
            </w:r>
          </w:p>
        </w:tc>
      </w:tr>
      <w:tr>
        <w:tc>
          <w:tcPr/>
          <w:p>
            <w:pPr>
              <w:pStyle w:val="Compact"/>
            </w:pPr>
            <w:r>
              <w:t xml:space="preserve">Check the panel is self-consistent</w:t>
            </w:r>
          </w:p>
        </w:tc>
        <w:tc>
          <w:tcPr/>
          <w:p>
            <w:pPr>
              <w:pStyle w:val="Compact"/>
            </w:pPr>
            <w:r>
              <w:rPr>
                <w:rStyle w:val="VerbatimChar"/>
              </w:rPr>
              <w:t xml:space="preserve">python src/brainsafe/panel.py</w:t>
            </w:r>
          </w:p>
        </w:tc>
      </w:tr>
      <w:tr>
        <w:tc>
          <w:tcPr/>
          <w:p>
            <w:pPr>
              <w:pStyle w:val="Compact"/>
            </w:pPr>
            <w:r>
              <w:t xml:space="preserve">Regenerate this document</w:t>
            </w:r>
          </w:p>
        </w:tc>
        <w:tc>
          <w:tcPr/>
          <w:p>
            <w:pPr>
              <w:pStyle w:val="Compact"/>
            </w:pPr>
            <w:r>
              <w:rPr>
                <w:rStyle w:val="VerbatimChar"/>
              </w:rPr>
              <w:t xml:space="preserve">python src/brainsafe/analysis/build_technical_report.py</w:t>
            </w:r>
          </w:p>
        </w:tc>
      </w:tr>
    </w:tbl>
    <w:p>
      <w:pPr>
        <w:pStyle w:val="BodyText"/>
      </w:pPr>
      <w:r>
        <w:t xml:space="preserve">Random seed is 42 throughout. The panel registry at</w:t>
      </w:r>
      <w:r>
        <w:t xml:space="preserve"> </w:t>
      </w:r>
      <w:r>
        <w:rPr>
          <w:rStyle w:val="VerbatimChar"/>
        </w:rPr>
        <w:t xml:space="preserve">models_rf/binder_modes.json</w:t>
      </w:r>
      <w:r>
        <w:t xml:space="preserve"> </w:t>
      </w:r>
      <w:r>
        <w:t xml:space="preserve">is the single</w:t>
      </w:r>
      <w:r>
        <w:t xml:space="preserve"> </w:t>
      </w:r>
      <w:r>
        <w:t xml:space="preserve">definition of what the system consists of; every script reads it rather than carrying its own list.</w:t>
      </w:r>
    </w:p>
    <w:p>
      <w:r>
        <w:pict>
          <v:rect style="width:0;height:1.5pt" o:hralign="center" o:hrstd="t" o:hr="t"/>
        </w:pict>
      </w:r>
    </w:p>
    <w:bookmarkEnd w:id="77"/>
    <w:bookmarkStart w:id="99" w:name="annex-figures"/>
    <w:p>
      <w:pPr>
        <w:pStyle w:val="Heading2"/>
      </w:pPr>
      <w:r>
        <w:t xml:space="preserve">Annex: figures</w:t>
      </w:r>
    </w:p>
    <w:p>
      <w:pPr>
        <w:pStyle w:val="FirstParagraph"/>
      </w:pPr>
      <w:r>
        <w:rPr>
          <w:b/>
          <w:bCs/>
        </w:rPr>
        <w:t xml:space="preserve">Figure A1.</w:t>
      </w:r>
      <w:r>
        <w:t xml:space="preserve"> </w:t>
      </w:r>
      <w:r>
        <w:t xml:space="preserve">Endpoint selection. (A) Data volume against cross-validated discrimination across the panel. (B) The condition that actually decides deployment: whether a threshold exists that recovers actives without firing on unrelated chemistry. Endpoints that rank well can still be withheld. (C) The same data bar applied to every candidate target surveyed.</w:t>
      </w:r>
    </w:p>
    <w:p>
      <w:pPr>
        <w:pStyle w:val="CaptionedFigure"/>
      </w:pPr>
      <w:r>
        <w:drawing>
          <wp:inline>
            <wp:extent cx="5969000" cy="3605400"/>
            <wp:effectExtent b="0" l="0" r="0" t="0"/>
            <wp:docPr descr="Figure A1" title="" id="79" name="Picture"/>
            <a:graphic>
              <a:graphicData uri="http://schemas.openxmlformats.org/drawingml/2006/picture">
                <pic:pic>
                  <pic:nvPicPr>
                    <pic:cNvPr descr="D:/BRAINSAFE_AI/manuscript/figures/Figure10_endpoint_selection.png" id="80" name="Picture"/>
                    <pic:cNvPicPr>
                      <a:picLocks noChangeArrowheads="1" noChangeAspect="1"/>
                    </pic:cNvPicPr>
                  </pic:nvPicPr>
                  <pic:blipFill>
                    <a:blip r:embed="rId78"/>
                    <a:stretch>
                      <a:fillRect/>
                    </a:stretch>
                  </pic:blipFill>
                  <pic:spPr bwMode="auto">
                    <a:xfrm>
                      <a:off x="0" y="0"/>
                      <a:ext cx="5969000" cy="3605400"/>
                    </a:xfrm>
                    <a:prstGeom prst="rect">
                      <a:avLst/>
                    </a:prstGeom>
                    <a:noFill/>
                    <a:ln w="9525">
                      <a:noFill/>
                      <a:headEnd/>
                      <a:tailEnd/>
                    </a:ln>
                  </pic:spPr>
                </pic:pic>
              </a:graphicData>
            </a:graphic>
          </wp:inline>
        </w:drawing>
      </w:r>
    </w:p>
    <w:p>
      <w:pPr>
        <w:pStyle w:val="ImageCaption"/>
      </w:pPr>
      <w:r>
        <w:t xml:space="preserve">Figure A1</w:t>
      </w:r>
    </w:p>
    <w:p>
      <w:pPr>
        <w:pStyle w:val="BodyText"/>
      </w:pPr>
      <w:r>
        <w:rPr>
          <w:b/>
          <w:bCs/>
        </w:rPr>
        <w:t xml:space="preserve">Figure A2.</w:t>
      </w:r>
      <w:r>
        <w:t xml:space="preserve"> </w:t>
      </w:r>
      <w:r>
        <w:t xml:space="preserve">How a query is answered. Every target score is admitted only in proportion to the predicted probability that the compound reaches the brain, and surviving scores are ranked by enrichment over each endpoint’s base rate rather than by raw probability.</w:t>
      </w:r>
    </w:p>
    <w:p>
      <w:pPr>
        <w:pStyle w:val="CaptionedFigure"/>
      </w:pPr>
      <w:r>
        <w:drawing>
          <wp:inline>
            <wp:extent cx="5969000" cy="5004063"/>
            <wp:effectExtent b="0" l="0" r="0" t="0"/>
            <wp:docPr descr="Figure A2" title="" id="82" name="Picture"/>
            <a:graphic>
              <a:graphicData uri="http://schemas.openxmlformats.org/drawingml/2006/picture">
                <pic:pic>
                  <pic:nvPicPr>
                    <pic:cNvPr descr="D:/BRAINSAFE_AI/manuscript/figures/Figure1_architecture.png" id="83" name="Picture"/>
                    <pic:cNvPicPr>
                      <a:picLocks noChangeArrowheads="1" noChangeAspect="1"/>
                    </pic:cNvPicPr>
                  </pic:nvPicPr>
                  <pic:blipFill>
                    <a:blip r:embed="rId81"/>
                    <a:stretch>
                      <a:fillRect/>
                    </a:stretch>
                  </pic:blipFill>
                  <pic:spPr bwMode="auto">
                    <a:xfrm>
                      <a:off x="0" y="0"/>
                      <a:ext cx="5969000" cy="5004063"/>
                    </a:xfrm>
                    <a:prstGeom prst="rect">
                      <a:avLst/>
                    </a:prstGeom>
                    <a:noFill/>
                    <a:ln w="9525">
                      <a:noFill/>
                      <a:headEnd/>
                      <a:tailEnd/>
                    </a:ln>
                  </pic:spPr>
                </pic:pic>
              </a:graphicData>
            </a:graphic>
          </wp:inline>
        </w:drawing>
      </w:r>
    </w:p>
    <w:p>
      <w:pPr>
        <w:pStyle w:val="ImageCaption"/>
      </w:pPr>
      <w:r>
        <w:t xml:space="preserve">Figure A2</w:t>
      </w:r>
    </w:p>
    <w:p>
      <w:pPr>
        <w:pStyle w:val="BodyText"/>
      </w:pPr>
      <w:r>
        <w:rPr>
          <w:b/>
          <w:bCs/>
        </w:rPr>
        <w:t xml:space="preserve">Figure A3.</w:t>
      </w:r>
      <w:r>
        <w:t xml:space="preserve"> </w:t>
      </w:r>
      <w:r>
        <w:t xml:space="preserve">The panel, one mark per estimator, so that no claim rests on a mean a reader cannot check. Marker shape carries the metric: AUROC and R-squared both run to 1.0 and are not the same quantity.</w:t>
      </w:r>
    </w:p>
    <w:p>
      <w:pPr>
        <w:pStyle w:val="CaptionedFigure"/>
      </w:pPr>
      <w:r>
        <w:drawing>
          <wp:inline>
            <wp:extent cx="5969000" cy="4582872"/>
            <wp:effectExtent b="0" l="0" r="0" t="0"/>
            <wp:docPr descr="Figure A3" title="" id="85" name="Picture"/>
            <a:graphic>
              <a:graphicData uri="http://schemas.openxmlformats.org/drawingml/2006/picture">
                <pic:pic>
                  <pic:nvPicPr>
                    <pic:cNvPr descr="D:/BRAINSAFE_AI/manuscript/figures/Figure9_model_atlas.png" id="86" name="Picture"/>
                    <pic:cNvPicPr>
                      <a:picLocks noChangeArrowheads="1" noChangeAspect="1"/>
                    </pic:cNvPicPr>
                  </pic:nvPicPr>
                  <pic:blipFill>
                    <a:blip r:embed="rId84"/>
                    <a:stretch>
                      <a:fillRect/>
                    </a:stretch>
                  </pic:blipFill>
                  <pic:spPr bwMode="auto">
                    <a:xfrm>
                      <a:off x="0" y="0"/>
                      <a:ext cx="5969000" cy="4582872"/>
                    </a:xfrm>
                    <a:prstGeom prst="rect">
                      <a:avLst/>
                    </a:prstGeom>
                    <a:noFill/>
                    <a:ln w="9525">
                      <a:noFill/>
                      <a:headEnd/>
                      <a:tailEnd/>
                    </a:ln>
                  </pic:spPr>
                </pic:pic>
              </a:graphicData>
            </a:graphic>
          </wp:inline>
        </w:drawing>
      </w:r>
    </w:p>
    <w:p>
      <w:pPr>
        <w:pStyle w:val="ImageCaption"/>
      </w:pPr>
      <w:r>
        <w:t xml:space="preserve">Figure A3</w:t>
      </w:r>
    </w:p>
    <w:p>
      <w:pPr>
        <w:pStyle w:val="BodyText"/>
      </w:pPr>
      <w:r>
        <w:rPr>
          <w:b/>
          <w:bCs/>
        </w:rPr>
        <w:t xml:space="preserve">Figure A4.</w:t>
      </w:r>
      <w:r>
        <w:t xml:space="preserve"> </w:t>
      </w:r>
      <w:r>
        <w:t xml:space="preserve">Four validations that a cross-validated score cannot replace: calibration, recall on withheld scaffold classes, specificity on chemistry the server should stay quiet about, and the adversarial suite, every check shown at the same size whatever its verdict.</w:t>
      </w:r>
    </w:p>
    <w:p>
      <w:pPr>
        <w:pStyle w:val="CaptionedFigure"/>
      </w:pPr>
      <w:r>
        <w:drawing>
          <wp:inline>
            <wp:extent cx="5969000" cy="3750741"/>
            <wp:effectExtent b="0" l="0" r="0" t="0"/>
            <wp:docPr descr="Figure A4" title="" id="88" name="Picture"/>
            <a:graphic>
              <a:graphicData uri="http://schemas.openxmlformats.org/drawingml/2006/picture">
                <pic:pic>
                  <pic:nvPicPr>
                    <pic:cNvPr descr="D:/BRAINSAFE_AI/manuscript/figures/Figure6_validation.png" id="89" name="Picture"/>
                    <pic:cNvPicPr>
                      <a:picLocks noChangeArrowheads="1" noChangeAspect="1"/>
                    </pic:cNvPicPr>
                  </pic:nvPicPr>
                  <pic:blipFill>
                    <a:blip r:embed="rId87"/>
                    <a:stretch>
                      <a:fillRect/>
                    </a:stretch>
                  </pic:blipFill>
                  <pic:spPr bwMode="auto">
                    <a:xfrm>
                      <a:off x="0" y="0"/>
                      <a:ext cx="5969000" cy="3750741"/>
                    </a:xfrm>
                    <a:prstGeom prst="rect">
                      <a:avLst/>
                    </a:prstGeom>
                    <a:noFill/>
                    <a:ln w="9525">
                      <a:noFill/>
                      <a:headEnd/>
                      <a:tailEnd/>
                    </a:ln>
                  </pic:spPr>
                </pic:pic>
              </a:graphicData>
            </a:graphic>
          </wp:inline>
        </w:drawing>
      </w:r>
    </w:p>
    <w:p>
      <w:pPr>
        <w:pStyle w:val="ImageCaption"/>
      </w:pPr>
      <w:r>
        <w:t xml:space="preserve">Figure A4</w:t>
      </w:r>
    </w:p>
    <w:p>
      <w:pPr>
        <w:pStyle w:val="BodyText"/>
      </w:pPr>
      <w:r>
        <w:rPr>
          <w:b/>
          <w:bCs/>
        </w:rPr>
        <w:t xml:space="preserve">Figure A5.</w:t>
      </w:r>
      <w:r>
        <w:t xml:space="preserve"> </w:t>
      </w:r>
      <w:r>
        <w:t xml:space="preserve">External validation. An aggregate gap between a time split and a size-matched random split that looks like prospective decay, the difference in test-set composition that produces it, and the single recall-against-distance curve traced by three test sets withheld by unrelated rules: by date, at random, and by curator.</w:t>
      </w:r>
    </w:p>
    <w:p>
      <w:pPr>
        <w:pStyle w:val="CaptionedFigure"/>
      </w:pPr>
      <w:r>
        <w:drawing>
          <wp:inline>
            <wp:extent cx="5969000" cy="5326313"/>
            <wp:effectExtent b="0" l="0" r="0" t="0"/>
            <wp:docPr descr="Figure A5" title="" id="91" name="Picture"/>
            <a:graphic>
              <a:graphicData uri="http://schemas.openxmlformats.org/drawingml/2006/picture">
                <pic:pic>
                  <pic:nvPicPr>
                    <pic:cNvPr descr="D:/BRAINSAFE_AI/manuscript/figures/Figure11_external_validation.png" id="92" name="Picture"/>
                    <pic:cNvPicPr>
                      <a:picLocks noChangeArrowheads="1" noChangeAspect="1"/>
                    </pic:cNvPicPr>
                  </pic:nvPicPr>
                  <pic:blipFill>
                    <a:blip r:embed="rId90"/>
                    <a:stretch>
                      <a:fillRect/>
                    </a:stretch>
                  </pic:blipFill>
                  <pic:spPr bwMode="auto">
                    <a:xfrm>
                      <a:off x="0" y="0"/>
                      <a:ext cx="5969000" cy="5326313"/>
                    </a:xfrm>
                    <a:prstGeom prst="rect">
                      <a:avLst/>
                    </a:prstGeom>
                    <a:noFill/>
                    <a:ln w="9525">
                      <a:noFill/>
                      <a:headEnd/>
                      <a:tailEnd/>
                    </a:ln>
                  </pic:spPr>
                </pic:pic>
              </a:graphicData>
            </a:graphic>
          </wp:inline>
        </w:drawing>
      </w:r>
    </w:p>
    <w:p>
      <w:pPr>
        <w:pStyle w:val="ImageCaption"/>
      </w:pPr>
      <w:r>
        <w:t xml:space="preserve">Figure A5</w:t>
      </w:r>
    </w:p>
    <w:p>
      <w:pPr>
        <w:pStyle w:val="BodyText"/>
      </w:pPr>
      <w:r>
        <w:rPr>
          <w:b/>
          <w:bCs/>
        </w:rPr>
        <w:t xml:space="preserve">Figure A6.</w:t>
      </w:r>
      <w:r>
        <w:t xml:space="preserve"> </w:t>
      </w:r>
      <w:r>
        <w:t xml:space="preserve">Every binder endpoint named, deployed and withdrawn alike, with what it discriminates and what it recovers.</w:t>
      </w:r>
    </w:p>
    <w:p>
      <w:pPr>
        <w:pStyle w:val="CaptionedFigure"/>
      </w:pPr>
      <w:r>
        <w:drawing>
          <wp:inline>
            <wp:extent cx="5969000" cy="3561027"/>
            <wp:effectExtent b="0" l="0" r="0" t="0"/>
            <wp:docPr descr="Figure A6" title="" id="94" name="Picture"/>
            <a:graphic>
              <a:graphicData uri="http://schemas.openxmlformats.org/drawingml/2006/picture">
                <pic:pic>
                  <pic:nvPicPr>
                    <pic:cNvPr descr="D:/BRAINSAFE_AI/manuscript/figures/Figure7_binder_panel.png" id="95" name="Picture"/>
                    <pic:cNvPicPr>
                      <a:picLocks noChangeArrowheads="1" noChangeAspect="1"/>
                    </pic:cNvPicPr>
                  </pic:nvPicPr>
                  <pic:blipFill>
                    <a:blip r:embed="rId93"/>
                    <a:stretch>
                      <a:fillRect/>
                    </a:stretch>
                  </pic:blipFill>
                  <pic:spPr bwMode="auto">
                    <a:xfrm>
                      <a:off x="0" y="0"/>
                      <a:ext cx="5969000" cy="3561027"/>
                    </a:xfrm>
                    <a:prstGeom prst="rect">
                      <a:avLst/>
                    </a:prstGeom>
                    <a:noFill/>
                    <a:ln w="9525">
                      <a:noFill/>
                      <a:headEnd/>
                      <a:tailEnd/>
                    </a:ln>
                  </pic:spPr>
                </pic:pic>
              </a:graphicData>
            </a:graphic>
          </wp:inline>
        </w:drawing>
      </w:r>
    </w:p>
    <w:p>
      <w:pPr>
        <w:pStyle w:val="ImageCaption"/>
      </w:pPr>
      <w:r>
        <w:t xml:space="preserve">Figure A6</w:t>
      </w:r>
    </w:p>
    <w:p>
      <w:pPr>
        <w:pStyle w:val="BodyText"/>
      </w:pPr>
      <w:r>
        <w:rPr>
          <w:b/>
          <w:bCs/>
        </w:rPr>
        <w:t xml:space="preserve">Figure A7.</w:t>
      </w:r>
      <w:r>
        <w:t xml:space="preserve"> </w:t>
      </w:r>
      <w:r>
        <w:t xml:space="preserve">Recovery of the measured negative class from censored bounds, and its effect per endpoint.</w:t>
      </w:r>
    </w:p>
    <w:p>
      <w:pPr>
        <w:pStyle w:val="CaptionedFigure"/>
      </w:pPr>
      <w:r>
        <w:drawing>
          <wp:inline>
            <wp:extent cx="5969000" cy="4692995"/>
            <wp:effectExtent b="0" l="0" r="0" t="0"/>
            <wp:docPr descr="Figure A7" title="" id="97" name="Picture"/>
            <a:graphic>
              <a:graphicData uri="http://schemas.openxmlformats.org/drawingml/2006/picture">
                <pic:pic>
                  <pic:nvPicPr>
                    <pic:cNvPr descr="D:/BRAINSAFE_AI/manuscript/figures/Figure5_negative_class.png" id="98" name="Picture"/>
                    <pic:cNvPicPr>
                      <a:picLocks noChangeArrowheads="1" noChangeAspect="1"/>
                    </pic:cNvPicPr>
                  </pic:nvPicPr>
                  <pic:blipFill>
                    <a:blip r:embed="rId96"/>
                    <a:stretch>
                      <a:fillRect/>
                    </a:stretch>
                  </pic:blipFill>
                  <pic:spPr bwMode="auto">
                    <a:xfrm>
                      <a:off x="0" y="0"/>
                      <a:ext cx="5969000" cy="4692995"/>
                    </a:xfrm>
                    <a:prstGeom prst="rect">
                      <a:avLst/>
                    </a:prstGeom>
                    <a:noFill/>
                    <a:ln w="9525">
                      <a:noFill/>
                      <a:headEnd/>
                      <a:tailEnd/>
                    </a:ln>
                  </pic:spPr>
                </pic:pic>
              </a:graphicData>
            </a:graphic>
          </wp:inline>
        </w:drawing>
      </w:r>
    </w:p>
    <w:p>
      <w:pPr>
        <w:pStyle w:val="ImageCaption"/>
      </w:pPr>
      <w:r>
        <w:t xml:space="preserve">Figure A7</w:t>
      </w:r>
    </w:p>
    <w:bookmarkEnd w:id="99"/>
    <w:bookmarkEnd w:id="100"/>
    <w:sectPr w:rsidR="00FC693F" w:rsidRPr="0006063C" w:rsidSect="00034616">
      <w:pgSz w:h="16838" w:w="11906"/>
      <w:pgMar w:bottom="1134" w:footer="720" w:gutter="0" w:header="720"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93" w:lineRule="auto"/>
    </w:pPr>
    <w:rPr>
      <w:rFonts w:ascii="Calibri" w:cs="Calibri" w:eastAsia="Calibri" w:hAnsi="Calibri"/>
      <w:b w:val="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0" w:line="264" w:lineRule="auto"/>
      <w:outlineLvl w:val="0"/>
    </w:pPr>
    <w:rPr>
      <w:rFonts w:ascii="Calibri" w:asciiTheme="majorHAnsi" w:cs="Calibri" w:cstheme="majorBidi" w:eastAsia="Calibri" w:eastAsiaTheme="majorEastAsia" w:hAnsi="Calibri" w:hAnsiTheme="majorHAnsi"/>
      <w:b/>
      <w:bCs/>
      <w:color w:val="0D2137"/>
      <w:sz w:val="40"/>
      <w:szCs w:val="28"/>
    </w:rPr>
  </w:style>
  <w:style w:styleId="Heading2" w:type="paragraph">
    <w:name w:val="heading 2"/>
    <w:basedOn w:val="Normal"/>
    <w:next w:val="Normal"/>
    <w:link w:val="Heading2Char"/>
    <w:uiPriority w:val="9"/>
    <w:unhideWhenUsed/>
    <w:qFormat/>
    <w:rsid w:val="00FC693F"/>
    <w:pPr>
      <w:keepNext/>
      <w:keepLines/>
      <w:spacing w:after="100" w:before="320" w:line="264" w:lineRule="auto"/>
      <w:outlineLvl w:val="1"/>
    </w:pPr>
    <w:rPr>
      <w:rFonts w:ascii="Calibri" w:asciiTheme="majorHAnsi" w:cs="Calibri" w:cstheme="majorBidi" w:eastAsia="Calibri" w:eastAsiaTheme="majorEastAsia" w:hAnsi="Calibri" w:hAnsiTheme="majorHAnsi"/>
      <w:b/>
      <w:bCs/>
      <w:color w:val="0D2137"/>
      <w:sz w:val="30"/>
      <w:szCs w:val="26"/>
    </w:rPr>
  </w:style>
  <w:style w:styleId="Heading3" w:type="paragraph">
    <w:name w:val="heading 3"/>
    <w:basedOn w:val="Normal"/>
    <w:next w:val="Normal"/>
    <w:link w:val="Heading3Char"/>
    <w:uiPriority w:val="9"/>
    <w:unhideWhenUsed/>
    <w:qFormat/>
    <w:rsid w:val="00FC693F"/>
    <w:pPr>
      <w:keepNext/>
      <w:keepLines/>
      <w:spacing w:after="100" w:before="260" w:line="264" w:lineRule="auto"/>
      <w:outlineLvl w:val="2"/>
    </w:pPr>
    <w:rPr>
      <w:rFonts w:ascii="Calibri" w:asciiTheme="majorHAnsi" w:cs="Calibri" w:cstheme="majorBidi" w:eastAsia="Calibri" w:eastAsiaTheme="majorEastAsia" w:hAnsi="Calibri" w:hAnsiTheme="majorHAnsi"/>
      <w:b/>
      <w:bCs/>
      <w:color w:val="1A3A5C"/>
      <w:sz w:val="24"/>
    </w:rPr>
  </w:style>
  <w:style w:styleId="Heading4" w:type="paragraph">
    <w:name w:val="heading 4"/>
    <w:basedOn w:val="Normal"/>
    <w:next w:val="Normal"/>
    <w:link w:val="Heading4Char"/>
    <w:uiPriority w:val="9"/>
    <w:semiHidden/>
    <w:unhideWhenUsed/>
    <w:qFormat/>
    <w:rsid w:val="00FC693F"/>
    <w:pPr>
      <w:keepNext/>
      <w:keepLines/>
      <w:spacing w:after="100" w:before="200" w:line="264" w:lineRule="auto"/>
      <w:outlineLvl w:val="3"/>
    </w:pPr>
    <w:rPr>
      <w:rFonts w:ascii="Calibri" w:asciiTheme="majorHAnsi" w:cs="Calibri" w:cstheme="majorBidi" w:eastAsia="Calibri" w:eastAsiaTheme="majorEastAsia" w:hAnsi="Calibri" w:hAnsiTheme="majorHAnsi"/>
      <w:b/>
      <w:bCs/>
      <w:i/>
      <w:iCs/>
      <w:color w:val="1A3A5C"/>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before="0" w:line="293" w:lineRule="auto"/>
    </w:pPr>
    <w:rPr>
      <w:rFonts w:ascii="Calibri" w:cs="Calibri" w:eastAsia="Calibri" w:hAnsi="Calibri"/>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40" w:before="0" w:line="276" w:lineRule="auto"/>
      <w:jc w:val="center"/>
    </w:pPr>
    <w:rPr>
      <w:rFonts w:ascii="Calibri" w:cs="Calibri" w:eastAsia="Calibri" w:hAnsi="Calibri"/>
      <w:b w:val="0"/>
      <w:bCs/>
      <w:color w:val="5A6672"/>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pPr>
      <w:spacing w:after="0" w:before="0" w:line="252" w:lineRule="auto"/>
    </w:pPr>
    <w:rPr>
      <w:rFonts w:ascii="Calibri" w:cs="Calibri" w:eastAsia="Calibri" w:hAnsi="Calibri"/>
      <w:b w:val="0"/>
      <w:sz w:val="17"/>
    </w:rPr>
    <w:tblPr>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CellMar>
        <w:top w:type="dxa" w:w="60"/>
        <w:left w:type="dxa" w:w="90"/>
        <w:bottom w:type="dxa" w:w="60"/>
        <w:right w:type="dxa" w:w="9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png"/><Relationship Id="rId90" Type="http://schemas.openxmlformats.org/officeDocument/2006/relationships/image" Target="media/rId90.png"/><Relationship Id="rId81" Type="http://schemas.openxmlformats.org/officeDocument/2006/relationships/image" Target="media/rId81.png"/><Relationship Id="rId96" Type="http://schemas.openxmlformats.org/officeDocument/2006/relationships/image" Target="media/rId96.png"/><Relationship Id="rId87" Type="http://schemas.openxmlformats.org/officeDocument/2006/relationships/image" Target="media/rId87.png"/><Relationship Id="rId93" Type="http://schemas.openxmlformats.org/officeDocument/2006/relationships/image" Target="media/rId93.png"/><Relationship Id="rId84" Type="http://schemas.openxmlformats.org/officeDocument/2006/relationships/image" Target="media/rId84.png"/><Relationship Id="rId18" Type="http://schemas.openxmlformats.org/officeDocument/2006/relationships/image" Target="media/rId18.png"/><Relationship Id="rId21" Type="http://schemas.openxmlformats.org/officeDocument/2006/relationships/image" Target="media/rId21.png"/><Relationship Id="rId35" Type="http://schemas.openxmlformats.org/officeDocument/2006/relationships/image" Target="media/rId35.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2026-09-17T15:03:34Z</dcterms:created>
  <dcterms:modified xsi:type="dcterms:W3CDTF">2026-09-17T15:03:34Z</dcterms:modified>
</cp:coreProperties>
</file>

<file path=docProps/custom.xml><?xml version="1.0" encoding="utf-8"?>
<Properties xmlns="http://schemas.openxmlformats.org/officeDocument/2006/custom-properties" xmlns:vt="http://schemas.openxmlformats.org/officeDocument/2006/docPropsVTypes"/>
</file>