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Judging whether a small molecule acts on the brain means answering several questions together: blood–brain-barrier (BBB) penetration, engagement of disease-relevant central-nervous-system (CNS) targets, developability, safety and clinical precedent. Public tools address these only in part (Daina et al., 2017; Fu et al., 2024). Results. BrainSafe AI is an open tool that predicts this profile from chemical structure alone. It integrates eight classification endpoints trained on measured public data (ChEMBL_37 and B3DB; 64,474 records; Mendez et al., 2019; Meng et al., 2021): BBB, AChE, BChE, BACE1, GSK-3β, MAO-A, MAO-B and the hERG safety liability, together with four receptor potency regressions, a measured-DPPH antioxidant model and a deterministic druggability/CNS-MPO layer. Predictions are isotonic-calibrated, carry Mondrian conformal sets (empirical coverage 0.885–0.905; Norinder et al., 2014), and are grounded in nearest measured analogues and BBB-gated per-disease scores. Discrimination is strong within populated chemical space (random-split AUROC 0.94–0.98; scaffold and cluster 0.87–0.95) but degrades on genuinely novel scaffolds, which we report explicitly: where a query’s nearest training neighbour is below Tanimoto 0.4, the mean AUROC falls to 0.77 (range 0.60–0.85). The ensemble outperforms a Tanimoto read-across baseline on all eight endpoints (DeLong p &lt; 0.05; MAO-A only marginally). A pre-registered case study shows that, unlike a general large language model, every prediction is traceable to a specific measurement. Conclusion. BrainSafe AI offers calibrated, evidence-grounded, safety-aware CNS profiling from measured data, with quantified and honest limits on novel chemistry. Code, models and data are released for research use,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now a leading and still-rising cause of global disability (GBD 2021 Nervous System Disorders Collaborators, 2024), yet the discovery of safe, brain-penetrant modulators remains slow. Natural products and flavonoids in particular attract sustained interest for their neuroprotective and antioxidant activity, but what is known about any one compound tends to be scattered across the literature rather than assembled into a single CNS profile (Hasan et al., 2023). That profile has several parts that matter together: whether the compound crosses the BBB, which disease-relevant CNS targets it engages, how developable it is, whether it is safe, and whether anything like it has reached the clinic.</w:t>
      </w:r>
    </w:p>
    <w:p>
      <w:pPr>
        <w:jc w:val="both"/>
      </w:pPr>
      <w:r>
        <w:rPr>
          <w:b w:val="0"/>
          <w:i w:val="0"/>
        </w:rPr>
        <w:t>Public resources already cover pieces of this. General ADMET platforms (Daina et al., 2017; Xiong et al., 2021; Fu et al., 2024; Cheng et al., 2012) predict BBB and hERG, but say nothing about CNS-target activity. Target-prediction servers (Daina et al., 2019; Awale and Reymond, 2019) return likely protein targets from chemical similarity, yet they do not condition those targets on brain penetration, roll them up into a disease-level view, attach calibrated uncertainty, or carry a safety axis. Individual endpoints have their own dedicated QSAR models: AChE and BACE1 (Ponzoni et al., 2019), MAO-B (Kumar et al., 2024), GSK-3β (Galati et al., 2023), and BBB permeability (Kumar et al., 2022; Huang et al., 2024). No single tool, though, draws them together. BrainSafe AI does exactly that, using models trained on measured public data and tested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 ‘n/a’ in the year column marks sources without per-compound ChEMBL document years.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n/a</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GSK-3β</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5-HT2A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n/a</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n/a</w:t>
            </w:r>
          </w:p>
        </w:tc>
      </w:tr>
      <w:tr>
        <w:tc>
          <w:tcPr>
            <w:tcW w:type="dxa" w:w="1170"/>
          </w:tcPr>
          <w:p>
            <w:r/>
            <w:r>
              <w:rPr>
                <w:sz w:val="17"/>
              </w:rPr>
              <w:t>TOTAL</w:t>
            </w:r>
          </w:p>
        </w:tc>
        <w:tc>
          <w:tcPr>
            <w:tcW w:type="dxa" w:w="1170"/>
          </w:tcPr>
          <w:p>
            <w:r/>
            <w:r>
              <w:rPr>
                <w:sz w:val="17"/>
              </w:rPr>
              <w:t>–</w:t>
            </w:r>
          </w:p>
        </w:tc>
        <w:tc>
          <w:tcPr>
            <w:tcW w:type="dxa" w:w="1170"/>
          </w:tcPr>
          <w:p>
            <w:r/>
            <w:r>
              <w:rPr>
                <w:sz w:val="17"/>
              </w:rPr>
              <w:t>–</w:t>
            </w:r>
          </w:p>
        </w:tc>
        <w:tc>
          <w:tcPr>
            <w:tcW w:type="dxa" w:w="1170"/>
          </w:tcPr>
          <w:p>
            <w:r/>
            <w:r>
              <w:rPr>
                <w:sz w:val="17"/>
              </w:rPr>
              <w:t>–</w:t>
            </w:r>
          </w:p>
        </w:tc>
        <w:tc>
          <w:tcPr>
            <w:tcW w:type="dxa" w:w="1170"/>
          </w:tcPr>
          <w:p>
            <w:r/>
            <w:r>
              <w:rPr>
                <w:sz w:val="17"/>
              </w:rPr>
              <w:t>–</w:t>
            </w:r>
          </w:p>
        </w:tc>
        <w:tc>
          <w:tcPr>
            <w:tcW w:type="dxa" w:w="1170"/>
          </w:tcPr>
          <w:p>
            <w:r/>
            <w:r>
              <w:rPr>
                <w:sz w:val="17"/>
              </w:rPr>
              <w:t>sum of all endpoint sets</w:t>
            </w:r>
          </w:p>
        </w:tc>
        <w:tc>
          <w:tcPr>
            <w:tcW w:type="dxa" w:w="1170"/>
          </w:tcPr>
          <w:p>
            <w:r/>
            <w:r>
              <w:rPr>
                <w:sz w:val="17"/>
              </w:rPr>
              <w:t>64474</w:t>
            </w:r>
          </w:p>
        </w:tc>
        <w:tc>
          <w:tcPr>
            <w:tcW w:type="dxa" w:w="1170"/>
          </w:tcPr>
          <w:p>
            <w:r/>
            <w:r>
              <w:rPr>
                <w:sz w:val="17"/>
              </w:rPr>
              <w:t>–</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computed with RDKit (RDKit, 2024),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modelled as regressions instead.</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This product is used deliberately as a monotone priority index for ranking, not as a calibrated probability of a clinical event: it multiplies two calibrated probabilities under a working independence assumption that does not strictly hold, since lipophilicity influences both barrier penetration and target binding. Because both factors are monotone in ‘desirable’, the product still orders candidates sensibly (a compound must both reach the brain and engage the target to score highly) and it down-weights potent binders that are predicted not to penetrate. We therefore treat the per-disease scores as heuristic priority indices, and the target and BBB probabilities that compose them are reported separately so a user can inspect each. The assumption and how the index could be validated are discussed in Section 4.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3.4 and 3.5) reports each endpoint’s standalone performance against its own held-out measured data: absolute discrimination, calibration, conformal coverage, receptor-potency and antioxidant regression, and behaviour on reference compounds. Comparative analysis (Sections 3.2, 3.3 and 3.6) benchmarks the same models against external references: simpler internal baselines under an identical protocol, published QSAR performance ranges,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 rate</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GSK-3β</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Within populated chemical space, 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jc w:val="center"/>
      </w:pPr>
      <w:r>
        <w:drawing>
          <wp:inline xmlns:a="http://schemas.openxmlformats.org/drawingml/2006/main" xmlns:pic="http://schemas.openxmlformats.org/drawingml/2006/picture">
            <wp:extent cx="5760720" cy="3616809"/>
            <wp:docPr id="7" name="Picture 7"/>
            <wp:cNvGraphicFramePr>
              <a:graphicFrameLocks noChangeAspect="1"/>
            </wp:cNvGraphicFramePr>
            <a:graphic>
              <a:graphicData uri="http://schemas.openxmlformats.org/drawingml/2006/picture">
                <pic:pic>
                  <pic:nvPicPr>
                    <pic:cNvPr id="0" name="fig8_generalisation.png"/>
                    <pic:cNvPicPr/>
                  </pic:nvPicPr>
                  <pic:blipFill>
                    <a:blip r:embed="rId15"/>
                    <a:stretch>
                      <a:fillRect/>
                    </a:stretch>
                  </pic:blipFill>
                  <pic:spPr>
                    <a:xfrm>
                      <a:off x="0" y="0"/>
                      <a:ext cx="5760720" cy="3616809"/>
                    </a:xfrm>
                    <a:prstGeom prst="rect"/>
                  </pic:spPr>
                </pic:pic>
              </a:graphicData>
            </a:graphic>
          </wp:inline>
        </w:drawing>
      </w:r>
    </w:p>
    <w:p>
      <w:r>
        <w:rPr>
          <w:b w:val="0"/>
          <w:i/>
          <w:sz w:val="18"/>
        </w:rPr>
        <w:t>Figure 6. Generalisation versus chemical novelty. For each held-out compound, AUROC is binned by its nearest-neighbour Tanimoto to the training set; the dashed line is the n-weighted mean over the eight classification endpoints.</w:t>
      </w:r>
    </w:p>
    <w:p>
      <w:pPr>
        <w:jc w:val="both"/>
      </w:pPr>
      <w:r>
        <w:rPr>
          <w:b w:val="0"/>
          <w:i w:val="0"/>
        </w:rPr>
        <w:t>A random-split headline overstates prospective utility, because ChEMBL target sets are analogue-dense and most published models report only that split. We therefore quantify generalisation as an explicit function of chemical novelty (Figure 6; Supplementary Table S5): for each held-out compound we bin its nearest-neighbour Tanimoto to the training set and measure AUROC within each bin. Discrimination is retained where a query resembles training chemistry (n-weighted mean AUROC 0.973 at Tanimoto ≥ 0.8 and 0.942 at 0.6–0.8) but falls steadily as novelty rises, to 0.874 at 0.4–0.6 and 0.774 below 0.4; in that most-novel bin the per-endpoint values span 0.60 (BChE) to 0.85 (BBB). This is the honest measure of behaviour on genuinely new scaffolds, and it is why the applicability-domain flag (Section 2.4) marks queries below Tanimoto 0.3–0.4 as low-confidence. Taken with the random-split numbers, the claim is state-of-the-art discrimination within populated chemical space, with quantified degradation on novel chemistry rather than a single inflated headline.</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(the closest algorithmic analogue to associative structural recall) and with L2-regularised logistic regression. The ensemble attained a mean scaffold-split AUROC of 0.912, versus 0.867 for k-nearest-neighbour (mean Δ = +0.045) and 0.808 for logistic regression (mean Δ = +0.104), and was best on every one of the eight endpoints (Table 5; Figure 5B). Exceeding a pure nearest-neighbour read-across indicates that the model captures structure–activity relationships not reducible to retrieving the most similar known molecule.</w:t>
      </w:r>
    </w:p>
    <w:p>
      <w:r>
        <w:rPr>
          <w:b w:val="0"/>
          <w:i/>
          <w:sz w:val="18"/>
        </w:rPr>
        <w:t>Table 5.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GSK-3β</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jc w:val="both"/>
      </w:pPr>
      <w:r>
        <w:rPr>
          <w:b w:val="0"/>
          <w:i w:val="0"/>
        </w:rPr>
        <w:t>To test whether these margins exceed sampling noise, we applied DeLong’s test for two correlated ROC curves to each ensemble-versus-kNN comparison, paired on identical held-out compounds, and corroborated it with a paired bootstrap (2,000 resamples; Supplementary Table S14). The paired test is more powerful than a per-AUROC confidence interval because the two ROC curves are strongly correlated on the same samples. The ensemble’s advantage is significant at all eight endpoints (DeLong p &lt; 0.05): decisively so for seven (p &lt; 0.001) and marginally for MAO-A, where the gain is smallest (Δ = +0.014, DeLong p = 0.033, bootstrap 95% CI [+0.001, +0.027]). We therefore report a statistically significant improvement over read-across on every endpoint, with MAO-A flagged as the borderline case.</w:t>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8" name="Picture 8"/>
            <wp:cNvGraphicFramePr>
              <a:graphicFrameLocks noChangeAspect="1"/>
            </wp:cNvGraphicFramePr>
            <a:graphic>
              <a:graphicData uri="http://schemas.openxmlformats.org/drawingml/2006/picture">
                <pic:pic>
                  <pic:nvPicPr>
                    <pic:cNvPr id="0" name="fig6_benchmark.png"/>
                    <pic:cNvPicPr/>
                  </pic:nvPicPr>
                  <pic:blipFill>
                    <a:blip r:embed="rId16"/>
                    <a:stretch>
                      <a:fillRect/>
                    </a:stretch>
                  </pic:blipFill>
                  <pic:spPr>
                    <a:xfrm>
                      <a:off x="0" y="0"/>
                      <a:ext cx="5760720" cy="3200400"/>
                    </a:xfrm>
                    <a:prstGeom prst="rect"/>
                  </pic:spPr>
                </pic:pic>
              </a:graphicData>
            </a:graphic>
          </wp:inline>
        </w:drawing>
      </w:r>
    </w:p>
    <w:p>
      <w:r>
        <w:rPr>
          <w:b w:val="0"/>
          <w:i/>
          <w:sz w:val="18"/>
        </w:rPr>
        <w:t>Figure 7. Per-endpoint random-split AUROC (this work) relative to reported random-split ranges.</w:t>
      </w:r>
    </w:p>
    <w:p>
      <w:pPr>
        <w:jc w:val="both"/>
      </w:pPr>
      <w:r>
        <w:rPr>
          <w:b w:val="0"/>
          <w:i w:val="0"/>
        </w:rPr>
        <w:t>On like-for-like random splits, per-endpoint AUROC was within or above reported ranges, for example BBB (0.88–0.96; Kumar et al., 2022; Huang et al., 2024) and hERG (0.86–0.93). The full per-endpoint comparison against the collected literature ranges is given in Supplementary Table S7 (Figure 7). We stress that this is a cross-study comparison over different test sets and is therefore weaker than a same-test-set benchmark; a direct comparison against a public server on identical held-out compounds is a planned addition (Section 4).</w:t>
      </w:r>
    </w:p>
    <w:p>
      <w:pPr>
        <w:pStyle w:val="Heading2"/>
      </w:pPr>
      <w:r>
        <w:t>3.4 Receptor potency regression and antioxidant model (non-comparative)</w:t>
      </w:r>
    </w:p>
    <w:p>
      <w:r>
        <w:rPr>
          <w:b w:val="0"/>
          <w:i/>
          <w:sz w:val="18"/>
        </w:rPr>
        <w:t>Table 6.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5-HT2A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9" name="Picture 9"/>
            <wp:cNvGraphicFramePr>
              <a:graphicFrameLocks noChangeAspect="1"/>
            </wp:cNvGraphicFramePr>
            <a:graphic>
              <a:graphicData uri="http://schemas.openxmlformats.org/drawingml/2006/picture">
                <pic:pic>
                  <pic:nvPicPr>
                    <pic:cNvPr id="0" name="fig7_regression.png"/>
                    <pic:cNvPicPr/>
                  </pic:nvPicPr>
                  <pic:blipFill>
                    <a:blip r:embed="rId17"/>
                    <a:stretch>
                      <a:fillRect/>
                    </a:stretch>
                  </pic:blipFill>
                  <pic:spPr>
                    <a:xfrm>
                      <a:off x="0" y="0"/>
                      <a:ext cx="5760720" cy="3422159"/>
                    </a:xfrm>
                    <a:prstGeom prst="rect"/>
                  </pic:spPr>
                </pic:pic>
              </a:graphicData>
            </a:graphic>
          </wp:inline>
        </w:drawing>
      </w:r>
    </w:p>
    <w:p>
      <w:r>
        <w:rPr>
          <w:b w:val="0"/>
          <w:i/>
          <w:sz w:val="18"/>
        </w:rPr>
        <w:t>Figure 8.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6), and these endpoints are reported as ranking-grade. The antioxidant model trained on measured DPPH data (n = 2862) achieved scaffold-CV R² = 0.43, RMSE = 0.597 and Spearman = 0.636 (Figure 8);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Illustrative case study: general-purpose LLMs (comparative)</w:t>
      </w:r>
    </w:p>
    <w:p>
      <w:pPr>
        <w:jc w:val="both"/>
      </w:pPr>
      <w:r>
        <w:rPr>
          <w:b w:val="0"/>
          <w:i w:val="0"/>
        </w:rPr>
        <w:t>A common question is whether a dedicated tool is needed when a general-purpose large language model (LLM) can be queried in natural language. We address this as an illustrative case study, not a benchmark: the panel below is small (ten compounds), single-shot, and the models are versioned snapshots that will change, so the numbers should be read as a qualitative demonstration rather than a rigorous performance comparison. Our contribution is the QSAR and its integration; this section is context, not a load-bearing result. We consider three lines: published benchmark evidence, the architectural basis of the difference, and a grounded-output demonstration.</w:t>
      </w:r>
    </w:p>
    <w:p>
      <w:pPr>
        <w:jc w:val="both"/>
      </w:pPr>
      <w:r>
        <w:rPr>
          <w:b w:val="0"/>
          <w:i w:val="0"/>
        </w:rPr>
        <w:t>Benchmark evidence. On molecular property prediction (the task class BrainSafe performs),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none of which an LLM can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1.00 with the nearest measured analogue at Tanimoto 1.00 (donepezil is itself a measured training compound, pChEMBL 7.75) and hERG P = 0.78; terfenadine → hERG P = 1.00, correctly flagging the cardiotoxicity for which it was withdrawn while also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(a calibrated probability, a coverage-guaranteed set, and measured-analogue provenance for any structure, including novel ones) is the scientific justification for a dedicated tool complementary to, not replaced by, general LLMs.</w:t>
      </w:r>
    </w:p>
    <w:p>
      <w:pPr>
        <w:jc w:val="both"/>
      </w:pPr>
      <w:r>
        <w:rPr>
          <w:b w:val="0"/>
          <w:i w:val="0"/>
        </w:rPr>
        <w:t>Grounded-output case study. Using a prompt, a ten-compound panel (approved-drug pharmacology plus one unpublished scaffold) and a scoring rubric all fixed in advance (protocol and key released with the code), we queried four general-purpose LLMs once each (Gemini Pro, ChatGPT/GPT-4o, Perplexity, Claude; specific dated snapshots) and scored the replies against the measured-data key (Table 8; Supplementary Table S13). These are single-shot results on a small panel and are illustrative only.</w:t>
      </w:r>
    </w:p>
    <w:p>
      <w:r>
        <w:rPr>
          <w:b w:val="0"/>
          <w:i/>
          <w:sz w:val="18"/>
        </w:rPr>
        <w:t>Table 8. Illustrative LLM case study (single-shot, ten-compound panel), scored against the frozen measured-data key. hERG scored on five uncontested compounds. Note the asymmetry: BrainSafe cites measured analogues by structure and never emits a ChEMBL identifier, so by construction it cannot fabricate one; the identifier columns therefore describe the LLMs’ behaviour, not a like-for-like score.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7"/>
              </w:rPr>
              <w:t>System</w:t>
            </w:r>
          </w:p>
        </w:tc>
        <w:tc>
          <w:tcPr>
            <w:tcW w:type="dxa" w:w="1337"/>
          </w:tcPr>
          <w:p>
            <w:r/>
            <w:r>
              <w:rPr>
                <w:b/>
                <w:sz w:val="17"/>
              </w:rPr>
              <w:t>BBB (of 9)</w:t>
            </w:r>
          </w:p>
        </w:tc>
        <w:tc>
          <w:tcPr>
            <w:tcW w:type="dxa" w:w="1337"/>
          </w:tcPr>
          <w:p>
            <w:r/>
            <w:r>
              <w:rPr>
                <w:b/>
                <w:sz w:val="17"/>
              </w:rPr>
              <w:t>hERG (of 5)</w:t>
            </w:r>
          </w:p>
        </w:tc>
        <w:tc>
          <w:tcPr>
            <w:tcW w:type="dxa" w:w="1337"/>
          </w:tcPr>
          <w:p>
            <w:r/>
            <w:r>
              <w:rPr>
                <w:b/>
                <w:sz w:val="17"/>
              </w:rPr>
              <w:t>IDs cited</w:t>
            </w:r>
          </w:p>
        </w:tc>
        <w:tc>
          <w:tcPr>
            <w:tcW w:type="dxa" w:w="1337"/>
          </w:tcPr>
          <w:p>
            <w:r/>
            <w:r>
              <w:rPr>
                <w:b/>
                <w:sz w:val="17"/>
              </w:rPr>
              <w:t>Fabricated</w:t>
            </w:r>
          </w:p>
        </w:tc>
        <w:tc>
          <w:tcPr>
            <w:tcW w:type="dxa" w:w="1337"/>
          </w:tcPr>
          <w:p>
            <w:r/>
            <w:r>
              <w:rPr>
                <w:b/>
                <w:sz w:val="17"/>
              </w:rPr>
              <w:t>Wrong-molecule</w:t>
            </w:r>
          </w:p>
        </w:tc>
        <w:tc>
          <w:tcPr>
            <w:tcW w:type="dxa" w:w="1337"/>
          </w:tcPr>
          <w:p>
            <w:r/>
            <w:r>
              <w:rPr>
                <w:b/>
                <w:sz w:val="17"/>
              </w:rPr>
              <w:t>Novel confab.</w:t>
            </w:r>
          </w:p>
        </w:tc>
      </w:tr>
      <w:tr>
        <w:tc>
          <w:tcPr>
            <w:tcW w:type="dxa" w:w="1337"/>
          </w:tcPr>
          <w:p>
            <w:r/>
            <w:r>
              <w:rPr>
                <w:sz w:val="17"/>
              </w:rPr>
              <w:t>BrainSafe AI</w:t>
            </w:r>
          </w:p>
        </w:tc>
        <w:tc>
          <w:tcPr>
            <w:tcW w:type="dxa" w:w="1337"/>
          </w:tcPr>
          <w:p>
            <w:r/>
            <w:r>
              <w:rPr>
                <w:sz w:val="17"/>
              </w:rPr>
              <w:t>0.889</w:t>
            </w:r>
          </w:p>
        </w:tc>
        <w:tc>
          <w:tcPr>
            <w:tcW w:type="dxa" w:w="1337"/>
          </w:tcPr>
          <w:p>
            <w:r/>
            <w:r>
              <w:rPr>
                <w:sz w:val="17"/>
              </w:rPr>
              <w:t>1.0</w:t>
            </w:r>
          </w:p>
        </w:tc>
        <w:tc>
          <w:tcPr>
            <w:tcW w:type="dxa" w:w="1337"/>
          </w:tcPr>
          <w:p>
            <w:r/>
            <w:r>
              <w:rPr>
                <w:sz w:val="17"/>
              </w:rPr>
              <w:t>0</w:t>
            </w:r>
          </w:p>
        </w:tc>
        <w:tc>
          <w:tcPr>
            <w:tcW w:type="dxa" w:w="1337"/>
          </w:tcPr>
          <w:p>
            <w:r/>
            <w:r>
              <w:rPr>
                <w:sz w:val="17"/>
              </w:rPr>
              <w:t>0</w:t>
            </w:r>
          </w:p>
        </w:tc>
        <w:tc>
          <w:tcPr>
            <w:tcW w:type="dxa" w:w="1337"/>
          </w:tcPr>
          <w:p>
            <w:r/>
            <w:r>
              <w:rPr>
                <w:sz w:val="17"/>
              </w:rPr>
              <w:t>0</w:t>
            </w:r>
          </w:p>
        </w:tc>
        <w:tc>
          <w:tcPr>
            <w:tcW w:type="dxa" w:w="1337"/>
          </w:tcPr>
          <w:p>
            <w:r/>
            <w:r>
              <w:rPr>
                <w:sz w:val="17"/>
              </w:rPr>
              <w:t>False</w:t>
            </w:r>
          </w:p>
        </w:tc>
      </w:tr>
      <w:tr>
        <w:tc>
          <w:tcPr>
            <w:tcW w:type="dxa" w:w="1337"/>
          </w:tcPr>
          <w:p>
            <w:r/>
            <w:r>
              <w:rPr>
                <w:sz w:val="17"/>
              </w:rPr>
              <w:t>Gemini Pro (2026-07-03)</w:t>
            </w:r>
          </w:p>
        </w:tc>
        <w:tc>
          <w:tcPr>
            <w:tcW w:type="dxa" w:w="1337"/>
          </w:tcPr>
          <w:p>
            <w:r/>
            <w:r>
              <w:rPr>
                <w:sz w:val="17"/>
              </w:rPr>
              <w:t>0.778</w:t>
            </w:r>
          </w:p>
        </w:tc>
        <w:tc>
          <w:tcPr>
            <w:tcW w:type="dxa" w:w="1337"/>
          </w:tcPr>
          <w:p>
            <w:r/>
            <w:r>
              <w:rPr>
                <w:sz w:val="17"/>
              </w:rPr>
              <w:t>1.0</w:t>
            </w:r>
          </w:p>
        </w:tc>
        <w:tc>
          <w:tcPr>
            <w:tcW w:type="dxa" w:w="1337"/>
          </w:tcPr>
          <w:p>
            <w:r/>
            <w:r>
              <w:rPr>
                <w:sz w:val="17"/>
              </w:rPr>
              <w:t>10</w:t>
            </w:r>
          </w:p>
        </w:tc>
        <w:tc>
          <w:tcPr>
            <w:tcW w:type="dxa" w:w="1337"/>
          </w:tcPr>
          <w:p>
            <w:r/>
            <w:r>
              <w:rPr>
                <w:sz w:val="17"/>
              </w:rPr>
              <w:t>1</w:t>
            </w:r>
          </w:p>
        </w:tc>
        <w:tc>
          <w:tcPr>
            <w:tcW w:type="dxa" w:w="1337"/>
          </w:tcPr>
          <w:p>
            <w:r/>
            <w:r>
              <w:rPr>
                <w:sz w:val="17"/>
              </w:rPr>
              <w:t>4</w:t>
            </w:r>
          </w:p>
        </w:tc>
        <w:tc>
          <w:tcPr>
            <w:tcW w:type="dxa" w:w="1337"/>
          </w:tcPr>
          <w:p>
            <w:r/>
            <w:r>
              <w:rPr>
                <w:sz w:val="17"/>
              </w:rPr>
              <w:t>True</w:t>
            </w:r>
          </w:p>
        </w:tc>
      </w:tr>
      <w:tr>
        <w:tc>
          <w:tcPr>
            <w:tcW w:type="dxa" w:w="1337"/>
          </w:tcPr>
          <w:p>
            <w:r/>
            <w:r>
              <w:rPr>
                <w:sz w:val="17"/>
              </w:rPr>
              <w:t>ChatGPT (GPT-4o, 2026-07-03)</w:t>
            </w:r>
          </w:p>
        </w:tc>
        <w:tc>
          <w:tcPr>
            <w:tcW w:type="dxa" w:w="1337"/>
          </w:tcPr>
          <w:p>
            <w:r/>
            <w:r>
              <w:rPr>
                <w:sz w:val="17"/>
              </w:rPr>
              <w:t>1.0</w:t>
            </w:r>
          </w:p>
        </w:tc>
        <w:tc>
          <w:tcPr>
            <w:tcW w:type="dxa" w:w="1337"/>
          </w:tcPr>
          <w:p>
            <w:r/>
            <w:r>
              <w:rPr>
                <w:sz w:val="17"/>
              </w:rPr>
              <w:t>1.0</w:t>
            </w:r>
          </w:p>
        </w:tc>
        <w:tc>
          <w:tcPr>
            <w:tcW w:type="dxa" w:w="1337"/>
          </w:tcPr>
          <w:p>
            <w:r/>
            <w:r>
              <w:rPr>
                <w:sz w:val="17"/>
              </w:rPr>
              <w:t>9</w:t>
            </w:r>
          </w:p>
        </w:tc>
        <w:tc>
          <w:tcPr>
            <w:tcW w:type="dxa" w:w="1337"/>
          </w:tcPr>
          <w:p>
            <w:r/>
            <w:r>
              <w:rPr>
                <w:sz w:val="17"/>
              </w:rPr>
              <w:t>1</w:t>
            </w:r>
          </w:p>
        </w:tc>
        <w:tc>
          <w:tcPr>
            <w:tcW w:type="dxa" w:w="1337"/>
          </w:tcPr>
          <w:p>
            <w:r/>
            <w:r>
              <w:rPr>
                <w:sz w:val="17"/>
              </w:rPr>
              <w:t>3</w:t>
            </w:r>
          </w:p>
        </w:tc>
        <w:tc>
          <w:tcPr>
            <w:tcW w:type="dxa" w:w="1337"/>
          </w:tcPr>
          <w:p>
            <w:r/>
            <w:r>
              <w:rPr>
                <w:sz w:val="17"/>
              </w:rPr>
              <w:t>True</w:t>
            </w:r>
          </w:p>
        </w:tc>
      </w:tr>
      <w:tr>
        <w:tc>
          <w:tcPr>
            <w:tcW w:type="dxa" w:w="1337"/>
          </w:tcPr>
          <w:p>
            <w:r/>
            <w:r>
              <w:rPr>
                <w:sz w:val="17"/>
              </w:rPr>
              <w:t>Perplexity (2026-07-03)</w:t>
            </w:r>
          </w:p>
        </w:tc>
        <w:tc>
          <w:tcPr>
            <w:tcW w:type="dxa" w:w="1337"/>
          </w:tcPr>
          <w:p>
            <w:r/>
            <w:r>
              <w:rPr>
                <w:sz w:val="17"/>
              </w:rPr>
              <w:t>1.0</w:t>
            </w:r>
          </w:p>
        </w:tc>
        <w:tc>
          <w:tcPr>
            <w:tcW w:type="dxa" w:w="1337"/>
          </w:tcPr>
          <w:p>
            <w:r/>
            <w:r>
              <w:rPr>
                <w:sz w:val="17"/>
              </w:rPr>
              <w:t>0.8</w:t>
            </w:r>
          </w:p>
        </w:tc>
        <w:tc>
          <w:tcPr>
            <w:tcW w:type="dxa" w:w="1337"/>
          </w:tcPr>
          <w:p>
            <w:r/>
            <w:r>
              <w:rPr>
                <w:sz w:val="17"/>
              </w:rPr>
              <w:t>2</w:t>
            </w:r>
          </w:p>
        </w:tc>
        <w:tc>
          <w:tcPr>
            <w:tcW w:type="dxa" w:w="1337"/>
          </w:tcPr>
          <w:p>
            <w:r/>
            <w:r>
              <w:rPr>
                <w:sz w:val="17"/>
              </w:rPr>
              <w:t>1</w:t>
            </w:r>
          </w:p>
        </w:tc>
        <w:tc>
          <w:tcPr>
            <w:tcW w:type="dxa" w:w="1337"/>
          </w:tcPr>
          <w:p>
            <w:r/>
            <w:r>
              <w:rPr>
                <w:sz w:val="17"/>
              </w:rPr>
              <w:t>0</w:t>
            </w:r>
          </w:p>
        </w:tc>
        <w:tc>
          <w:tcPr>
            <w:tcW w:type="dxa" w:w="1337"/>
          </w:tcPr>
          <w:p>
            <w:r/>
            <w:r>
              <w:rPr>
                <w:sz w:val="17"/>
              </w:rPr>
              <w:t>True</w:t>
            </w:r>
          </w:p>
        </w:tc>
      </w:tr>
      <w:tr>
        <w:tc>
          <w:tcPr>
            <w:tcW w:type="dxa" w:w="1337"/>
          </w:tcPr>
          <w:p>
            <w:r/>
            <w:r>
              <w:rPr>
                <w:sz w:val="17"/>
              </w:rPr>
              <w:t>Claude (2026-07-03)</w:t>
            </w:r>
          </w:p>
        </w:tc>
        <w:tc>
          <w:tcPr>
            <w:tcW w:type="dxa" w:w="1337"/>
          </w:tcPr>
          <w:p>
            <w:r/>
            <w:r>
              <w:rPr>
                <w:sz w:val="17"/>
              </w:rPr>
              <w:t>1.0</w:t>
            </w:r>
          </w:p>
        </w:tc>
        <w:tc>
          <w:tcPr>
            <w:tcW w:type="dxa" w:w="1337"/>
          </w:tcPr>
          <w:p>
            <w:r/>
            <w:r>
              <w:rPr>
                <w:sz w:val="17"/>
              </w:rPr>
              <w:t>1.0</w:t>
            </w:r>
          </w:p>
        </w:tc>
        <w:tc>
          <w:tcPr>
            <w:tcW w:type="dxa" w:w="1337"/>
          </w:tcPr>
          <w:p>
            <w:r/>
            <w:r>
              <w:rPr>
                <w:sz w:val="17"/>
              </w:rPr>
              <w:t>10</w:t>
            </w:r>
          </w:p>
        </w:tc>
        <w:tc>
          <w:tcPr>
            <w:tcW w:type="dxa" w:w="1337"/>
          </w:tcPr>
          <w:p>
            <w:r/>
            <w:r>
              <w:rPr>
                <w:sz w:val="17"/>
              </w:rPr>
              <w:t>1</w:t>
            </w:r>
          </w:p>
        </w:tc>
        <w:tc>
          <w:tcPr>
            <w:tcW w:type="dxa" w:w="1337"/>
          </w:tcPr>
          <w:p>
            <w:r/>
            <w:r>
              <w:rPr>
                <w:sz w:val="17"/>
              </w:rPr>
              <w:t>3</w:t>
            </w:r>
          </w:p>
        </w:tc>
        <w:tc>
          <w:tcPr>
            <w:tcW w:type="dxa" w:w="1337"/>
          </w:tcPr>
          <w:p>
            <w:r/>
            <w:r>
              <w:rPr>
                <w:sz w:val="17"/>
              </w:rPr>
              <w:t>True</w:t>
            </w:r>
          </w:p>
        </w:tc>
      </w:tr>
    </w:tbl>
    <w:p>
      <w:r>
        <w:rPr>
          <w:b w:val="0"/>
          <w:i w:val="0"/>
        </w:rPr>
      </w:r>
    </w:p>
    <w:p>
      <w:pPr>
        <w:jc w:val="both"/>
      </w:pPr>
      <w:r>
        <w:rPr>
          <w:b w:val="0"/>
          <w:i w:val="0"/>
        </w:rPr>
        <w:t>Two patterns emerge, with the caveats above. First, on well-known approved drugs the LLMs are strong: three of four matched or exceeded BrainSafe on BBB (9/9 vs 8/9; BrainSafe mis-called the borderline-lipophilic astemizole), so a dedicated tool is not justified by accuracy on famous compounds. Second, when the LLMs volunteered a specific ChEMBL identifier as provenance, 14 of the 31 identifiers cited (45%) were fabricated or resolved to the wrong molecule. For example, one model’s cited ‘rasagiline’ identifier is in fact fluticasone propionate, and another’s ‘rivastigmine’ identifier is pyridoxine. On the single unpublished compound, all four asserted a specific target and potency and disagreed with one another (three AChE, one D2), where BrainSafe returned a conformal ‘uncertain’ set grounded in a measured analogue. We read this narrowly: on a small panel, a text model can reproduce textbook classifications but its volunteered evidence is unreliable and it does not abstain on genuinely novel chemistry, whereas the grounded tool cites a real measurement or flags uncertainty.</w:t>
      </w:r>
    </w:p>
    <w:p>
      <w:pPr>
        <w:pStyle w:val="Heading1"/>
      </w:pPr>
      <w:r>
        <w:t>4. Discussion</w:t>
      </w:r>
    </w:p>
    <w:p>
      <w:pPr>
        <w:jc w:val="both"/>
      </w:pPr>
      <w:r>
        <w:rPr>
          <w:b w:val="0"/>
          <w:i w:val="0"/>
        </w:rPr>
        <w:t>What BrainSafe AI contributes is the assembly, not the parts. Its components are individually familiar: fingerprint and tree-ensemble QSAR, the BBB and hERG models, conformal prediction, and the QED and CNS-MPO druggability rules, each well established in its own right (Rogers and Hahn, 2010; Breiman, 2001; Norinder et al., 2014; Wager et al., 2010). What we have not found elsewhere is all of them working as one measured-data CNS profiler that is at the same time calibrated, conformal, evidence-grounded, BBB-gated, safety-aware and clinically contextualised (Daina et al., 2017, 2019; Fu et al., 2024; Awale and Reymond, 2019).</w:t>
      </w:r>
    </w:p>
    <w:p>
      <w:pPr>
        <w:jc w:val="both"/>
      </w:pPr>
      <w:r>
        <w:rPr>
          <w:b w:val="0"/>
          <w:i w:val="0"/>
        </w:rPr>
        <w:t>AUROC fell from the random split (0.94–0.98) to the temporal one (0.61–0.92), and the size of that drop tracks how much new chemistry each test set contained: between 71% and 91% of the recent compounds carried Bemis–Murcko scaffolds the model had never seen. The two extremes are instructive. BACE1 held up at 0.92, but its recent test set was 93% active, which flatters the score; MAO-A, with a balanced 45%-active test set, gives the more representative figure of 0.61. Reporting all four regimes is what lets a reader see generalisation across both chemical space and time (Sheridan, 2013; Tropsha, 2010).</w:t>
      </w:r>
    </w:p>
    <w:p>
      <w:pPr>
        <w:jc w:val="both"/>
      </w:pPr>
      <w:r>
        <w:rPr>
          <w:b w:val="0"/>
          <w:i w:val="0"/>
        </w:rPr>
        <w:t>Why build a dedicated tool when a general-purpose LLM can be asked the same questions in plain language? Our head-to-head (Section 3.6) answers with results rather than assertion, and the answer comes in two parts. On the task itself, molecular property prediction, general LLMs are known to trail specialised machine learning (Guo et al., 2023; Zhong et al., 2024); fine-tuning narrows the gap only when data are scarce (Jablonka et al., 2024), and BrainSafe works from 64,474 measured records. That much was expected. What the benchmark adds is the failure mode that matters in practice. Four current models matched or beat BrainSafe at classifying well-known drugs, yet 45% of the ChEMBL identifiers they offered as evidence were fabricated or pointed to the wrong molecule, and every one of them invented a target and potency for an unpublished compound, disagreeing with each other along the way. The deeper reason is architectural. An LLM generates fluent text; it does not compute a fingerprint, fit structure to measured activity, or attach a calibrated probability, a coverage guarantee or a domain boundary, and it will hallucinate with confidence (Ji et al., 2023). BrainSafe returns, for any structure, a calibrated probability, a conformal set with roughly 90% empirical coverage, an explicit in- or out-of-domain flag, and the nearest measured analogue with its pChEMBL. The two are complementary, not interchangeable, wherever a decision has to be auditable and anchored in measurement.</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including the most heterogeneous, GSK-3β (pooled 0.919 vs IC50-only 0.913; MAO-B −0.006; hERG 0.000; Supplementary Table S12). Pooling on the standardised pChEMBL scale therefore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(not a learned layer),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The BBB-gated disease score is the closest thing here to a new method, and we are deliberately modest about it. It is a heuristic priority index: a product of two calibrated probabilities under a working independence assumption that does not strictly hold, since lipophilicity drives both barrier penetration and target binding, so the product is not itself a calibrated probability of any measurable event. It remains useful for ranking, because a candidate must both reach the brain and engage the target to score highly, and a potent binder predicted not to penetrate is down-weighted. A full quantitative validation of the index would need an outcome set in which brain penetration genuinely varies; our clinical-precedent set is unsuitable, being composed almost entirely of BBB-penetrant nervous-system drugs, so gating is close to neutral within it. Building a mixed penetrant/non-penetrant benchmark and showing that gating improves disease-level ranking on it is a clear next step that would turn the heuristic into a validated result.</w:t>
      </w:r>
    </w:p>
    <w:p>
      <w:pPr>
        <w:jc w:val="both"/>
      </w:pPr>
      <w:r>
        <w:rPr>
          <w:b w:val="0"/>
          <w:i w:val="0"/>
        </w:rPr>
        <w:t>Two further comparisons would strengthen the claims and are planned. First, a same-test-set benchmark: running our held-out BBB and hERG compounds through a public server such as ADMETlab 3.0 and reporting AUROC on identical molecules, which is more informative than the cross-study range comparison in Section 3.3. Second, prospective validation, either a strict external test set drawn from a source other than ChEMBL or B3DB, or modest wet-lab confirmation; either would support a claim of generalisation beyond the retrospective splits reported here.</w:t>
      </w:r>
    </w:p>
    <w:p>
      <w:pPr>
        <w:jc w:val="both"/>
      </w:pPr>
      <w:r>
        <w:rPr>
          <w:b w:val="0"/>
          <w:i w:val="0"/>
        </w:rPr>
        <w:t>Some limitations remain, and they bound how the tool should be read. It predicts that a molecule engages a target, not whether it activates or blocks it (agonism versus antagonism), and engagement is not the same thing as clinical benefit; the clinical-precedent layer reports structural similarity to compounds that reached documented trial phases, which is context, not a prediction of efficacy. No prospective wet-lab validation has yet been done. GSK-3β and MAO-A generalise less well over time and are flagged as lower-confidence, and the pooled DPPH antioxidant data transfer only weakly across time. The tool is meant for research hypothesis generation and prioritisation, not for clinical or diagnostic use.</w:t>
      </w:r>
    </w:p>
    <w:p>
      <w:pPr>
        <w:pStyle w:val="Heading1"/>
      </w:pPr>
      <w:r>
        <w:t>5. Conclusion</w:t>
      </w:r>
    </w:p>
    <w:p>
      <w:pPr>
        <w:jc w:val="both"/>
      </w:pPr>
      <w:r>
        <w:rPr>
          <w:b w:val="0"/>
          <w:i w:val="0"/>
        </w:rPr>
        <w:t>BrainSafe AI is a calibrated, evidence-grounded, multi-endpoint CNS profiler built entirely on measured public data. Within populated chemical space its per-endpoint discrimination is state-of-the-art-grade, and it improves significantly on read-across at every endpoint; we place the harder scaffold, cluster and temporal numbers, and the explicit degradation on novel scaffolds, alongside that headline rather than in place of it. The limitations are stated plainly, and the two clearest routes to a stronger contribution, a validated BBB-gating index and a prospective external test, are identified. On that basis the tool is suited to a resource publication and to practical research prioritisation.</w:t>
      </w:r>
    </w:p>
    <w:p>
      <w:pPr>
        <w:pStyle w:val="Heading2"/>
      </w:pPr>
      <w:r>
        <w:t>Data and code availability</w:t>
      </w:r>
    </w:p>
    <w:p>
      <w:pPr>
        <w:jc w:val="both"/>
      </w:pPr>
      <w:r>
        <w:rPr>
          <w:b w:val="0"/>
          <w:i w:val="0"/>
        </w:rPr>
        <w:t>All code, the per-endpoint measured training data (data/endpoints/*.csv), trained-model metadata, and every validation report, supplementary table and figure script are released in a public, version-tagged repository (release v1.0.0; https://github.com/krishna-g-999/brainsafe-ai) under the MIT licence, and archived on Zenodo (DOI: [inserted at submission]). Trained-model binaries (~1.3 GB) are regenerated deterministically (fixed random seed 42) by the released scripts and are also deposited in the Zenodo archive. Source data derive from ChEMBL version 37 (release 2026-05-01; Gaulton et al., 2012; Mendez et al., 2019; Zdrazil et al., 2024) and B3DB (Meng et al., 2021); the exact retrieval queries are in BS_fetch_endpoints.py. The interactive Streamlit application (app_v6_final.py) is available at [public URL inserted at submission].</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