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2"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a small molecule against the human brain from structure</w:t>
      </w:r>
      <w:r>
        <w:t xml:space="preserve"> </w:t>
      </w:r>
      <w:r>
        <w:t xml:space="preserve">alone. For a submitted SMILES string or compound name it returns, in a few seconds, predicted</w:t>
      </w:r>
      <w:r>
        <w:t xml:space="preserve"> </w:t>
      </w:r>
      <w:r>
        <w:t xml:space="preserve">blood-brain barrier penetration, engagement of 60 molecular targets spanning the principal</w:t>
      </w:r>
      <w:r>
        <w:t xml:space="preserve"> </w:t>
      </w:r>
      <w:r>
        <w:t xml:space="preserve">neurodegenerative, psychiatric, neuroinflammatory, analgesic and sleep-related axes, two cardiac</w:t>
      </w:r>
      <w:r>
        <w:t xml:space="preserve"> </w:t>
      </w:r>
      <w:r>
        <w:t xml:space="preserve">safety liabilities, a nine-endpoint ADME and exposure layer including a directly modelled unbound</w:t>
      </w:r>
      <w:r>
        <w:t xml:space="preserve"> </w:t>
      </w:r>
      <w:r>
        <w:t xml:space="preserve">brain-to-plasma ratio, and a set of disease-level scores obtained by tracing engaged targets through</w:t>
      </w:r>
      <w:r>
        <w:t xml:space="preserve"> </w:t>
      </w:r>
      <w:r>
        <w:t xml:space="preserve">a curated target-to-pathway-to-disease graph. Every target score is admitted only in proportion to</w:t>
      </w:r>
      <w:r>
        <w:t xml:space="preserve"> </w:t>
      </w:r>
      <w:r>
        <w:t xml:space="preserve">predicted brain exposure, so potency at a target a compound cannot reach contributes nothing. The</w:t>
      </w:r>
      <w:r>
        <w:t xml:space="preserve"> </w:t>
      </w:r>
      <w:r>
        <w:t xml:space="preserve">server is built on 72 estimators trained on 227,146 measured 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BrainSafe AI is 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(Figure 2A, B).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72 that</w:t>
      </w:r>
      <w:r>
        <w:t xml:space="preserve"> </w:t>
      </w:r>
      <w:r>
        <w:t xml:space="preserve">are deployed.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72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3" w:name="results"/>
    <w:p>
      <w:pPr>
        <w:pStyle w:val="Heading2"/>
      </w:pPr>
      <w:r>
        <w:t xml:space="preserve">Results</w:t>
      </w:r>
    </w:p>
    <w:bookmarkStart w:id="18" w:name="panel-performance"/>
    <w:p>
      <w:pPr>
        <w:pStyle w:val="Heading3"/>
      </w:pPr>
      <w:r>
        <w:t xml:space="preserve">Panel performance</w:t>
      </w:r>
    </w:p>
    <w:p>
      <w:pPr>
        <w:pStyle w:val="FirstParagraph"/>
      </w:pPr>
      <w:r>
        <w:t xml:space="preserve">The eight measured-label classifiers reach a mean AUROC of 0.958 under the random split and 0.925</w:t>
      </w:r>
      <w:r>
        <w:t xml:space="preserve"> </w:t>
      </w:r>
      <w:r>
        <w:t xml:space="preserve">under the scaffold split (Figure 2C).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 The 49 binder classifiers, validated against compounds measured</w:t>
      </w:r>
      <w:r>
        <w:t xml:space="preserve"> </w:t>
      </w:r>
      <w:r>
        <w:t xml:space="preserve">and found inactive at the same target rather than against the decoys used to train them, reach a mean</w:t>
      </w:r>
      <w:r>
        <w:t xml:space="preserve"> </w:t>
      </w:r>
      <w:r>
        <w:t xml:space="preserve">AUROC of 0.904 and a mean sensitivity of 0.866 on actives withheld by scaffold; 47 are deployed.</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0.820 (Figure 2D).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4664d3ec426c30c105accb7c63ff0dbd828a68b"/>
    <w:p>
      <w:pPr>
        <w:pStyle w:val="Heading3"/>
      </w:pPr>
      <w:r>
        <w:t xml:space="preserve">Use case: mechanism-resolved profiling, and knowing when to stay silent</w:t>
      </w:r>
    </w:p>
    <w:p>
      <w:pPr>
        <w:pStyle w:val="FirstParagraph"/>
      </w:pPr>
      <w:r>
        <w:t xml:space="preserve">Submitting donepezil returns a barrier probability of 0.99 and a top disease score of 0.99 for</w:t>
      </w:r>
      <w:r>
        <w:t xml:space="preserve"> </w:t>
      </w:r>
      <w:r>
        <w:t xml:space="preserve">Alzheimer’s disease, driven by acetylcholinesterase, with cognition (cholinergic) also at 0.99 and a</w:t>
      </w:r>
      <w:r>
        <w:t xml:space="preserve"> </w:t>
      </w:r>
      <w:r>
        <w:t xml:space="preserve">secondary neuroprotection signal at 0.76. Haloperidol returns psychosis at 0.95 driven by D2;</w:t>
      </w:r>
      <w:r>
        <w:t xml:space="preserve"> </w:t>
      </w:r>
      <w:r>
        <w:t xml:space="preserve">morphine returns chronic pain at 0.99 driven by the mu-opioid receptor; fluoxetine returns depression</w:t>
      </w:r>
      <w:r>
        <w:t xml:space="preserve"> </w:t>
      </w:r>
      <w:r>
        <w:t xml:space="preserve">and anxiety at 0.99 driven by the serotonin transporter. In each case the server names the mechanism,</w:t>
      </w:r>
      <w:r>
        <w:t xml:space="preserve"> </w:t>
      </w:r>
      <w:r>
        <w:t xml:space="preserve">not only the indication, and the mechanism is the pharmacologically correct one (Figure 4).</w:t>
      </w:r>
    </w:p>
    <w:p>
      <w:pPr>
        <w:pStyle w:val="BodyText"/>
      </w:pPr>
      <w:r>
        <w:t xml:space="preserve">The complementary behaviour is silence. Atorvastatin, metformin, paracetamol and caffeine return a</w:t>
      </w:r>
      <w:r>
        <w:t xml:space="preserve"> </w:t>
      </w:r>
      <w:r>
        <w:t xml:space="preserve">barrier probability consistent with their known distribution and no disease score above threshold. On</w:t>
      </w:r>
      <w:r>
        <w:t xml:space="preserve"> </w:t>
      </w:r>
      <w:r>
        <w:t xml:space="preserve">a set of fifteen external reference compounds, the server was correctly silent on 7 of 7 non-CNS</w:t>
      </w:r>
      <w:r>
        <w:t xml:space="preserve"> </w:t>
      </w:r>
      <w:r>
        <w:t xml:space="preserve">controls.</w:t>
      </w:r>
    </w:p>
    <w:p>
      <w:pPr>
        <w:pStyle w:val="BodyText"/>
      </w:pPr>
      <w:r>
        <w:t xml:space="preserve">That same set exposes the principal limitation. It named the expected indication for only 1 of 8 CNS</w:t>
      </w:r>
      <w:r>
        <w:t xml:space="preserve"> </w:t>
      </w:r>
      <w:r>
        <w:t xml:space="preserve">drugs, the remainder falling below the reporting threshold. Validated at scale against ChEMBL phase-4</w:t>
      </w:r>
      <w:r>
        <w:t xml:space="preserve"> </w:t>
      </w:r>
      <w:r>
        <w:t xml:space="preserve">indications on 162 approved drugs whose structures appear nowhere in training, top-3 accuracy is</w:t>
      </w:r>
      <w:r>
        <w:t xml:space="preserve"> </w:t>
      </w:r>
      <w:r>
        <w:t xml:space="preserve">0.352 (95% CI 0.283 to 0.428) against a permutation null of 0.145 (p = 0.0005) but a frequency null</w:t>
      </w:r>
      <w:r>
        <w:t xml:space="preserve"> </w:t>
      </w:r>
      <w:r>
        <w:t xml:space="preserve">of 0.654. The output therefore depends on the compound and is not memorisation, yet it does not beat</w:t>
      </w:r>
      <w:r>
        <w:t xml:space="preserve"> </w:t>
      </w:r>
      <w:r>
        <w:t xml:space="preserve">a constant answer naming the commonest CNS indications. Removing the reporting threshold and judging</w:t>
      </w:r>
      <w:r>
        <w:t xml:space="preserve"> </w:t>
      </w:r>
      <w:r>
        <w:t xml:space="preserve">the ranking alone raises accuracy to 0.451, which locates much of the gap in the decision to stay</w:t>
      </w:r>
      <w:r>
        <w:t xml:space="preserve"> </w:t>
      </w:r>
      <w:r>
        <w:t xml:space="preserve">silent rather than in the ranking. The server is best used as mechanism-resolved triage, not as an</w:t>
      </w:r>
      <w:r>
        <w:t xml:space="preserve"> </w:t>
      </w:r>
      <w:r>
        <w:t xml:space="preserve">indication oracle, and it is configured to under-call rather than over-call.</w:t>
      </w:r>
    </w:p>
    <w:bookmarkEnd w:id="21"/>
    <w:bookmarkStart w:id="22"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2"/>
    <w:bookmarkEnd w:id="23"/>
    <w:bookmarkStart w:id="24"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Three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Indication-level</w:t>
      </w:r>
      <w:r>
        <w:t xml:space="preserve"> </w:t>
      </w:r>
      <w:r>
        <w:t xml:space="preserve">prediction on unseen drugs does not beat a constant answer naming the commonest CNS indications, so</w:t>
      </w:r>
      <w:r>
        <w:t xml:space="preserve"> </w:t>
      </w:r>
      <w:r>
        <w:t xml:space="preserve">disease scores are triage rather than diagnosis. And the specificity estimate rests on compounds</w:t>
      </w:r>
      <w:r>
        <w:t xml:space="preserve"> </w:t>
      </w:r>
      <w:r>
        <w:t xml:space="preserve">presumed inactive because nothing is recorded about them, drawn from within the reference library, so</w:t>
      </w:r>
      <w:r>
        <w:t xml:space="preserve"> </w:t>
      </w:r>
      <w:r>
        <w:t xml:space="preserve">it does not bound behaviour on genuinely distant chemistry.</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4"/>
    <w:bookmarkStart w:id="25"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5"/>
    <w:bookmarkStart w:id="26" w:name="funding"/>
    <w:p>
      <w:pPr>
        <w:pStyle w:val="Heading2"/>
      </w:pPr>
      <w:r>
        <w:t xml:space="preserve">Funding</w:t>
      </w:r>
    </w:p>
    <w:p>
      <w:pPr>
        <w:pStyle w:val="FirstParagraph"/>
      </w:pPr>
      <w:r>
        <w:t xml:space="preserve">[TO BE SUPPLIED]</w:t>
      </w:r>
    </w:p>
    <w:bookmarkEnd w:id="26"/>
    <w:bookmarkStart w:id="27"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7"/>
    <w:bookmarkStart w:id="40" w:name="figure-legends"/>
    <w:p>
      <w:pPr>
        <w:pStyle w:val="Heading2"/>
      </w:pPr>
      <w:r>
        <w:t xml:space="preserve">Figure legends</w:t>
      </w:r>
    </w:p>
    <w:p>
      <w:pPr>
        <w:pStyle w:val="CaptionedFigure"/>
      </w:pPr>
      <w:r>
        <w:drawing>
          <wp:inline>
            <wp:extent cx="5334000" cy="3876870"/>
            <wp:effectExtent b="0" l="0" r="0" t="0"/>
            <wp:docPr descr="Figure 1" title="" id="29" name="Picture"/>
            <a:graphic>
              <a:graphicData uri="http://schemas.openxmlformats.org/drawingml/2006/picture">
                <pic:pic>
                  <pic:nvPicPr>
                    <pic:cNvPr descr="figures/Figure1_architecture.png" id="30" name="Picture"/>
                    <pic:cNvPicPr>
                      <a:picLocks noChangeArrowheads="1" noChangeAspect="1"/>
                    </pic:cNvPicPr>
                  </pic:nvPicPr>
                  <pic:blipFill>
                    <a:blip r:embed="rId28"/>
                    <a:stretch>
                      <a:fillRect/>
                    </a:stretch>
                  </pic:blipFill>
                  <pic:spPr bwMode="auto">
                    <a:xfrm>
                      <a:off x="0" y="0"/>
                      <a:ext cx="5334000" cy="3876870"/>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3479251"/>
            <wp:effectExtent b="0" l="0" r="0" t="0"/>
            <wp:docPr descr="Figure 2" title="" id="32" name="Picture"/>
            <a:graphic>
              <a:graphicData uri="http://schemas.openxmlformats.org/drawingml/2006/picture">
                <pic:pic>
                  <pic:nvPicPr>
                    <pic:cNvPr descr="figures/Figure5_negative_class.png" id="33" name="Picture"/>
                    <pic:cNvPicPr>
                      <a:picLocks noChangeArrowheads="1" noChangeAspect="1"/>
                    </pic:cNvPicPr>
                  </pic:nvPicPr>
                  <pic:blipFill>
                    <a:blip r:embed="rId31"/>
                    <a:stretch>
                      <a:fillRect/>
                    </a:stretch>
                  </pic:blipFill>
                  <pic:spPr bwMode="auto">
                    <a:xfrm>
                      <a:off x="0" y="0"/>
                      <a:ext cx="5334000" cy="3479251"/>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Recovering the measured negative class. (</w:t>
      </w:r>
      <w:r>
        <w:rPr>
          <w:b/>
          <w:bCs/>
        </w:rPr>
        <w:t xml:space="preserve">A</w:t>
      </w:r>
      <w:r>
        <w:t xml:space="preserve">) A censored bound settles a label</w:t>
      </w:r>
      <w:r>
        <w:t xml:space="preserve"> </w:t>
      </w:r>
      <w:r>
        <w:t xml:space="preserve">whenever the whole interval it defines falls on one side of the activity cut;</w:t>
      </w:r>
      <w:r>
        <w:t xml:space="preserve"> </w:t>
      </w:r>
      <w:r>
        <w:rPr>
          <w:rStyle w:val="VerbatimChar"/>
        </w:rPr>
        <w:t xml:space="preserve">IC50 &gt; 10 uM</w:t>
      </w:r>
      <w:r>
        <w:t xml:space="preserve"> </w:t>
      </w:r>
      <w:r>
        <w:t xml:space="preserve">is a</w:t>
      </w:r>
      <w:r>
        <w:t xml:space="preserve"> </w:t>
      </w:r>
      <w:r>
        <w:t xml:space="preserve">measured non-binder, while</w:t>
      </w:r>
      <w:r>
        <w:t xml:space="preserve"> </w:t>
      </w:r>
      <w:r>
        <w:rPr>
          <w:rStyle w:val="VerbatimChar"/>
        </w:rPr>
        <w:t xml:space="preserve">IC50 &gt; 100 nM</w:t>
      </w:r>
      <w:r>
        <w:t xml:space="preserve"> </w:t>
      </w:r>
      <w:r>
        <w:t xml:space="preserve">spans both classes and is discarded as undecidable rather</w:t>
      </w:r>
      <w:r>
        <w:t xml:space="preserve"> </w:t>
      </w:r>
      <w:r>
        <w:t xml:space="preserve">than guessed at. (</w:t>
      </w:r>
      <w:r>
        <w:rPr>
          <w:b/>
          <w:bCs/>
        </w:rPr>
        <w:t xml:space="preserve">B</w:t>
      </w:r>
      <w:r>
        <w:t xml:space="preserve">) Class balance for the 57 endpoints extended: 21,994 measured non-binders</w:t>
      </w:r>
      <w:r>
        <w:t xml:space="preserve"> </w:t>
      </w:r>
      <w:r>
        <w:t xml:space="preserve">added, endpoints above 90 per cent active reduced from 35 to 13. (</w:t>
      </w:r>
      <w:r>
        <w:rPr>
          <w:b/>
          <w:bCs/>
        </w:rPr>
        <w:t xml:space="preserve">C</w:t>
      </w:r>
      <w:r>
        <w:t xml:space="preserve">) The effect per endpoint</w:t>
      </w:r>
      <w:r>
        <w:t xml:space="preserve"> </w:t>
      </w:r>
      <w:r>
        <w:t xml:space="preserve">against the panel as it stood immediately before the merge. Classification becomes slightly harder</w:t>
      </w:r>
      <w:r>
        <w:t xml:space="preserve"> </w:t>
      </w:r>
      <w:r>
        <w:t xml:space="preserve">and regression improves, both in the expected direction, because real non-binders are harder</w:t>
      </w:r>
      <w:r>
        <w:t xml:space="preserve"> </w:t>
      </w:r>
      <w:r>
        <w:t xml:space="preserve">negatives than the decoys they join while a censored bound is a real low-potency anchor. BBB and the</w:t>
      </w:r>
      <w:r>
        <w:t xml:space="preserve"> </w:t>
      </w:r>
      <w:r>
        <w:t xml:space="preserve">antioxidant endpoint are flat at exactly zero, not missing, because neither draws from a ChEMBL</w:t>
      </w:r>
      <w:r>
        <w:t xml:space="preserve"> </w:t>
      </w:r>
      <w:r>
        <w:t xml:space="preserve">target.</w:t>
      </w:r>
    </w:p>
    <w:p>
      <w:pPr>
        <w:pStyle w:val="CaptionedFigure"/>
      </w:pPr>
      <w:r>
        <w:drawing>
          <wp:inline>
            <wp:extent cx="5334000" cy="3455602"/>
            <wp:effectExtent b="0" l="0" r="0" t="0"/>
            <wp:docPr descr="Figure 3" title="" id="35" name="Picture"/>
            <a:graphic>
              <a:graphicData uri="http://schemas.openxmlformats.org/drawingml/2006/picture">
                <pic:pic>
                  <pic:nvPicPr>
                    <pic:cNvPr descr="figures/Figure6_validation.png" id="36" name="Picture"/>
                    <pic:cNvPicPr>
                      <a:picLocks noChangeArrowheads="1" noChangeAspect="1"/>
                    </pic:cNvPicPr>
                  </pic:nvPicPr>
                  <pic:blipFill>
                    <a:blip r:embed="rId34"/>
                    <a:stretch>
                      <a:fillRect/>
                    </a:stretch>
                  </pic:blipFill>
                  <pic:spPr bwMode="auto">
                    <a:xfrm>
                      <a:off x="0" y="0"/>
                      <a:ext cx="5334000" cy="345560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361052"/>
            <wp:effectExtent b="0" l="0" r="0" t="0"/>
            <wp:docPr descr="Figure 4" title="" id="38" name="Picture"/>
            <a:graphic>
              <a:graphicData uri="http://schemas.openxmlformats.org/drawingml/2006/picture">
                <pic:pic>
                  <pic:nvPicPr>
                    <pic:cNvPr descr="figures/Figure8_use_case.png" id="39" name="Picture"/>
                    <pic:cNvPicPr>
                      <a:picLocks noChangeArrowheads="1" noChangeAspect="1"/>
                    </pic:cNvPicPr>
                  </pic:nvPicPr>
                  <pic:blipFill>
                    <a:blip r:embed="rId37"/>
                    <a:stretch>
                      <a:fillRect/>
                    </a:stretch>
                  </pic:blipFill>
                  <pic:spPr bwMode="auto">
                    <a:xfrm>
                      <a:off x="0" y="0"/>
                      <a:ext cx="5334000" cy="236105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S4 give the feature vector computed for a worked molecule, the two</w:t>
      </w:r>
      <w:r>
        <w:t xml:space="preserve"> </w:t>
      </w:r>
      <w:r>
        <w:t xml:space="preserve">cross-validation schemes, the three disjoint background pools and the complete 49-endpoint binder</w:t>
      </w:r>
      <w:r>
        <w:t xml:space="preserve"> </w:t>
      </w:r>
      <w:r>
        <w:t xml:space="preserve">panel.</w:t>
      </w:r>
    </w:p>
    <w:bookmarkEnd w:id="40"/>
    <w:bookmarkStart w:id="41"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2026-08-17T06:36:41Z</dcterms:created>
  <dcterms:modified xsi:type="dcterms:W3CDTF">2026-08-17T06:36:41Z</dcterms:modified>
</cp:coreProperties>
</file>

<file path=docProps/custom.xml><?xml version="1.0" encoding="utf-8"?>
<Properties xmlns="http://schemas.openxmlformats.org/officeDocument/2006/custom-properties" xmlns:vt="http://schemas.openxmlformats.org/officeDocument/2006/docPropsVTypes"/>
</file>