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rPr>
          <w:b/>
          <w:bCs/>
        </w:rPr>
        <w:t xml:space="preserve">Affiliation:</w:t>
      </w:r>
      <w:r>
        <w:t xml:space="preserve"> </w:t>
      </w: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0.925</w:t>
      </w:r>
      <w:r>
        <w:t xml:space="preserve"> </w:t>
      </w:r>
      <w:r>
        <w:t xml:space="preserve">(95% CI 0.907 to 0.940).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r>
        <w:t xml:space="preserve"> </w:t>
      </w:r>
      <w:r>
        <w:t xml:space="preserve">with a median of 3,789. That set is every deployed model owning a table in data/endpoints, the</w:t>
      </w:r>
      <w:r>
        <w:t xml:space="preserve"> </w:t>
      </w:r>
      <w:r>
        <w:t xml:space="preserve">barrier model included; excluding it, since it is an exposure rather than a target endpoint,</w:t>
      </w:r>
      <w:r>
        <w:t xml:space="preserve"> </w:t>
      </w:r>
      <w:r>
        <w:t xml:space="preserve">gives 54 tables and a median of 3,587.</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29,751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each</w:t>
      </w:r>
      <w:r>
        <w:t xml:space="preserve"> </w:t>
      </w:r>
      <w:r>
        <w:t xml:space="preserve">class-weighted for the classification endpoints so that no family is compared unweighted against</w:t>
      </w:r>
      <w:r>
        <w:t xml:space="preserve"> </w:t>
      </w:r>
      <w:r>
        <w:t xml:space="preserve">weighted competitors. On the scaffold split the random forest leads classification at 0.9212 mean</w:t>
      </w:r>
      <w:r>
        <w:t xml:space="preserve"> </w:t>
      </w:r>
      <w:r>
        <w:t xml:space="preserve">AUROC, ahead of XGBoost (0.9156), histogram gradient boosting (0.9153), the read-across (0.8829) and</w:t>
      </w:r>
      <w:r>
        <w:t xml:space="preserve"> </w:t>
      </w:r>
      <w:r>
        <w:t xml:space="preserve">logistic regression (0.8352), and it exceeds the read-across on all thirteen endpoints, by margins</w:t>
      </w:r>
      <w:r>
        <w:t xml:space="preserve"> </w:t>
      </w:r>
      <w:r>
        <w:t xml:space="preserve">running from 0.0095 at D2 to 0.1099 on the antioxidant assay. It is best on seven of the eight</w:t>
      </w:r>
      <w:r>
        <w:t xml:space="preserve"> </w:t>
      </w:r>
      <w:r>
        <w:t xml:space="preserve">classification endpoints, losing AChE to histogram gradient boosting at 0.9148 against 0.9247. It</w:t>
      </w:r>
      <w:r>
        <w:t xml:space="preserve"> </w:t>
      </w:r>
      <w:r>
        <w:t xml:space="preserve">does not lead regression at all: histogram</w:t>
      </w:r>
      <w:r>
        <w:t xml:space="preserve"> </w:t>
      </w:r>
      <w:r>
        <w:t xml:space="preserve">gradient boosting and XGBoost reach mean scaffold R² of 0.5424 and 0.5413 against 0.5190, and the</w:t>
      </w:r>
      <w:r>
        <w:t xml:space="preserve"> </w:t>
      </w:r>
      <w:r>
        <w:t xml:space="preserve">forest is best on none of the five. A random forest is nonetheless deployed everywhere, because it</w:t>
      </w:r>
      <w:r>
        <w:t xml:space="preserve"> </w:t>
      </w:r>
      <w:r>
        <w:t xml:space="preserve">leads where the principal claims are made, calibrates stably, supplies the vote distribution the</w:t>
      </w:r>
      <w:r>
        <w:t xml:space="preserve"> </w:t>
      </w:r>
      <w:r>
        <w:t xml:space="preserve">conformal layer consumes, does not extrapolate beyond the training range, and is exactly rather than</w:t>
      </w:r>
      <w:r>
        <w:t xml:space="preserve"> </w:t>
      </w:r>
      <w:r>
        <w:t xml:space="preserve">approximately explainable by TreeSHAP (23). The cost of that uniformity is 0.023 mean R² on</w:t>
      </w:r>
      <w:r>
        <w:t xml:space="preserve"> </w:t>
      </w:r>
      <w:r>
        <w:t xml:space="preserve">the potency regressions and is stated rather than left 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(24)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(25)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rather than left implicit: isotonic regression is fitted by five-fold</w:t>
      </w:r>
      <w:r>
        <w:t xml:space="preserve"> </w:t>
      </w:r>
      <w:r>
        <w:rPr>
          <w:rStyle w:val="VerbatimChar"/>
        </w:rPr>
        <w:t xml:space="preserve">cross_val_predict</w:t>
      </w:r>
      <w:r>
        <w:t xml:space="preserve"> </w:t>
      </w:r>
      <w:r>
        <w:t xml:space="preserve">over</w:t>
      </w:r>
      <w:r>
        <w:t xml:space="preserve"> </w:t>
      </w:r>
      <w:r>
        <w:t xml:space="preserve">the pooled out-of-fold prediction vector, and a different, equally defensible nesting is a different</w:t>
      </w:r>
      <w:r>
        <w:t xml:space="preserve"> </w:t>
      </w:r>
      <w:r>
        <w:t xml:space="preserve">estimator with its own honest error, so the protocol is reported alongside the number rather than the</w:t>
      </w:r>
      <w:r>
        <w:t xml:space="preserve"> </w:t>
      </w:r>
      <w:r>
        <w:t xml:space="preserve">number alone. Each prediction additionally carries a Mondrian conformal interval, computed on the</w:t>
      </w:r>
      <w:r>
        <w:t xml:space="preserve"> </w:t>
      </w:r>
      <w:r>
        <w:t xml:space="preserve">same deduplicated matrix the classifiers are trained on, which converts the applicability domain from</w:t>
      </w:r>
      <w:r>
        <w:t xml:space="preserve"> </w:t>
      </w:r>
      <w:r>
        <w:t xml:space="preserve">a caveat into a coverage statement (26): empirical coverage over the eight core classifiers is</w:t>
      </w:r>
      <w:r>
        <w:t xml:space="preserve"> </w:t>
      </w:r>
      <w:r>
        <w:t xml:space="preserve">0.876 to 0.933 against a 0.90 target, with mean set size from 0.956 to 1.215 on a two-class problem</w:t>
      </w:r>
      <w:r>
        <w:t xml:space="preserve"> </w:t>
      </w:r>
      <w:r>
        <w:t xml:space="preserve">where 1.0 is a confident single label. The applicability domain itself is the maximum ECFP-4 Tanimoto</w:t>
      </w:r>
      <w:r>
        <w:t xml:space="preserve"> </w:t>
      </w:r>
      <w:r>
        <w:t xml:space="preserve">similarity of the query to that endpoint’s own measured chemistry (27),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(28) with Tanimoto below 0.35 to any positive. Binder classifiers use</w:t>
      </w:r>
      <w:r>
        <w:t xml:space="preserve"> </w:t>
      </w:r>
      <w:r>
        <w:t xml:space="preserve">sigmoid calibration (29),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0.0253 across all 47 deployed endpoints</w:t>
      </w:r>
      <w:r>
        <w:t xml:space="preserve"> </w:t>
      </w:r>
      <w:r>
        <w:t xml:space="preserve">and a maximum of exactly 0.05, the target itself, reached by four endpoints; under the previous</w:t>
      </w:r>
      <w:r>
        <w:t xml:space="preserve"> </w:t>
      </w:r>
      <w:r>
        <w:t xml:space="preserve">procedure, where the same pool set the threshold and measured the rate, the two could not disagree by</w:t>
      </w:r>
      <w:r>
        <w:t xml:space="preserve"> </w:t>
      </w:r>
      <w:r>
        <w:t xml:space="preserve">construction, so a genuinely disjoint measurement landing at rather than below its target is the</w:t>
      </w:r>
      <w:r>
        <w:t xml:space="preserve"> </w:t>
      </w:r>
      <w:r>
        <w:t xml:space="preserve">expected behaviour of a real constraint rather than evidence against it.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(30), the Reactome KEAP1-NFE2L2 oxidative</w:t>
      </w:r>
      <w:r>
        <w:t xml:space="preserve"> </w:t>
      </w:r>
      <w:r>
        <w:t xml:space="preserve">stress response (31) and IUPHAR/BPS Guide to Pharmacology associations (32).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(33) and RDKit (34),</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0.764, both measured on actives</w:t>
      </w:r>
      <w:r>
        <w:t xml:space="preserve"> </w:t>
      </w:r>
      <w:r>
        <w:t xml:space="preserve">withheld by scaffold, at thresholds constrained simultaneously by held-out measured inactives and by</w:t>
      </w:r>
      <w:r>
        <w:t xml:space="preserve"> </w:t>
      </w:r>
      <w:r>
        <w:t xml:space="preserve">the false-positive rate on a disjoint pool of unrelated chemistry. Both figures are means over 47</w:t>
      </w:r>
      <w:r>
        <w:t xml:space="preserve"> </w:t>
      </w:r>
      <w:r>
        <w:t xml:space="preserve">endpoints and the spread behind them is wide: AUROC ranges from 0.719 at GABA-A to 0.985 at CGRP,</w:t>
      </w:r>
      <w:r>
        <w:t xml:space="preserve"> </w:t>
      </w:r>
      <w:r>
        <w:t xml:space="preserve">and sensitivity from 0.303 at GABA-A to 0.993 at CGRP with a median of 0.835, so the two means</w:t>
      </w:r>
      <w:r>
        <w:t xml:space="preserve"> </w:t>
      </w:r>
      <w:r>
        <w:t xml:space="preserve">describe the panel and not any particular endpoint. Supplementary Table S1 gives every endpoint</w:t>
      </w:r>
      <w:r>
        <w:t xml:space="preserve"> </w:t>
      </w:r>
      <w:r>
        <w:t xml:space="preserve">separately.</w:t>
      </w:r>
    </w:p>
    <w:p>
      <w:pPr>
        <w:pStyle w:val="BodyText"/>
      </w:pPr>
      <w:r>
        <w:t xml:space="preserve">The sensitivity figure carries a correction we report rather than leave for a reader to find. Four</w:t>
      </w:r>
      <w:r>
        <w:t xml:space="preserve"> </w:t>
      </w:r>
      <w:r>
        <w:t xml:space="preserve">scripts write this field in sequence, and the last of them scored every active in the endpoint table,</w:t>
      </w:r>
      <w:r>
        <w:t xml:space="preserve"> </w:t>
      </w:r>
      <w:r>
        <w:t xml:space="preserve">roughly four fifths of which the model had been fitted on, while leaving the field’s own basis</w:t>
      </w:r>
      <w:r>
        <w:t xml:space="preserve"> </w:t>
      </w:r>
      <w:r>
        <w:t xml:space="preserve">annotation reading that the measurement was held out. The panel mean was therefore published as 0.898</w:t>
      </w:r>
      <w:r>
        <w:t xml:space="preserve"> </w:t>
      </w:r>
      <w:r>
        <w:t xml:space="preserve">against a held-out 0.764, an inflation of 0.134, with nothing in the record disagreeing with anything</w:t>
      </w:r>
      <w:r>
        <w:t xml:space="preserve"> </w:t>
      </w:r>
      <w:r>
        <w:t xml:space="preserve">else. The scoring script now reads the scaffold-held-out partition and declares its basis when it</w:t>
      </w:r>
      <w:r>
        <w:t xml:space="preserve"> </w:t>
      </w:r>
      <w:r>
        <w:t xml:space="preserve">cannot, the registry has been recomputed from that partition and agrees with the threshold table on</w:t>
      </w:r>
      <w:r>
        <w:t xml:space="preserve"> </w:t>
      </w:r>
      <w:r>
        <w:t xml:space="preserve">all 47 deployed endpoints, and a regression test fails if any deployed endpoint reports sensitivity</w:t>
      </w:r>
      <w:r>
        <w:t xml:space="preserve"> </w:t>
      </w:r>
      <w:r>
        <w:t xml:space="preserve">on an undeclared basis. Six endpoints fall below the reliability gate on the corrected figure, against</w:t>
      </w:r>
      <w:r>
        <w:t xml:space="preserve"> </w:t>
      </w:r>
      <w:r>
        <w:t xml:space="preserve">one before: COX-2, GABA-A, GluN2B, P2X7, SIRT1 and TAAR1. They remain deployed, because each holds</w:t>
      </w:r>
      <w:r>
        <w:t xml:space="preserve"> </w:t>
      </w:r>
      <w:r>
        <w:t xml:space="preserve">its background false-positive rate at or below target and is therefore weak rather than misleading,</w:t>
      </w:r>
      <w:r>
        <w:t xml:space="preserve"> </w:t>
      </w:r>
      <w:r>
        <w:t xml:space="preserve">and the interface marks a negative call from any of them as low-powered.</w:t>
      </w:r>
    </w:p>
    <w:p>
      <w:pPr>
        <w:pStyle w:val="BodyText"/>
      </w:pPr>
      <w:r>
        <w:t xml:space="preserve">Five endpoints are withdrawn outright: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(23) on the deployed forests, which is exact for a random forest rather than an</w:t>
      </w:r>
      <w:r>
        <w:t xml:space="preserve"> </w:t>
      </w:r>
      <w:r>
        <w:t xml:space="preserve">approximation, recover known physicochemistry that was never supplied to the models. Over 800 sampled</w:t>
      </w:r>
      <w:r>
        <w:t xml:space="preserve"> </w:t>
      </w:r>
      <w:r>
        <w:t xml:space="preserve">training compounds, larger TPSA, molecular weight and hydrogen-bond donor count all push the barrier</w:t>
      </w:r>
      <w:r>
        <w:t xml:space="preserve"> </w:t>
      </w:r>
      <w:r>
        <w:t xml:space="preserve">model away from penetration (Spearman correlation between feature value and SHAP value of -0.93,</w:t>
      </w:r>
      <w:r>
        <w:t xml:space="preserve"> </w:t>
      </w:r>
      <w:r>
        <w:t xml:space="preserve">-0.94 and -0.94) while drug-likeness pushes towards it (+0.93); for hERG, lipophilicity pushes towards</w:t>
      </w:r>
      <w:r>
        <w:t xml:space="preserve"> </w:t>
      </w:r>
      <w:r>
        <w:t xml:space="preserve">blockade (+0.95).</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endpoint tables, before deduplication, 15,104 feature-vector-identical rows exist across</w:t>
      </w:r>
      <w:r>
        <w:t xml:space="preserve"> </w:t>
      </w:r>
      <w:r>
        <w:t xml:space="preserve">the panel, worst at BBB (3,773), which is precisely what deduplication removes; none of them reaches</w:t>
      </w:r>
      <w:r>
        <w:t xml:space="preserve"> </w:t>
      </w:r>
      <w:r>
        <w:t xml:space="preserve">a fitted model.</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0.496 (random) and 0.503 (scaffold) over the eight core classifiers, every one of the sixteen values</w:t>
      </w:r>
      <w:r>
        <w:t xml:space="preserve"> </w:t>
      </w:r>
      <w:r>
        <w:t xml:space="preserve">within 0.02 of chance and a smallest margin over its own null 19-fold larger than the largest such</w:t>
      </w:r>
      <w:r>
        <w:t xml:space="preserve"> </w:t>
      </w:r>
      <w:r>
        <w:t xml:space="preserve">departure. Scaffold grouping alone confers nothing: paired by endpoint the scaffold null exceeds the</w:t>
      </w:r>
      <w:r>
        <w:t xml:space="preserve"> </w:t>
      </w:r>
      <w:r>
        <w:t xml:space="preserve">random null by a mean of 0.007 (Wilcoxon p = 0.25) and is negative in three of eight. Whole scaffold</w:t>
      </w:r>
      <w:r>
        <w:t xml:space="preserve"> </w:t>
      </w:r>
      <w:r>
        <w:t xml:space="preserve">classes 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0.767 on the 227 that are also distinguishable from the</w:t>
      </w:r>
      <w:r>
        <w:t xml:space="preserve"> </w:t>
      </w:r>
      <w:r>
        <w:t xml:space="preserve">training set in feature space, which is the subset that supports an external claim (Figure 3C). The</w:t>
      </w:r>
      <w:r>
        <w:t xml:space="preserve"> </w:t>
      </w:r>
      <w:r>
        <w:t xml:space="preserve">79 excluded by that second criterion are feature-identical to a training compound and score 0.749.</w:t>
      </w:r>
      <w:r>
        <w:t xml:space="preserve"> </w:t>
      </w:r>
      <w:r>
        <w:t xml:space="preserve">The two headline figures, 0.764 and 0.767, are close rather than one exceeding the other: excluding</w:t>
      </w:r>
      <w:r>
        <w:t xml:space="preserve"> </w:t>
      </w:r>
      <w:r>
        <w:t xml:space="preserve">memorised compounds neither inflates nor depresses the external estimate, which is the outcome an</w:t>
      </w:r>
      <w:r>
        <w:t xml:space="preserve"> </w:t>
      </w:r>
      <w:r>
        <w:t xml:space="preserve">honest exclusion criterion should produce.</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0.071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925 returned no actionable disease signal, a specificity of</w:t>
      </w:r>
      <w:r>
        <w:t xml:space="preserve"> </w:t>
      </w:r>
      <w:r>
        <w:t xml:space="preserve">0.925 (95% CI 0.907 to 0.940). Of the 75 false positives, 49 fired on a single condition rather than</w:t>
      </w:r>
      <w:r>
        <w:t xml:space="preserve"> </w:t>
      </w:r>
      <w:r>
        <w:t xml:space="preserve">producing a diffuse profile, and the median score among them was 0.437,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0.57 for unseen drugs (n = 25,</w:t>
      </w:r>
      <w:r>
        <w:t xml:space="preserve"> </w:t>
      </w:r>
      <w:r>
        <w:t xml:space="preserve">p = 1.8e-03), which is a weak signal and is described as one.</w:t>
      </w:r>
    </w:p>
    <w:p>
      <w:pPr>
        <w:pStyle w:val="BodyText"/>
      </w:pPr>
      <w:r>
        <w:rPr>
          <w:b/>
          <w:bCs/>
        </w:rPr>
        <w:t xml:space="preserve">Attribution.</w:t>
      </w:r>
      <w:r>
        <w:t xml:space="preserve"> </w:t>
      </w:r>
      <w:r>
        <w:t xml:space="preserve">SHAP attributions computed with TreeExplainer (23),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-0.94 and -0.94)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0.163.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0.616 and beats chance on seven. Macro-averaged top-3 recall, which averages</w:t>
      </w:r>
      <w:r>
        <w:t xml:space="preserve"> </w:t>
      </w:r>
      <w:r>
        <w:t xml:space="preserve">per indication rather than pooling and so cannot be carried by naming the common conditions, is 0.358</w:t>
      </w:r>
      <w:r>
        <w:t xml:space="preserve"> </w:t>
      </w:r>
      <w:r>
        <w:t xml:space="preserve">against 0.333. The spread is wide and is the substance of the result: depression and anxiety reach</w:t>
      </w:r>
      <w:r>
        <w:t xml:space="preserve"> </w:t>
      </w:r>
      <w:r>
        <w:t xml:space="preserve">0.798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0.57 for unseen approved drugs (n = 25, one-sided Mann-Whitney</w:t>
      </w:r>
      <w:r>
        <w:t xml:space="preserve"> </w:t>
      </w:r>
      <w:r>
        <w:t xml:space="preserve">p = 1.8e-03),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The second is the size of that effect. On chemistry more than a Tanimoto of 0.40 from anything the</w:t>
      </w:r>
      <w:r>
        <w:t xml:space="preserve"> </w:t>
      </w:r>
      <w:r>
        <w:t xml:space="preserve">panel has measured, recall at the deployed operating point is near 0.16, and no analysis here</w:t>
      </w:r>
      <w:r>
        <w:t xml:space="preserve"> </w:t>
      </w:r>
      <w:r>
        <w:t xml:space="preserve">improves it; what the prospective work establishes is that the figure is predictable, not that it is</w:t>
      </w:r>
      <w:r>
        <w:t xml:space="preserve"> </w:t>
      </w:r>
      <w:r>
        <w:t xml:space="preserve">better than it looked. A negative result on a novel scaffold is close to uninformative, which is why</w:t>
      </w:r>
      <w:r>
        <w:t xml:space="preserve"> </w:t>
      </w:r>
      <w:r>
        <w:t xml:space="preserve">the server now reports the expected recall beside it.</w:t>
      </w:r>
    </w:p>
    <w:p>
      <w:pPr>
        <w:pStyle w:val="BodyText"/>
      </w:pPr>
      <w:r>
        <w:t xml:space="preserve">The third is that the specificity estimate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BodyText"/>
      </w:pPr>
      <w:r>
        <w:t xml:space="preserve">The fourth is natural-product chemistry, and it is stated here because a reader will reasonably 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0.725, 0.710 and 0.579 for NRF2, NFKB1 and NR3C1, but the fold-to-fold standard deviations are</w:t>
      </w:r>
      <w:r>
        <w:t xml:space="preserve"> </w:t>
      </w:r>
      <w:r>
        <w:t xml:space="preserve">0.134, 0.151 and 0.153, so that signal is not stable, and the three fail the deployment gate in three</w:t>
      </w:r>
      <w:r>
        <w:t xml:space="preserve"> </w:t>
      </w:r>
      <w:r>
        <w:t xml:space="preserve">different ways rather than one. NRF2 discriminates its own held-out measured inactives well (AUROC</w:t>
      </w:r>
      <w:r>
        <w:t xml:space="preserve"> </w:t>
      </w:r>
      <w:r>
        <w:t xml:space="preserve">0.789, sensitivity 0.545) but its false-positive rate on random background chemistry is 0.057, just</w:t>
      </w:r>
      <w:r>
        <w:t xml:space="preserve"> </w:t>
      </w:r>
      <w:r>
        <w:t xml:space="preserve">above the 5 per cent every deployed endpoint is held to, a near miss rather than a wide failure. NFKB1</w:t>
      </w:r>
      <w:r>
        <w:t xml:space="preserve"> </w:t>
      </w:r>
      <w:r>
        <w:t xml:space="preserve">fails outright, calling five trivial metabolites (glucose, urea, acetate, glycine, lactate) binders at</w:t>
      </w:r>
      <w:r>
        <w:t xml:space="preserve"> </w:t>
      </w:r>
      <w:r>
        <w:t xml:space="preserve">its calibrated threshold while recovering no measured active at all (sensitivity 0.000). NR3C1 passes</w:t>
      </w:r>
      <w:r>
        <w:t xml:space="preserve"> </w:t>
      </w:r>
      <w:r>
        <w:t xml:space="preserve">the specificity test, firing on no trivial molecule, and fails on discrimination instead: AUROC 0.410</w:t>
      </w:r>
      <w:r>
        <w:t xml:space="preserve"> </w:t>
      </w:r>
      <w:r>
        <w:t xml:space="preserve">against its own held-out measured inactives is below chance. An endpoint that cannot be given a</w:t>
      </w:r>
      <w:r>
        <w:t xml:space="preserve"> </w:t>
      </w:r>
      <w:r>
        <w:t xml:space="preserve">threshold that finds actives without firing on unrelated chemistry is not usable, whatever its</w:t>
      </w:r>
      <w:r>
        <w:t xml:space="preserve"> </w:t>
      </w:r>
      <w:r>
        <w:t xml:space="preserve">cross-validated AUROC. The cause is visible in what the labels are made of. A binder classifier is</w:t>
      </w:r>
      <w:r>
        <w:t xml:space="preserve"> </w:t>
      </w:r>
      <w:r>
        <w:t xml:space="preserve">fitted to reproduce a direct binding constant, and for two of these three there is essentially none:</w:t>
      </w:r>
      <w:r>
        <w:t xml:space="preserve"> </w:t>
      </w:r>
      <w:r>
        <w:t xml:space="preserve">of the labelled records, Ki or Kd accounts for 0.0 per cent at NRF2, 0.3 per cent at NFKB1 and 14.8</w:t>
      </w:r>
      <w:r>
        <w:t xml:space="preserve"> </w:t>
      </w:r>
      <w:r>
        <w:t xml:space="preserve">per cent at NR3C1, the remainder being almost entirely</w:t>
      </w:r>
      <w:r>
        <w:t xml:space="preserve"> </w:t>
      </w:r>
      <w:r>
        <w:rPr>
          <w:rStyle w:val="VerbatimChar"/>
        </w:rPr>
        <w:t xml:space="preserve">Potency</w:t>
      </w:r>
      <w:r>
        <w:t xml:space="preserve">, a pooled functional readout that</w:t>
      </w:r>
      <w:r>
        <w:t xml:space="preserve"> </w:t>
      </w:r>
      <w:r>
        <w:t xml:space="preserve">mixes assay formats and does not define a binding class a ligand fingerprint can separate. NR3C1, the</w:t>
      </w:r>
      <w:r>
        <w:t xml:space="preserve"> </w:t>
      </w:r>
      <w:r>
        <w:t xml:space="preserve">one with real binding data, is also the one with too few compounds to fit, 140 after deduplication.</w:t>
      </w:r>
      <w:r>
        <w:t xml:space="preserve"> </w:t>
      </w:r>
      <w:r>
        <w:t xml:space="preserve">The gap is therefore not one that adding targets closes. It requires measured binding affinity on</w:t>
      </w:r>
      <w:r>
        <w:t xml:space="preserve"> </w:t>
      </w:r>
      <w:r>
        <w:t xml:space="preserve">sp3-rich scaffolds, which is what does not</w:t>
      </w:r>
      <w:r>
        <w:t xml:space="preserve"> </w:t>
      </w:r>
      <w:r>
        <w:t xml:space="preserve">exist.</w:t>
      </w:r>
    </w:p>
    <w:p>
      <w:pPr>
        <w:pStyle w:val="BodyText"/>
      </w:pPr>
      <w:r>
        <w:t xml:space="preserve">The fifth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falsification suite and</w:t>
      </w:r>
      <w:r>
        <w:t xml:space="preserve"> </w:t>
      </w:r>
      <w:r>
        <w:t xml:space="preserve">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4"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52-endpoint binder panel of which 47 are deployed,</w:t>
      </w:r>
      <w:r>
        <w:t xml:space="preserve"> </w:t>
      </w:r>
      <w:r>
        <w:t xml:space="preserve">and two auxiliary 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37 to</w:t>
      </w:r>
      <w:r>
        <w:t xml:space="preserve"> </w:t>
      </w:r>
      <w:r>
        <w:t xml:space="preserve">15,831 rows; binder training sets include property-matched decoys while the others are measured</w:t>
      </w:r>
      <w:r>
        <w:t xml:space="preserve"> </w:t>
      </w:r>
      <w:r>
        <w:t xml:space="preserve">compounds only, 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0.945 while</w:t>
      </w:r>
      <w:r>
        <w:t xml:space="preserve"> </w:t>
      </w:r>
      <w:r>
        <w:t xml:space="preserve">the exposure and ADME family, which mixes AUROC and R² endpoints, has a median of 0.574,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35172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35172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the</w:t>
      </w:r>
      <w:r>
        <w:t xml:space="preserve"> </w:t>
      </w:r>
      <w:r>
        <w:t xml:space="preserve">applicability-domain flag, only after its controls were corrected rather than its criterion retuned;</w:t>
      </w:r>
      <w:r>
        <w:t xml:space="preserve"> </w:t>
      </w:r>
      <w:r>
        <w:t xml:space="preserve">every check is drawn at the same size whatever its verdict, so a future failure would be exactly this</w:t>
      </w:r>
      <w:r>
        <w:t xml:space="preserve"> </w:t>
      </w:r>
      <w:r>
        <w:t xml:space="preserve">visible.</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42" name="Picture"/>
            <a:graphic>
              <a:graphicData uri="http://schemas.openxmlformats.org/drawingml/2006/picture">
                <pic:pic>
                  <pic:nvPicPr>
                    <pic:cNvPr descr="figures/Figure11_external_validation.png" id="43" name="Picture"/>
                    <pic:cNvPicPr>
                      <a:picLocks noChangeArrowheads="1" noChangeAspect="1"/>
                    </pic:cNvPicPr>
                  </pic:nvPicPr>
                  <pic:blipFill>
                    <a:blip r:embed="rId41"/>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4"/>
    <w:bookmarkStart w:id="4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2026-09-13T08:42:59Z</dcterms:created>
  <dcterms:modified xsi:type="dcterms:W3CDTF">2026-09-13T08:42:59Z</dcterms:modified>
</cp:coreProperties>
</file>

<file path=docProps/custom.xml><?xml version="1.0" encoding="utf-8"?>
<Properties xmlns="http://schemas.openxmlformats.org/officeDocument/2006/custom-properties" xmlns:vt="http://schemas.openxmlformats.org/officeDocument/2006/docPropsVTypes"/>
</file>