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 [4].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[5].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[17].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[6].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, among them SwissADME [36], ADMETlab [37], pkCSM [38] and</w:t>
      </w:r>
      <w:r>
        <w:t xml:space="preserve"> </w:t>
      </w:r>
      <w:r>
        <w:t xml:space="preserve">admetSAR [39], estimate barrier penetration, permeability, efflux liability and related properties</w:t>
      </w:r>
      <w:r>
        <w:t xml:space="preserve"> </w:t>
      </w:r>
      <w:r>
        <w:t xml:space="preserve">from structure. They answer the exposure question, often well, and they say nothing about</w:t>
      </w:r>
      <w:r>
        <w:t xml:space="preserve"> </w:t>
      </w:r>
      <w:r>
        <w:t xml:space="preserve">pharmacology. The best-known heuristic in this family, the CNS multiparameter optimisation score, is</w:t>
      </w:r>
      <w:r>
        <w:t xml:space="preserve"> </w:t>
      </w:r>
      <w:r>
        <w:t xml:space="preserve">explicitly a desirability function over six physicochemical properties and was presented as a design</w:t>
      </w:r>
      <w:r>
        <w:t xml:space="preserve"> </w:t>
      </w:r>
      <w:r>
        <w:t xml:space="preserve">aid rather than a model of activity [7]. Used as intended it is valuable. Used as a proxy for central</w:t>
      </w:r>
      <w:r>
        <w:t xml:space="preserve"> </w:t>
      </w:r>
      <w:r>
        <w:t xml:space="preserve">activity it is a category error, since it contains no information about any 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, of which SwissTargetPrediction [40] is a widely used example, rank</w:t>
      </w:r>
      <w:r>
        <w:t xml:space="preserve"> </w:t>
      </w:r>
      <w:r>
        <w:t xml:space="preserve">probable protein targets for a submitted structure, typically by similarity to annotated ligands. They</w:t>
      </w:r>
      <w:r>
        <w:t xml:space="preserve"> </w:t>
      </w:r>
      <w:r>
        <w:t xml:space="preserve">answer the engagement question, and they are agnostic about whether the compound reaches the tissue in</w:t>
      </w:r>
      <w:r>
        <w:t xml:space="preserve"> </w:t>
      </w:r>
      <w:r>
        <w:t xml:space="preserve">which those targets sit. Similarity-based target prediction is a strong baseline and this thesis</w:t>
      </w:r>
      <w:r>
        <w:t xml:space="preserve"> </w:t>
      </w:r>
      <w:r>
        <w:t xml:space="preserve">treats it as such rather than as a straw man: a five-nearest-neighbour Tanimoto read-across is one of</w:t>
      </w:r>
      <w:r>
        <w:t xml:space="preserve"> </w:t>
      </w:r>
      <w:r>
        <w:t xml:space="preserve">the five model families benchmarked in Chapter 3, and the falsification suite shows it recovering the</w:t>
      </w:r>
      <w:r>
        <w:t xml:space="preserve"> </w:t>
      </w:r>
      <w:r>
        <w:t xml:space="preserve">correct target for 0.9726 of held-out compounds against 0.0587 for a frequency baseline when the</w:t>
      </w:r>
      <w:r>
        <w:t xml:space="preserve"> </w:t>
      </w:r>
      <w:r>
        <w:t xml:space="preserve">target family is represented in the index (</w:t>
      </w:r>
      <w:r>
        <w:rPr>
          <w:rStyle w:val="VerbatimChar"/>
        </w:rPr>
        <w:t xml:space="preserve">inversion/results/H5_readacross_value.csv</w:t>
      </w:r>
      <w:r>
        <w:t xml:space="preserve">). That is a</w:t>
      </w:r>
      <w:r>
        <w:t xml:space="preserve"> </w:t>
      </w:r>
      <w:r>
        <w:t xml:space="preserve">genuine capability. What it does not 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[3]. They are the exposure axis in isolation.</w:t>
      </w:r>
    </w:p>
    <w:p>
      <w:pPr>
        <w:pStyle w:val="BodyText"/>
      </w:pPr>
      <w:r>
        <w:t xml:space="preserve">None of these five servers couples exposure, target engagement and disease relevance in one</w:t>
      </w:r>
      <w:r>
        <w:t xml:space="preserve"> </w:t>
      </w:r>
      <w:r>
        <w:t xml:space="preserve">calibrated output, which is the gap the next section names directly.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[27], and an</w:t>
      </w:r>
      <w:r>
        <w:t xml:space="preserve"> </w:t>
      </w:r>
      <w:r>
        <w:t xml:space="preserve">applicability-domain distance [28]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[1], BindingDB</w:t>
      </w:r>
      <w:r>
        <w:t xml:space="preserve"> </w:t>
      </w:r>
      <w:r>
        <w:t xml:space="preserve">[2], B3DB [3], Therapeutics Data Commons [18] and MoleculeNet [19].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[29].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ten falsification hypotheses were refuted and two more weakened</w:t>
      </w:r>
      <w:r>
        <w:t xml:space="preserve"> </w:t>
      </w:r>
      <w:r>
        <w:t xml:space="preserve">and are reported as such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 And the barrier model’s advantage over a fitted rule on twelve descriptors, clear on the</w:t>
      </w:r>
      <w:r>
        <w:t xml:space="preserve"> </w:t>
      </w:r>
      <w:r>
        <w:t xml:space="preserve">training distribution, is not established on approved drugs the model has never seen, a tenth</w:t>
      </w:r>
      <w:r>
        <w:t xml:space="preserve"> </w:t>
      </w:r>
      <w:r>
        <w:t xml:space="preserve">hypothesis written after the suite itself noted that no test examined the one component every</w:t>
      </w:r>
      <w:r>
        <w:t xml:space="preserve"> </w:t>
      </w:r>
      <w:r>
        <w:t xml:space="preserve">disease score is gated by.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[22] over an ECFP-4 fingerprint</w:t>
      </w:r>
      <w:r>
        <w:t xml:space="preserve"> </w:t>
      </w:r>
      <w:r>
        <w:t xml:space="preserve">[20]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[1]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[29].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[2],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[25]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tables the</w:t>
      </w:r>
      <w:r>
        <w:t xml:space="preserve"> </w:t>
      </w:r>
      <w:r>
        <w:t xml:space="preserve">feature-vector overlap is the 15,104 rows already counted above, which is precisely what</w:t>
      </w:r>
      <w:r>
        <w:t xml:space="preserve"> </w:t>
      </w:r>
      <w:r>
        <w:t xml:space="preserve">deduplication removes. And across the panel, 52 targets were checked for scaffold overlap between</w:t>
      </w:r>
      <w:r>
        <w:t xml:space="preserve"> </w:t>
      </w:r>
      <w:r>
        <w:t xml:space="preserve">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[20],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[22]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[23],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 The</w:t>
      </w:r>
      <w:r>
        <w:t xml:space="preserve"> </w:t>
      </w:r>
      <w:r>
        <w:t xml:space="preserve">histogram-gradient-boosting figure is stated here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set, matching the</w:t>
      </w:r>
      <w:r>
        <w:t xml:space="preserve"> </w:t>
      </w:r>
      <w:r>
        <w:t xml:space="preserve">forest’s own weighting 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; an earlier run of this comparison left it</w:t>
      </w:r>
      <w:r>
        <w:t xml:space="preserve"> </w:t>
      </w:r>
      <w:r>
        <w:t xml:space="preserve">unweighted, the only family competing without one, which read 0.9149 and is corrected in the current</w:t>
      </w:r>
      <w:r>
        <w:t xml:space="preserve"> </w:t>
      </w:r>
      <w:r>
        <w:t xml:space="preserve">artefact.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0.9247.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[27]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table moved from the figures first computed for this chapter, for the same reason section 4.9</w:t>
      </w:r>
      <w:r>
        <w:rPr>
          <w:i/>
          <w:iCs/>
        </w:rPr>
        <w:t xml:space="preserve"> </w:t>
      </w:r>
      <w:r>
        <w:rPr>
          <w:i/>
          <w:iCs/>
        </w:rPr>
        <w:t xml:space="preserve">records: the</w:t>
      </w:r>
      <w:r>
        <w:rPr>
          <w:i/>
          <w:iCs/>
        </w:rPr>
        <w:t xml:space="preserve"> </w:t>
      </w:r>
      <w:r>
        <w:rPr>
          <w:i/>
          <w:iCs/>
        </w:rPr>
        <w:t xml:space="preserve">“unseen drugs”</w:t>
      </w:r>
      <w:r>
        <w:rPr>
          <w:i/>
          <w:iCs/>
        </w:rPr>
        <w:t xml:space="preserve"> </w:t>
      </w:r>
      <w:r>
        <w:rPr>
          <w:i/>
          <w:iCs/>
        </w:rPr>
        <w:t xml:space="preserve">comparator is the featuriser-corrected external set, and every row shifted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same small amount when it was recomputed against it. The comparison the table exists to make,</w:t>
      </w:r>
      <w:r>
        <w:rPr>
          <w:i/>
          <w:iCs/>
        </w:rPr>
        <w:t xml:space="preserve"> </w:t>
      </w:r>
      <w:r>
        <w:rPr>
          <w:i/>
          <w:iCs/>
        </w:rPr>
        <w:t xml:space="preserve">which measure separates best, is unaffected.</w:t>
      </w:r>
    </w:p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0.57 for unseen drugs against</w:t>
      </w:r>
      <w:r>
        <w:t xml:space="preserve"> </w:t>
      </w:r>
      <w:r>
        <w:t xml:space="preserve">0.47 for non-drug-like chemistry, over 25 controls, one-sided Mann-Whitney p = 1.82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 The unseen-drug figure itself has since moved once more, from 0.59 to 0.57, for the same</w:t>
      </w:r>
      <w:r>
        <w:t xml:space="preserve"> </w:t>
      </w:r>
      <w:r>
        <w:t xml:space="preserve">reason Chapter 8 records for the external barrier AUROC: the check scores the</w:t>
      </w:r>
      <w:r>
        <w:t xml:space="preserve"> </w:t>
      </w:r>
      <w:r>
        <w:t xml:space="preserve">“unseen drugs”</w:t>
      </w:r>
      <w:r>
        <w:t xml:space="preserve"> </w:t>
      </w:r>
      <w:r>
        <w:t xml:space="preserve">set</w:t>
      </w:r>
      <w:r>
        <w:t xml:space="preserve"> </w:t>
      </w:r>
      <w:r>
        <w:t xml:space="preserve">after the featuriser’s neutralisation fix excluded compounds it could no longer distinguish from</w:t>
      </w:r>
      <w:r>
        <w:t xml:space="preserve"> </w:t>
      </w:r>
      <w:r>
        <w:t xml:space="preserve">training, which is the corrected 227-compound population rather than the earlier 241. The verdict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directly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The defect described in section 5.8 has been corrected at the source: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 </w:t>
      </w:r>
      <w:r>
        <w:t xml:space="preserve">now stores the held-out figure on all 47 deployed endpoints, and</w:t>
      </w:r>
      <w:r>
        <w:t xml:space="preserve"> </w:t>
      </w:r>
      <w:r>
        <w:rPr>
          <w:rStyle w:val="VerbatimChar"/>
        </w:rPr>
        <w:t xml:space="preserve">sensitivity_reconciliation.csv</w:t>
      </w:r>
      <w:r>
        <w:t xml:space="preserve"> </w:t>
      </w:r>
      <w:r>
        <w:t xml:space="preserve">reports a gap of exactly zero across the panel. The fix was made in the script that computes the</w:t>
      </w:r>
      <w:r>
        <w:t xml:space="preserve"> </w:t>
      </w:r>
      <w:r>
        <w:t xml:space="preserve">figure rather than by patching the stored value, because the same correction had been applied once</w:t>
      </w:r>
      <w:r>
        <w:t xml:space="preserve"> </w:t>
      </w:r>
      <w:r>
        <w:t xml:space="preserve">before by hand, reaching a mean of 0.7513, and was then silently undone the next time the calibration</w:t>
      </w:r>
      <w:r>
        <w:t xml:space="preserve"> </w:t>
      </w:r>
      <w:r>
        <w:t xml:space="preserve">stage ran. Section 5.8 is retained as the record of how the defect was found; the figures below are</w:t>
      </w:r>
      <w:r>
        <w:t xml:space="preserve"> </w:t>
      </w:r>
      <w:r>
        <w:t xml:space="preserve">the current, published ones.</w:t>
      </w:r>
    </w:p>
    <w:p>
      <w:pPr>
        <w:pStyle w:val="BodyText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[31], Reactome [32] and IUPHAR [33].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before the neutralisation retrain, and every base rate except</w:t>
      </w:r>
      <w:r>
        <w:t xml:space="preserve"> </w:t>
      </w:r>
      <w:r>
        <w:t xml:space="preserve">the barrier model’s was too high. All eight have since been corrected: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0.7666 on genuinely unseen approved drugs is a substantial drop from the 0.8777 the</w:t>
      </w:r>
      <w:r>
        <w:t xml:space="preserve"> </w:t>
      </w:r>
      <w:r>
        <w:t xml:space="preserve">scaffold split reports for BBB, and it is the most honest single number in this thesis about the</w:t>
      </w:r>
      <w:r>
        <w:t xml:space="preserve"> </w:t>
      </w:r>
      <w:r>
        <w:t xml:space="preserve">barrier 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rPr>
          <w:b/>
          <w:bCs/>
        </w:rPr>
        <w:t xml:space="preserve">The label-permutation null now has an artefact behind it.</w:t>
      </w:r>
      <w:r>
        <w:t xml:space="preserve"> </w:t>
      </w:r>
      <w:r>
        <w:t xml:space="preserve">The technical report had previously</w:t>
      </w:r>
      <w:r>
        <w:t xml:space="preserve"> </w:t>
      </w:r>
      <w:r>
        <w:t xml:space="preserve">stated that with labels permuted the same pipeline returns a mean AUROC of 0.4938 random and 0.4921</w:t>
      </w:r>
      <w:r>
        <w:t xml:space="preserve"> </w:t>
      </w:r>
      <w:r>
        <w:t xml:space="preserve">scaffold, a figure hard-coded in the report generator with no file in the repository holding it; a</w:t>
      </w:r>
      <w:r>
        <w:t xml:space="preserve"> </w:t>
      </w:r>
      <w:r>
        <w:t xml:space="preserve">further claim that an independent re-run reproduced 26 core values to within 4.7 × 10⁻⁵ had no script</w:t>
      </w:r>
      <w:r>
        <w:t xml:space="preserve"> </w:t>
      </w:r>
      <w:r>
        <w:t xml:space="preserve">or artefact behind it at all and is not repeated here. The label-permutation null is the single</w:t>
      </w:r>
      <w:r>
        <w:t xml:space="preserve"> </w:t>
      </w:r>
      <w:r>
        <w:t xml:space="preserve">strongest piece of evidence that the cross-validation is not inflated by leakage, and it is computed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from the same featuriser, deduplication and fold</w:t>
      </w:r>
      <w:r>
        <w:t xml:space="preserve"> </w:t>
      </w:r>
      <w:r>
        <w:t xml:space="preserve">objects as the deployed pipeline, over the eight core classifiers, and written to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: mean AUROC 0.4959 random and 0.5026 scaffold, every one of</w:t>
      </w:r>
      <w:r>
        <w:t xml:space="preserve"> </w:t>
      </w:r>
      <w:r>
        <w:t xml:space="preserve">sixteen values within 0.020 of chance. The two sets of figures corroborate rather than exactly</w:t>
      </w:r>
      <w:r>
        <w:t xml:space="preserve"> </w:t>
      </w:r>
      <w:r>
        <w:t xml:space="preserve">reproduce one another, sitting 0.0021 and 0.0105 apart, which is the size of the sampling noise a</w:t>
      </w:r>
      <w:r>
        <w:t xml:space="preserve"> </w:t>
      </w:r>
      <w:r>
        <w:t xml:space="preserve">single permutation per endpoint carries. Chapter 9 section 9.7 gives the full derivation; this thesis</w:t>
      </w:r>
      <w:r>
        <w:t xml:space="preserve"> </w:t>
      </w:r>
      <w:r>
        <w:t xml:space="preserve">quotes the artefact’s figures throughout, not the technical report’s.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ten-hypotheses"/>
    <w:p>
      <w:pPr>
        <w:pStyle w:val="Heading2"/>
      </w:pPr>
      <w:r>
        <w:t xml:space="preserve">9.3 The ten hypotheses</w:t>
      </w:r>
    </w:p>
    <w:p>
      <w:pPr>
        <w:pStyle w:val="FirstParagraph"/>
      </w:pPr>
      <w:r>
        <w:t xml:space="preserve">Four hypotheses were refuted, four supported and two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The barrier model earns its place over a descriptor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</w:t>
            </w:r>
          </w:p>
        </w:tc>
      </w:tr>
    </w:tbl>
    <w:p>
      <w:pPr>
        <w:pStyle w:val="BodyText"/>
      </w:pPr>
      <w:r>
        <w:t xml:space="preserve">H10 is argued in full in Chapter 10 rather than here, because the null it requires, that a fitted</w:t>
      </w:r>
      <w:r>
        <w:t xml:space="preserve"> </w:t>
      </w:r>
      <w:r>
        <w:t xml:space="preserve">rule over the twelve descriptors alone ranks compounds as well as the deployed forest, needs the</w:t>
      </w:r>
      <w:r>
        <w:t xml:space="preserve"> </w:t>
      </w:r>
      <w:r>
        <w:t xml:space="preserve">barrier-necessity comparison Chapter 10 builds. Section 9.9 below discusses what H10 covers and what</w:t>
      </w:r>
      <w:r>
        <w:t xml:space="preserve"> </w:t>
      </w:r>
      <w:r>
        <w:t xml:space="preserve">it leaves open.</w:t>
      </w:r>
    </w:p>
    <w:p>
      <w:pPr>
        <w:pStyle w:val="BodyText"/>
      </w:pPr>
      <w:r>
        <w:t xml:space="preserve">Eight of the ten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to specific corrections in the artefacts and the interface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The source, the interface and the manuscript now</w:t>
      </w:r>
      <w:r>
        <w:t xml:space="preserve"> </w:t>
      </w:r>
      <w:r>
        <w:t xml:space="preserve">describe them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wording was corrected wherever it appeared alongside the H2 relabelling above.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Following from the H7 line of enquiry, the panel was</w:t>
      </w:r>
      <w:r>
        <w:t xml:space="preserve"> </w:t>
      </w:r>
      <w:r>
        <w:t xml:space="preserve">expanded where it had been measured to be weakest, and an endpoint that was firing on sugar was</w:t>
      </w:r>
      <w:r>
        <w:t xml:space="preserve"> </w:t>
      </w:r>
      <w:r>
        <w:t xml:space="preserve">withdrawn.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One repair made the inversion checks capable of failing, after finding that some could not have</w:t>
      </w:r>
      <w:r>
        <w:t xml:space="preserve"> </w:t>
      </w:r>
      <w:r>
        <w:t xml:space="preserve">returned a negative result. The other restricted H1 to compounds that are training actives of no</w:t>
      </w:r>
      <w:r>
        <w:t xml:space="preserve"> </w:t>
      </w:r>
      <w:r>
        <w:t xml:space="preserve">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ten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 are identified here. None changes a verdict. Together they describe a suite that was</w:t>
      </w:r>
      <w:r>
        <w:t xml:space="preserve"> </w:t>
      </w:r>
      <w:r>
        <w:t xml:space="preserve">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same defect class already found</w:t>
      </w:r>
      <w:r>
        <w:t xml:space="preserve"> </w:t>
      </w:r>
      <w:r>
        <w:t xml:space="preserve">and repaired in the reliability gate, which had lived in six places and disagreed with itself in</w:t>
      </w:r>
      <w:r>
        <w:t xml:space="preserve"> </w:t>
      </w:r>
      <w:r>
        <w:t xml:space="preserve">three.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t xml:space="preserve">Items 3, 4 and 5 below have since been repaired. They are retained as found rather than removed,</w:t>
      </w:r>
      <w:r>
        <w:t xml:space="preserve"> </w:t>
      </w:r>
      <w:r>
        <w:t xml:space="preserve">because the record of a defect and the record of its repair are both evidence, and because the</w:t>
      </w:r>
      <w:r>
        <w:t xml:space="preserve"> </w:t>
      </w:r>
      <w:r>
        <w:t xml:space="preserve">repair of item 4 turned up something worse than had originally been noticed; each item states what</w:t>
      </w:r>
      <w:r>
        <w:t xml:space="preserve"> </w:t>
      </w:r>
      <w:r>
        <w:t xml:space="preserve">changed immediately after describing the original defect.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t xml:space="preserve">The comment has been corrected. It now states the current triple over 7,008 compounds and records</w:t>
      </w:r>
      <w:r>
        <w:t xml:space="preserve"> </w:t>
      </w:r>
      <w:r>
        <w:t xml:space="preserve">what it used to say and why the wrong denominator survived: 15,609 agrees with the H2 accuracy to</w:t>
      </w:r>
      <w:r>
        <w:t xml:space="preserve"> </w:t>
      </w:r>
      <w:r>
        <w:t xml:space="preserve">three decimals, so 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t xml:space="preserve">The repair found a worse defect than the one described above.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t xml:space="preserve">This was repaired without re-running the sequence. The dilemma above was real and the resolution is</w:t>
      </w:r>
      <w:r>
        <w:t xml:space="preserve"> </w:t>
      </w:r>
      <w:r>
        <w:t xml:space="preserve">narrower than either horn of it. Four of the file’s six columns were already correct; only the two</w:t>
      </w:r>
      <w:r>
        <w:t xml:space="preserve"> </w:t>
      </w:r>
      <w:r>
        <w:t xml:space="preserve">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 are worth stating plainly, because the suite is the strongest evidence in this thesis</w:t>
      </w:r>
      <w:r>
        <w:t xml:space="preserve"> </w:t>
      </w:r>
      <w:r>
        <w:t xml:space="preserve">and overreading it 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ten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H8, H9 and H10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</w:t>
      </w:r>
      <w:r>
        <w:t xml:space="preserve"> </w:t>
      </w:r>
      <w:r>
        <w:t xml:space="preserve">returned a result its author judged unfairly scored. Four of the ten hypotheses exist because</w:t>
      </w:r>
      <w:r>
        <w:t xml:space="preserve"> </w:t>
      </w:r>
      <w:r>
        <w:t xml:space="preserve">earlier ones produced surprises, which is the right way for a suite to grow and also an admission</w:t>
      </w:r>
      <w:r>
        <w:t xml:space="preserve"> </w:t>
      </w:r>
      <w:r>
        <w:t xml:space="preserve">that its initial coverage was set by intuition.</w:t>
      </w:r>
    </w:p>
    <w:p>
      <w:pPr>
        <w:pStyle w:val="BodyText"/>
      </w:pPr>
      <w:r>
        <w:rPr>
          <w:b/>
          <w:bCs/>
        </w:rPr>
        <w:t xml:space="preserve">H10 tests the one component the earlier nine did not: the barrier classifier itself.</w:t>
      </w:r>
      <w:r>
        <w:t xml:space="preserve"> </w:t>
      </w:r>
      <w:r>
        <w:t xml:space="preserve">H1, H2, H3,</w:t>
      </w:r>
      <w:r>
        <w:t xml:space="preserve"> </w:t>
      </w:r>
      <w:r>
        <w:t xml:space="preserve">H6 and H9 test the disease layer; H5 tests read-across; H7 and H8 test the target panel; H4 tests</w:t>
      </w:r>
      <w:r>
        <w:t xml:space="preserve"> </w:t>
      </w:r>
      <w:r>
        <w:t xml:space="preserve">system-level specificity. Before H10 the only evidence for the barrier model was the external set in</w:t>
      </w:r>
      <w:r>
        <w:t xml:space="preserve"> </w:t>
      </w:r>
      <w:r>
        <w:t xml:space="preserve">Chapter 8, AUROC 0.7666 on 227 unseen drugs, which is a validation rather than an attempt at</w:t>
      </w:r>
      <w:r>
        <w:t xml:space="preserve"> </w:t>
      </w:r>
      <w:r>
        <w:t xml:space="preserve">falsification. H10 poses the sharper question: whether a fitted rule over the twelve descriptors</w:t>
      </w:r>
      <w:r>
        <w:t xml:space="preserve"> </w:t>
      </w:r>
      <w:r>
        <w:t xml:space="preserve">already in the feature vector ranks compounds as well as the deployed forest does. It could not be</w:t>
      </w:r>
      <w:r>
        <w:t xml:space="preserve"> </w:t>
      </w:r>
      <w:r>
        <w:t xml:space="preserve">dismissed. Read on the scaffold hold-out the fingerprint wins outright; read on 227 approved drugs</w:t>
      </w:r>
      <w:r>
        <w:t xml:space="preserve"> </w:t>
      </w:r>
      <w:r>
        <w:t xml:space="preserve">the model has never seen, its bootstrap interval crosses zero against the descriptor-only forest, so</w:t>
      </w:r>
      <w:r>
        <w:t xml:space="preserve"> </w:t>
      </w:r>
      <w:r>
        <w:t xml:space="preserve">the verdict is WEAKENED rather than the SUPPORTED a point estimate alone would have given it. Chapter</w:t>
      </w:r>
      <w:r>
        <w:t xml:space="preserve"> </w:t>
      </w:r>
      <w:r>
        <w:t xml:space="preserve">10 section 10.3 has the full comparison; one qualification carries back here. H10 tests the barrier</w:t>
      </w:r>
      <w:r>
        <w:t xml:space="preserve"> </w:t>
      </w:r>
      <w:r>
        <w:t xml:space="preserve">model’s contribution to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it produces, not its role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gate</w:t>
      </w:r>
      <w:r>
        <w:t xml:space="preserve">: whether replacing the probability with a descriptor rule would change which</w:t>
      </w:r>
      <w:r>
        <w:t xml:space="preserve"> </w:t>
      </w:r>
      <w:r>
        <w:t xml:space="preserve">compounds clear the 0.30 reporting threshold is a further, more directly user-relevant question that</w:t>
      </w:r>
      <w:r>
        <w:t xml:space="preserve"> </w:t>
      </w:r>
      <w:r>
        <w:t xml:space="preserve">remains open.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 or weakened.</w:t>
      </w:r>
      <w:r>
        <w:t xml:space="preserve"> </w:t>
      </w:r>
      <w:r>
        <w:t xml:space="preserve">Four of ten central claims did not survive and two more were downgraded.</w:t>
      </w:r>
      <w:r>
        <w:t xml:space="preserve"> </w:t>
      </w:r>
      <w:r>
        <w:t xml:space="preserve">Two of the refutations changed how the system is described, one changed the interface, and one</w:t>
      </w:r>
      <w:r>
        <w:t xml:space="preserve"> </w:t>
      </w:r>
      <w:r>
        <w:t xml:space="preserve">contributed to withdrawing four endpoints that were firing on glucose, urea and lactate; H10</w:t>
      </w:r>
      <w:r>
        <w:t xml:space="preserve"> </w:t>
      </w:r>
      <w:r>
        <w:t xml:space="preserve">downgraded a comparison that would otherwise have been reported as a clean win for the deployed</w:t>
      </w:r>
      <w:r>
        <w:t xml:space="preserve"> </w:t>
      </w:r>
      <w:r>
        <w:t xml:space="preserve">fingerprint.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0.57 for unseen drugs against 0.47 for</w:t>
      </w:r>
      <w:r>
        <w:t xml:space="preserve"> </w:t>
      </w:r>
      <w:r>
        <w:t xml:space="preserve">non-drug-like controls (n = 25, Mann-Whitney p = 1.82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Twelve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registry now holds the held-out figure on all 47 endpoints, with a reconciliation gap of +0.000 against the prose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rates, now corrected; the change is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argued in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 described: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jointly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quoted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the values used to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held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unique-compound count of 169,341, keyed by InChIKey of the desalted parent, had never been re-derived</w:t>
            </w:r>
          </w:p>
        </w:tc>
        <w:tc>
          <w:tcPr/>
          <w:p>
            <w:pPr>
              <w:pStyle w:val="Compact"/>
            </w:pPr>
            <w:r>
              <w:t xml:space="preserve">1, 2, 10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src/brainsafe/evaluation/unique_compound_count.py</w:t>
            </w:r>
            <w:r>
              <w:t xml:space="preserve"> </w:t>
            </w:r>
            <w:r>
              <w:t xml:space="preserve">computes it directly from the endpoint tables and reproduces it to the digit: 170,619 distinct SMILES, 2 unparseable, 169,341 distinct InChIKeys of the desalted, neutralised parent (</w:t>
            </w:r>
            <w:r>
              <w:rPr>
                <w:rStyle w:val="VerbatimChar"/>
              </w:rPr>
              <w:t xml:space="preserve">results/tables/unique_compound_count.csv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carried two open citation gaps, for a CNS attrition series and for the named comparison servers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Both resolved through the same CrossRef verification pipeline as the rest of the reference list: reference [4] for CNS-specific attrition, and references [36]-[40] for SwissADME, ADMETlab, pkCSM, admetSAR and SwissTargetPrediction</w:t>
            </w:r>
          </w:p>
        </w:tc>
      </w:tr>
    </w:tbl>
    <w:p>
      <w:pPr>
        <w:pStyle w:val="BodyText"/>
      </w:pPr>
      <w:r>
        <w:t xml:space="preserve">One of these resolutions deserves a further sentence, because Chapter 9 posed it as a dilemma and the</w:t>
      </w:r>
      <w:r>
        <w:t xml:space="preserve"> </w:t>
      </w:r>
      <w:r>
        <w:t xml:space="preserve">resolution is narrower than either horn. Four of the specificity file’s six columns were already</w:t>
      </w:r>
      <w:r>
        <w:t xml:space="preserve"> </w:t>
      </w:r>
      <w:r>
        <w:t xml:space="preserve">correct; only the two reported ones were stale, so refreshing those two from the registry avoids</w:t>
      </w:r>
      <w:r>
        <w:t xml:space="preserve"> </w:t>
      </w:r>
      <w:r>
        <w:t xml:space="preserve">re-running the sequence that would rewrite every operating threshold to correct a reported one. And</w:t>
      </w:r>
      <w:r>
        <w:t xml:space="preserve"> </w:t>
      </w:r>
      <w:r>
        <w:t xml:space="preserve">the version a reviewer holds was corrected at the same time as the local one, which is the part that</w:t>
      </w:r>
      <w:r>
        <w:t xml:space="preserve"> </w:t>
      </w:r>
      <w:r>
        <w:t xml:space="preserve">mattered:</w:t>
      </w:r>
      <w:r>
        <w:t xml:space="preserve"> </w:t>
      </w:r>
      <w:r>
        <w:rPr>
          <w:b/>
          <w:bCs/>
        </w:rPr>
        <w:t xml:space="preserve">the disagreement was visible to reviewers before it was visible to the authors.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2026-09-16T02:41:04Z</dcterms:created>
  <dcterms:modified xsi:type="dcterms:W3CDTF">2026-09-16T02:41:04Z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