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 [4].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[5].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[17].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[6].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, among them SwissADME [36], ADMETlab [37], pkCSM [38] and</w:t>
      </w:r>
      <w:r>
        <w:t xml:space="preserve"> </w:t>
      </w:r>
      <w:r>
        <w:t xml:space="preserve">admetSAR [39], estimate barrier penetration, permeability, efflux liability and related properties</w:t>
      </w:r>
      <w:r>
        <w:t xml:space="preserve"> </w:t>
      </w:r>
      <w:r>
        <w:t xml:space="preserve">from structure. They answer the exposure question, often well, and they say nothing about</w:t>
      </w:r>
      <w:r>
        <w:t xml:space="preserve"> </w:t>
      </w:r>
      <w:r>
        <w:t xml:space="preserve">pharmacology. The best-known heuristic in this family, the CNS multiparameter optimisation score, is</w:t>
      </w:r>
      <w:r>
        <w:t xml:space="preserve"> </w:t>
      </w:r>
      <w:r>
        <w:t xml:space="preserve">explicitly a desirability function over six physicochemical properties and was presented as a design</w:t>
      </w:r>
      <w:r>
        <w:t xml:space="preserve"> </w:t>
      </w:r>
      <w:r>
        <w:t xml:space="preserve">aid rather than a model of activity [7]. Used as intended it is valuable. Used as a proxy for central</w:t>
      </w:r>
      <w:r>
        <w:t xml:space="preserve"> </w:t>
      </w:r>
      <w:r>
        <w:t xml:space="preserve">activity it is a category error, since it contains no information about any 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, of which SwissTargetPrediction [40] is a widely used example, rank</w:t>
      </w:r>
      <w:r>
        <w:t xml:space="preserve"> </w:t>
      </w:r>
      <w:r>
        <w:t xml:space="preserve">probable protein targets for a submitted structure, typically by similarity to annotated ligands. They</w:t>
      </w:r>
      <w:r>
        <w:t xml:space="preserve"> </w:t>
      </w:r>
      <w:r>
        <w:t xml:space="preserve">answer the engagement question, and they are agnostic about whether the compound reaches the tissue in</w:t>
      </w:r>
      <w:r>
        <w:t xml:space="preserve"> </w:t>
      </w:r>
      <w:r>
        <w:t xml:space="preserve">which those targets sit. Similarity-based target prediction is a strong baseline and this thesis</w:t>
      </w:r>
      <w:r>
        <w:t xml:space="preserve"> </w:t>
      </w:r>
      <w:r>
        <w:t xml:space="preserve">treats it as such rather than as a straw man: a five-nearest-neighbour Tanimoto read-across is one of</w:t>
      </w:r>
      <w:r>
        <w:t xml:space="preserve"> </w:t>
      </w:r>
      <w:r>
        <w:t xml:space="preserve">the five model families benchmarked in Chapter 3, and the falsification suite shows it recovering the</w:t>
      </w:r>
      <w:r>
        <w:t xml:space="preserve"> </w:t>
      </w:r>
      <w:r>
        <w:t xml:space="preserve">correct target for 0.9726 of held-out compounds against 0.0587 for a frequency baseline when the</w:t>
      </w:r>
      <w:r>
        <w:t xml:space="preserve"> </w:t>
      </w:r>
      <w:r>
        <w:t xml:space="preserve">target family is represented in the index (</w:t>
      </w:r>
      <w:r>
        <w:rPr>
          <w:rStyle w:val="VerbatimChar"/>
        </w:rPr>
        <w:t xml:space="preserve">inversion/results/H5_readacross_value.csv</w:t>
      </w:r>
      <w:r>
        <w:t xml:space="preserve">). That is a</w:t>
      </w:r>
      <w:r>
        <w:t xml:space="preserve"> </w:t>
      </w:r>
      <w:r>
        <w:t xml:space="preserve">genuine capability. What it does not 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[3]. They are the exposure axis in isolation.</w:t>
      </w:r>
    </w:p>
    <w:p>
      <w:pPr>
        <w:pStyle w:val="BodyText"/>
      </w:pPr>
      <w:r>
        <w:t xml:space="preserve">None of these five servers couples exposure, target engagement and disease relevance in one</w:t>
      </w:r>
      <w:r>
        <w:t xml:space="preserve"> </w:t>
      </w:r>
      <w:r>
        <w:t xml:space="preserve">calibrated output, which is the gap the next section names directly.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[27], and an</w:t>
      </w:r>
      <w:r>
        <w:t xml:space="preserve"> </w:t>
      </w:r>
      <w:r>
        <w:t xml:space="preserve">applicability-domain distance [28]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[1], BindingDB</w:t>
      </w:r>
      <w:r>
        <w:t xml:space="preserve"> </w:t>
      </w:r>
      <w:r>
        <w:t xml:space="preserve">[2], B3DB [3], Therapeutics Data Commons [18] and MoleculeNet [19].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[29].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ten falsification hypotheses were refuted and two more weakened</w:t>
      </w:r>
      <w:r>
        <w:t xml:space="preserve"> </w:t>
      </w:r>
      <w:r>
        <w:t xml:space="preserve">and are reported as such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 And the barrier model’s advantage over a fitted rule on twelve descriptors, clear on the</w:t>
      </w:r>
      <w:r>
        <w:t xml:space="preserve"> </w:t>
      </w:r>
      <w:r>
        <w:t xml:space="preserve">training distribution, is not established on approved drugs the model has never seen, a tenth</w:t>
      </w:r>
      <w:r>
        <w:t xml:space="preserve"> </w:t>
      </w:r>
      <w:r>
        <w:t xml:space="preserve">hypothesis written after the suite itself noted that no test examined the one component every</w:t>
      </w:r>
      <w:r>
        <w:t xml:space="preserve"> </w:t>
      </w:r>
      <w:r>
        <w:t xml:space="preserve">disease score is gated by.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[22] over an ECFP-4 fingerprint</w:t>
      </w:r>
      <w:r>
        <w:t xml:space="preserve"> </w:t>
      </w:r>
      <w:r>
        <w:t xml:space="preserve">[20]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2026-09-16T02:40:59Z</dcterms:created>
  <dcterms:modified xsi:type="dcterms:W3CDTF">2026-09-16T02:40:59Z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