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Twelve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registry now holds the held-out figure on all 47 endpoints, with a reconciliation gap of +0.000 against the prose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rates, now corrected; the change is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argued in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 described: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jointly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quoted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the values used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held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carried two open citation gaps, for a CNS attrition series and for the named comparison servers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Both resolved through the same CrossRef verification pipeline as the rest of the reference list: reference [4] for CNS-specific attrition, and references [36]-[40] for SwissADME, ADMETlab, pkCSM, admetSAR and SwissTargetPrediction</w:t>
            </w:r>
          </w:p>
        </w:tc>
      </w:tr>
    </w:tbl>
    <w:p>
      <w:pPr>
        <w:pStyle w:val="BodyText"/>
      </w:pPr>
      <w:r>
        <w:t xml:space="preserve">One of these resolutions deserves a further sentence, because Chapter 9 posed it as a dilemma and the</w:t>
      </w:r>
      <w:r>
        <w:t xml:space="preserve"> </w:t>
      </w:r>
      <w:r>
        <w:t xml:space="preserve">resolution is narrower than either horn. Four of the specificity file’s six columns were already</w:t>
      </w:r>
      <w:r>
        <w:t xml:space="preserve"> </w:t>
      </w:r>
      <w:r>
        <w:t xml:space="preserve">correct; only the two reported ones were stale, so refreshing those two from the registry avoids</w:t>
      </w:r>
      <w:r>
        <w:t xml:space="preserve"> </w:t>
      </w:r>
      <w:r>
        <w:t xml:space="preserve">re-running the sequence that would rewrite every operating threshold to correct a reported one. And</w:t>
      </w:r>
      <w:r>
        <w:t xml:space="preserve"> </w:t>
      </w:r>
      <w:r>
        <w:t xml:space="preserve">the version a reviewer holds was corrected at the same time as the local one, which is the part that</w:t>
      </w:r>
      <w:r>
        <w:t xml:space="preserve"> </w:t>
      </w:r>
      <w:r>
        <w:t xml:space="preserve">mattered:</w:t>
      </w:r>
      <w:r>
        <w:t xml:space="preserve"> </w:t>
      </w:r>
      <w:r>
        <w:rPr>
          <w:b/>
          <w:bCs/>
        </w:rPr>
        <w:t xml:space="preserve">the disagreement was visible to reviewers before it was visible to the authors.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2026-09-16T02:41:02Z</dcterms:created>
  <dcterms:modified xsi:type="dcterms:W3CDTF">2026-09-16T02:41:02Z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