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0.7666</w:t>
      </w:r>
      <w:r>
        <w:t xml:space="preserve"> </w:t>
      </w:r>
      <w:r>
        <w:t xml:space="preserve">on</w:t>
      </w:r>
      <w:r>
        <w:t xml:space="preserve"> </w:t>
      </w:r>
      <w:r>
        <w:t xml:space="preserve">the 227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227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stereoisomers, salts and protonation states and the featuriser does not. The 79 compounds</w:t>
      </w:r>
      <w:r>
        <w:t xml:space="preserve"> </w:t>
      </w:r>
      <w:r>
        <w:t xml:space="preserve">that are feature-identical to a training compound are memorisation and are removed.</w:t>
      </w:r>
    </w:p>
    <w:p>
      <w:pPr>
        <w:pStyle w:val="BodyText"/>
      </w:pPr>
      <w:r>
        <w:rPr>
          <w:i/>
          <w:iCs/>
        </w:rPr>
        <w:t xml:space="preserve">And the honest conclusion, which is not the one this section previously drew.</w:t>
      </w:r>
      <w:r>
        <w:t xml:space="preserve"> </w:t>
      </w:r>
      <w:r>
        <w:t xml:space="preserve">An earlier edition</w:t>
      </w:r>
      <w:r>
        <w:t xml:space="preserve"> </w:t>
      </w:r>
      <w:r>
        <w:t xml:space="preserve">reported 0.7934 on 241 compounds and read the gap from 0.7645 as the size of the memorisation effect,</w:t>
      </w:r>
      <w:r>
        <w:t xml:space="preserve"> </w:t>
      </w:r>
      <w:r>
        <w:t xml:space="preserve">implying that filtering for novelty had revealed a better model. It had not. The flag defining that</w:t>
      </w:r>
      <w:r>
        <w:t xml:space="preserve"> </w:t>
      </w:r>
      <w:r>
        <w:t xml:space="preserve">set was computed before the featuriser began neutralising charges, so fourteen compounds it called</w:t>
      </w:r>
      <w:r>
        <w:t xml:space="preserve"> </w:t>
      </w:r>
      <w:r>
        <w:t xml:space="preserve">novel were feature-identical to a training row by the time the model was fitted, and they scored like</w:t>
      </w:r>
      <w:r>
        <w:t xml:space="preserve"> </w:t>
      </w:r>
      <w:r>
        <w:t xml:space="preserve">it: 92.9 per cent accuracy against 72.2 on the rest. With the flag recomputed, the strictly novel</w:t>
      </w:r>
      <w:r>
        <w:t xml:space="preserve"> </w:t>
      </w:r>
      <w:r>
        <w:t xml:space="preserve">figure is</w:t>
      </w:r>
      <w:r>
        <w:t xml:space="preserve"> </w:t>
      </w:r>
      <w:r>
        <w:rPr>
          <w:b/>
          <w:bCs/>
        </w:rPr>
        <w:t xml:space="preserve">0.7666 against 0.7645 for the unfiltered 306</w:t>
      </w:r>
      <w:r>
        <w:t xml:space="preserve">, a difference of 0.0021.</w:t>
      </w:r>
    </w:p>
    <w:p>
      <w:pPr>
        <w:pStyle w:val="BodyText"/>
      </w:pPr>
      <w:r>
        <w:t xml:space="preserve">So novelty filtering does not improve the external result; it leaves it where it was. That is the</w:t>
      </w:r>
      <w:r>
        <w:t xml:space="preserve"> </w:t>
      </w:r>
      <w:r>
        <w:t xml:space="preserve">more defensible claim, because it is a claim about the model rather than about the filter, and it</w:t>
      </w:r>
      <w:r>
        <w:t xml:space="preserve"> </w:t>
      </w:r>
      <w:r>
        <w:t xml:space="preserve">removes the objection that the external figure was selected by a criterion tuned after the fact. The</w:t>
      </w:r>
      <w:r>
        <w:t xml:space="preserve"> </w:t>
      </w:r>
      <w:r>
        <w:t xml:space="preserve">0.7645 on all 306 and the 0.7666 on the 227 now say the same thing, which is what a genuine external</w:t>
      </w:r>
      <w:r>
        <w:t xml:space="preserve"> </w:t>
      </w:r>
      <w:r>
        <w:t xml:space="preserve">result should look like.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2026-09-16T02:41:03Z</dcterms:created>
  <dcterms:modified xsi:type="dcterms:W3CDTF">2026-09-16T02:41:03Z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