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dcea071ac0271f121eb4eadf09aeaad1f11694"/>
    <w:p>
      <w:pPr>
        <w:pStyle w:val="Heading1"/>
      </w:pPr>
      <w:r>
        <w:t xml:space="preserve">External audit of the BrainSafe AI codebase</w:t>
      </w:r>
    </w:p>
    <w:p>
      <w:pPr>
        <w:pStyle w:val="BlockText"/>
      </w:pPr>
      <w:r>
        <w:t xml:space="preserve">Written as an external auditor, on 7 September 2026, against commit</w:t>
      </w:r>
      <w:r>
        <w:t xml:space="preserve"> </w:t>
      </w:r>
      <w:r>
        <w:rPr>
          <w:rStyle w:val="VerbatimChar"/>
        </w:rPr>
        <w:t xml:space="preserve">d25245b</w:t>
      </w:r>
      <w:r>
        <w:t xml:space="preserve">. Every number in this</w:t>
      </w:r>
      <w:r>
        <w:t xml:space="preserve"> </w:t>
      </w:r>
      <w:r>
        <w:t xml:space="preserve">report was read from a file in this repository during the audit or produced by a script written</w:t>
      </w:r>
      <w:r>
        <w:t xml:space="preserve"> </w:t>
      </w:r>
      <w:r>
        <w:t xml:space="preserve">during it; none is quoted from the manuscript, from a figure, or from memory. Where I reproduced a</w:t>
      </w:r>
      <w:r>
        <w:t xml:space="preserve"> </w:t>
      </w:r>
      <w:r>
        <w:t xml:space="preserve">published result independently I say so and give both numbers. Where I formed a suspicion that the</w:t>
      </w:r>
      <w:r>
        <w:t xml:space="preserve"> </w:t>
      </w:r>
      <w:r>
        <w:t xml:space="preserve">evidence then refuted, I have kept the suspicion in the report rather than deleting it, because a</w:t>
      </w:r>
      <w:r>
        <w:t xml:space="preserve"> </w:t>
      </w:r>
      <w:r>
        <w:t xml:space="preserve">list containing only confirmed faults tells the reader nothing about how hard anyone looked.</w:t>
      </w:r>
    </w:p>
    <w:bookmarkStart w:id="9" w:name="scope-and-method"/>
    <w:p>
      <w:pPr>
        <w:pStyle w:val="Heading2"/>
      </w:pPr>
      <w:r>
        <w:t xml:space="preserve">1. Scope and method</w:t>
      </w:r>
    </w:p>
    <w:p>
      <w:pPr>
        <w:pStyle w:val="FirstParagraph"/>
      </w:pPr>
      <w:r>
        <w:t xml:space="preserve">The live codebase is</w:t>
      </w:r>
      <w:r>
        <w:t xml:space="preserve"> </w:t>
      </w:r>
      <w:r>
        <w:rPr>
          <w:b/>
          <w:bCs/>
        </w:rPr>
        <w:t xml:space="preserve">197 Python files</w:t>
      </w:r>
      <w:r>
        <w:t xml:space="preserve"> </w:t>
      </w:r>
      <w:r>
        <w:t xml:space="preserve">once the environment, the packaged copies under</w:t>
      </w:r>
      <w:r>
        <w:t xml:space="preserve"> </w:t>
      </w:r>
      <w:r>
        <w:rPr>
          <w:rStyle w:val="VerbatimChar"/>
        </w:rPr>
        <w:t xml:space="preserve">submission_package/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reviewer_package/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_ARCHIVE_2026-08-10_Brainsafe/</w:t>
      </w:r>
      <w:r>
        <w:t xml:space="preserve"> </w:t>
      </w:r>
      <w:r>
        <w:t xml:space="preserve">legacy tree</w:t>
      </w:r>
      <w:r>
        <w:t xml:space="preserve"> </w:t>
      </w:r>
      <w:r>
        <w:t xml:space="preserve">are excluded. The audit covered all of them by inspection, and concentrated on the scientifically</w:t>
      </w:r>
      <w:r>
        <w:t xml:space="preserve"> </w:t>
      </w:r>
      <w:r>
        <w:t xml:space="preserve">load-bearing subset: data curation (33 files), featurisation (2), model fitting (18), evaluation (33),</w:t>
      </w:r>
      <w:r>
        <w:t xml:space="preserve"> </w:t>
      </w:r>
      <w:r>
        <w:t xml:space="preserve">the falsification suite (10), the reproduction ladder (7), the independent evidence checks (5), and</w:t>
      </w:r>
      <w:r>
        <w:t xml:space="preserve"> </w:t>
      </w:r>
      <w:r>
        <w:t xml:space="preserve">the served application.</w:t>
      </w:r>
    </w:p>
    <w:p>
      <w:pPr>
        <w:pStyle w:val="BodyText"/>
      </w:pPr>
      <w:r>
        <w:t xml:space="preserve">The method was not a read-through. For each claim that a script makes about its own correctness I</w:t>
      </w:r>
      <w:r>
        <w:t xml:space="preserve"> </w:t>
      </w:r>
      <w:r>
        <w:t xml:space="preserve">tried to reproduce the number independently, from the raw inputs, with code written for the audit</w:t>
      </w:r>
      <w:r>
        <w:t xml:space="preserve"> </w:t>
      </w:r>
      <w:r>
        <w:t xml:space="preserve">rather than imported from the project. Seven such reproductions were run. Reporting, figure and deck</w:t>
      </w:r>
      <w:r>
        <w:t xml:space="preserve"> </w:t>
      </w:r>
      <w:r>
        <w:t xml:space="preserve">builders were inspected but not audited for scientific content, because they render results rather</w:t>
      </w:r>
      <w:r>
        <w:t xml:space="preserve"> </w:t>
      </w:r>
      <w:r>
        <w:t xml:space="preserve">than produce them.</w:t>
      </w:r>
    </w:p>
    <w:p>
      <w:pPr>
        <w:pStyle w:val="BodyText"/>
      </w:pPr>
      <w:r>
        <w:t xml:space="preserve">Three classes of defect were searched for specifically, because they are the ones that survive review:</w:t>
      </w:r>
      <w:r>
        <w:t xml:space="preserve"> </w:t>
      </w:r>
      <w:r>
        <w:t xml:space="preserve">a guard applied in one place and not in the parallel place; a cached derived value that its inputs</w:t>
      </w:r>
      <w:r>
        <w:t xml:space="preserve"> </w:t>
      </w:r>
      <w:r>
        <w:t xml:space="preserve">have since invalidated; and a statistic reported outside the regime in which it means what it is read</w:t>
      </w:r>
      <w:r>
        <w:t xml:space="preserve"> </w:t>
      </w:r>
      <w:r>
        <w:t xml:space="preserve">as. All three were found, one of each.</w:t>
      </w:r>
    </w:p>
    <w:bookmarkEnd w:id="9"/>
    <w:bookmarkStart w:id="16" w:name="the-six-previously-reported-defects"/>
    <w:p>
      <w:pPr>
        <w:pStyle w:val="Heading2"/>
      </w:pPr>
      <w:r>
        <w:t xml:space="preserve">2. The six previously reported defects</w:t>
      </w:r>
    </w:p>
    <w:p>
      <w:pPr>
        <w:pStyle w:val="FirstParagraph"/>
      </w:pPr>
      <w:r>
        <w:t xml:space="preserve">All six were re-checked from the artefacts rather than from the commit messages.</w:t>
      </w:r>
      <w:r>
        <w:t xml:space="preserve"> </w:t>
      </w:r>
      <w:r>
        <w:rPr>
          <w:b/>
          <w:bCs/>
        </w:rPr>
        <w:t xml:space="preserve">Five are correctly</w:t>
      </w:r>
      <w:r>
        <w:rPr>
          <w:b/>
          <w:bCs/>
        </w:rPr>
        <w:t xml:space="preserve"> </w:t>
      </w:r>
      <w:r>
        <w:rPr>
          <w:b/>
          <w:bCs/>
        </w:rPr>
        <w:t xml:space="preserve">and completely fixed. One has not been addressed.</w:t>
      </w:r>
    </w:p>
    <w:bookmarkStart w:id="10" w:name="X5fe50830d03aed233158f07a041294436a8d2c4"/>
    <w:p>
      <w:pPr>
        <w:pStyle w:val="Heading3"/>
      </w:pPr>
      <w:r>
        <w:t xml:space="preserve">2.1 Deduplication in the conformal analysis: fixed, and independently reproduced</w:t>
      </w:r>
    </w:p>
    <w:p>
      <w:pPr>
        <w:pStyle w:val="FirstParagraph"/>
      </w:pPr>
      <w:r>
        <w:rPr>
          <w:rStyle w:val="VerbatimChar"/>
        </w:rPr>
        <w:t xml:space="preserve">rf_conformal_temporal.py</w:t>
      </w:r>
      <w:r>
        <w:t xml:space="preserve"> </w:t>
      </w:r>
      <w:r>
        <w:t xml:space="preserve">now calls</w:t>
      </w:r>
      <w:r>
        <w:t xml:space="preserve"> </w:t>
      </w:r>
      <w:r>
        <w:rPr>
          <w:rStyle w:val="VerbatimChar"/>
        </w:rPr>
        <w:t xml:space="preserve">_dedup_features</w:t>
      </w:r>
      <w:r>
        <w:t xml:space="preserve"> </w:t>
      </w:r>
      <w:r>
        <w:t xml:space="preserve">before splitting, and</w:t>
      </w:r>
      <w:r>
        <w:t xml:space="preserve"> </w:t>
      </w:r>
      <w:r>
        <w:rPr>
          <w:rStyle w:val="VerbatimChar"/>
        </w:rPr>
        <w:t xml:space="preserve">rf_conformal.csv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n_total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n_test</w:t>
      </w:r>
      <w:r>
        <w:t xml:space="preserve">. BBB reads</w:t>
      </w:r>
      <w:r>
        <w:t xml:space="preserve"> </w:t>
      </w:r>
      <w:r>
        <w:rPr>
          <w:rStyle w:val="VerbatimChar"/>
        </w:rPr>
        <w:t xml:space="preserve">n_total</w:t>
      </w:r>
      <w:r>
        <w:t xml:space="preserve"> </w:t>
      </w:r>
      <w:r>
        <w:t xml:space="preserve">3,901 against the 7,807 raw rows, which is</w:t>
      </w:r>
      <w:r>
        <w:t xml:space="preserve"> </w:t>
      </w:r>
      <w:r>
        <w:t xml:space="preserve">the figure Chapter 3 states.</w:t>
      </w:r>
    </w:p>
    <w:p>
      <w:pPr>
        <w:pStyle w:val="BodyText"/>
      </w:pPr>
      <w:r>
        <w:t xml:space="preserve">I re-ran the corrected protocol from the raw endpoint tables with independently written code. The</w:t>
      </w:r>
      <w:r>
        <w:t xml:space="preserve"> </w:t>
      </w:r>
      <w:r>
        <w:t xml:space="preserve">published random-split numbers reproduce</w:t>
      </w:r>
      <w:r>
        <w:t xml:space="preserve"> </w:t>
      </w:r>
      <w:r>
        <w:rPr>
          <w:b/>
          <w:bCs/>
        </w:rPr>
        <w:t xml:space="preserve">exactly on all eight endpoints</w:t>
      </w:r>
      <w:r>
        <w:t xml:space="preserve">, to the third decimal, for</w:t>
      </w:r>
      <w:r>
        <w:t xml:space="preserve"> </w:t>
      </w:r>
      <w:r>
        <w:t xml:space="preserve">both coverage and mean set size: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published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published set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</w:t>
            </w:r>
          </w:p>
        </w:tc>
      </w:tr>
    </w:tbl>
    <w:p>
      <w:pPr>
        <w:pStyle w:val="BodyText"/>
      </w:pPr>
      <w:r>
        <w:t xml:space="preserve">The new columns are internally consistent:</w:t>
      </w:r>
      <w:r>
        <w:t xml:space="preserve"> </w:t>
      </w:r>
      <w:r>
        <w:rPr>
          <w:rStyle w:val="VerbatimChar"/>
        </w:rPr>
        <w:t xml:space="preserve">frac_ambiguous + frac_empty + frac_singleton</w:t>
      </w:r>
      <w:r>
        <w:t xml:space="preserve"> </w:t>
      </w:r>
      <w:r>
        <w:t xml:space="preserve">sums to 1.0</w:t>
      </w:r>
      <w:r>
        <w:t xml:space="preserve"> </w:t>
      </w:r>
      <w:r>
        <w:t xml:space="preserve">on every row, and</w:t>
      </w:r>
      <w:r>
        <w:t xml:space="preserve"> </w:t>
      </w:r>
      <w:r>
        <w:rPr>
          <w:rStyle w:val="VerbatimChar"/>
        </w:rPr>
        <w:t xml:space="preserve">avg_set_size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frac_singleton + 2 x frac_ambiguous</w:t>
      </w:r>
      <w:r>
        <w:t xml:space="preserve"> </w:t>
      </w:r>
      <w:r>
        <w:t xml:space="preserve">on every row (BBB:</w:t>
      </w:r>
      <w:r>
        <w:t xml:space="preserve"> </w:t>
      </w:r>
      <w:r>
        <w:t xml:space="preserve">0.7849 + 2 x 0.2151 = 1.2151 against a stated 1.215).</w:t>
      </w:r>
    </w:p>
    <w:p>
      <w:pPr>
        <w:pStyle w:val="BodyText"/>
      </w:pPr>
      <w:r>
        <w:t xml:space="preserve">The decision to put the scaffold arm in a separate file rather than as extra rows is correct and the</w:t>
      </w:r>
      <w:r>
        <w:t xml:space="preserve"> </w:t>
      </w:r>
      <w:r>
        <w:t xml:space="preserve">reason given is verifiable: six consumers key this table by endpoint alone, and a second row per</w:t>
      </w:r>
      <w:r>
        <w:t xml:space="preserve"> </w:t>
      </w:r>
      <w:r>
        <w:t xml:space="preserve">endpoint would have been silently overwritten or mixed into a min/max.</w:t>
      </w:r>
    </w:p>
    <w:bookmarkEnd w:id="10"/>
    <w:bookmarkStart w:id="11" w:name="the-set-size-inference-fixed"/>
    <w:p>
      <w:pPr>
        <w:pStyle w:val="Heading3"/>
      </w:pPr>
      <w:r>
        <w:t xml:space="preserve">2.2 The set-size inference: fixed</w:t>
      </w:r>
    </w:p>
    <w:p>
      <w:pPr>
        <w:pStyle w:val="FirstParagraph"/>
      </w:pPr>
      <w:r>
        <w:t xml:space="preserve">Chapter 4 now states the identity</w:t>
      </w:r>
      <w:r>
        <w:t xml:space="preserve"> </w:t>
      </w:r>
      <w:r>
        <w:rPr>
          <w:rStyle w:val="VerbatimChar"/>
        </w:rPr>
        <w:t xml:space="preserve">1 + P(ambiguous) - P(empty)</w:t>
      </w:r>
      <w:r>
        <w:t xml:space="preserve"> </w:t>
      </w:r>
      <w:r>
        <w:t xml:space="preserve">explicitly, reports both fractions</w:t>
      </w:r>
      <w:r>
        <w:t xml:space="preserve"> </w:t>
      </w:r>
      <w:r>
        <w:t xml:space="preserve">from the artefact, and says what the earlier edition claimed and why it was wrong. The test-compound</w:t>
      </w:r>
      <w:r>
        <w:t xml:space="preserve"> </w:t>
      </w:r>
      <w:r>
        <w:t xml:space="preserve">column sums to 8,803, which is the figure the section states.</w:t>
      </w:r>
    </w:p>
    <w:bookmarkEnd w:id="11"/>
    <w:bookmarkStart w:id="12" w:name="the-fingerprint-collision-claim-fixed"/>
    <w:p>
      <w:pPr>
        <w:pStyle w:val="Heading3"/>
      </w:pPr>
      <w:r>
        <w:t xml:space="preserve">2.3 The fingerprint collision claim: fixed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featurize.py</w:t>
      </w:r>
      <w:r>
        <w:t xml:space="preserve"> </w:t>
      </w:r>
      <w:r>
        <w:t xml:space="preserve">docstring now says the opposite of what it said, which is to say it now says the</w:t>
      </w:r>
      <w:r>
        <w:t xml:space="preserve"> </w:t>
      </w:r>
      <w:r>
        <w:t xml:space="preserve">truth, and points at an artefact. I measured the collision rate independently on a different 20,000</w:t>
      </w:r>
      <w:r>
        <w:t xml:space="preserve"> </w:t>
      </w:r>
      <w:r>
        <w:t xml:space="preserve">structure sample:</w:t>
      </w:r>
      <w:r>
        <w:t xml:space="preserve"> </w:t>
      </w:r>
      <w:r>
        <w:rPr>
          <w:b/>
          <w:bCs/>
        </w:rPr>
        <w:t xml:space="preserve">52,835 distinct atomic environments, all 1,024 bits ambiguous, median 52 per bit,</w:t>
      </w:r>
      <w:r>
        <w:rPr>
          <w:b/>
          <w:bCs/>
        </w:rPr>
        <w:t xml:space="preserve"> </w:t>
      </w:r>
      <w:r>
        <w:rPr>
          <w:b/>
          <w:bCs/>
        </w:rPr>
        <w:t xml:space="preserve">maximum 74</w:t>
      </w:r>
      <w:r>
        <w:t xml:space="preserve">, against the artefact’s 52,882 / 1,024 / 52 / 73. The small differences are the sample;</w:t>
      </w:r>
      <w:r>
        <w:t xml:space="preserve"> </w:t>
      </w:r>
      <w:r>
        <w:t xml:space="preserve">the conclusion is identical and is not sample-dependent, since 52,000 environments cannot occupy 1,024</w:t>
      </w:r>
      <w:r>
        <w:t xml:space="preserve"> </w:t>
      </w:r>
      <w:r>
        <w:t xml:space="preserve">bits without collision under any hash.</w:t>
      </w:r>
    </w:p>
    <w:bookmarkEnd w:id="12"/>
    <w:bookmarkStart w:id="13" w:name="the-underpowered-significance-test-fixed"/>
    <w:p>
      <w:pPr>
        <w:pStyle w:val="Heading3"/>
      </w:pPr>
      <w:r>
        <w:t xml:space="preserve">2.4 The underpowered significance test: fixed</w:t>
      </w:r>
    </w:p>
    <w:p>
      <w:pPr>
        <w:pStyle w:val="FirstParagraph"/>
      </w:pPr>
      <w:r>
        <w:rPr>
          <w:rStyle w:val="VerbatimChar"/>
        </w:rPr>
        <w:t xml:space="preserve">min_attainable_p</w:t>
      </w:r>
      <w:r>
        <w:t xml:space="preserve"> </w:t>
      </w:r>
      <w:r>
        <w:t xml:space="preserve">is now computed and reported per comparison. I verified the floor independently:</w:t>
      </w:r>
      <w:r>
        <w:t xml:space="preserve"> </w:t>
      </w:r>
      <w:r>
        <w:t xml:space="preserve">at n = 5 the smallest attainable two-sided p is</w:t>
      </w:r>
      <w:r>
        <w:t xml:space="preserve"> </w:t>
      </w:r>
      <w:r>
        <w:rPr>
          <w:b/>
          <w:bCs/>
        </w:rPr>
        <w:t xml:space="preserve">0.0625</w:t>
      </w:r>
      <w:r>
        <w:t xml:space="preserve">, at n = 8 it is 0.00781, at n = 13 it is</w:t>
      </w:r>
      <w:r>
        <w:t xml:space="preserve"> </w:t>
      </w:r>
      <w:r>
        <w:t xml:space="preserve">0.00024. All eight regression rows now carry the verdict</w:t>
      </w:r>
      <w:r>
        <w:t xml:space="preserve"> </w:t>
      </w:r>
      <w:r>
        <w:t xml:space="preserve">“underpowered: no result at this n can reach</w:t>
      </w:r>
      <w:r>
        <w:t xml:space="preserve"> </w:t>
      </w:r>
      <w:r>
        <w:t xml:space="preserve">alpha”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“not distinguishable”</w:t>
      </w:r>
      <w:r>
        <w:t xml:space="preserve">, which is the honest reading in both directions: it stops the</w:t>
      </w:r>
      <w:r>
        <w:t xml:space="preserve"> </w:t>
      </w:r>
      <w:r>
        <w:t xml:space="preserve">project claiming a null against XGBoost, which wins 5 of 5, and equally stops it claiming one against</w:t>
      </w:r>
      <w:r>
        <w:t xml:space="preserve"> </w:t>
      </w:r>
      <w:r>
        <w:t xml:space="preserve">logistic regression, which it beats 5 of 5.</w:t>
      </w:r>
    </w:p>
    <w:bookmarkEnd w:id="13"/>
    <w:bookmarkStart w:id="14" w:name="the-handicapped-booster-fixed"/>
    <w:p>
      <w:pPr>
        <w:pStyle w:val="Heading3"/>
      </w:pPr>
      <w:r>
        <w:t xml:space="preserve">2.5 The handicapped booster: fixed</w:t>
      </w:r>
    </w:p>
    <w:p>
      <w:pPr>
        <w:pStyle w:val="FirstParagraph"/>
      </w:pPr>
      <w:r>
        <w:rPr>
          <w:rStyle w:val="VerbatimChar"/>
        </w:rPr>
        <w:t xml:space="preserve">HistGradientBoostingClassifier</w:t>
      </w:r>
      <w:r>
        <w:t xml:space="preserve"> </w:t>
      </w:r>
      <w:r>
        <w:t xml:space="preserve">now carries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 matching the forest’s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 </w:t>
      </w:r>
      <w:r>
        <w:t xml:space="preserve">and XGBoost’s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. The comparison is now like-for-like across all four</w:t>
      </w:r>
      <w:r>
        <w:t xml:space="preserve"> </w:t>
      </w:r>
      <w:r>
        <w:t xml:space="preserve">weightable families. Logistic regression was already correctly wrapped in a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pipeline,</w:t>
      </w:r>
      <w:r>
        <w:t xml:space="preserve"> </w:t>
      </w:r>
      <w:r>
        <w:t xml:space="preserve">so that baseline was never unfair.</w:t>
      </w:r>
    </w:p>
    <w:bookmarkEnd w:id="14"/>
    <w:bookmarkStart w:id="15" w:name="the-applicability-domain-not-addressed"/>
    <w:p>
      <w:pPr>
        <w:pStyle w:val="Heading3"/>
      </w:pPr>
      <w:r>
        <w:t xml:space="preserve">2.6 The applicability domain: NOT addressed</w:t>
      </w:r>
    </w:p>
    <w:p>
      <w:pPr>
        <w:pStyle w:val="FirstParagraph"/>
      </w:pPr>
      <w:r>
        <w:rPr>
          <w:rStyle w:val="VerbatimChar"/>
        </w:rPr>
        <w:t xml:space="preserve">applicability_domain.py</w:t>
      </w:r>
      <w:r>
        <w:t xml:space="preserve"> </w:t>
      </w:r>
      <w:r>
        <w:t xml:space="preserve">is unchanged since commit</w:t>
      </w:r>
      <w:r>
        <w:t xml:space="preserve"> </w:t>
      </w:r>
      <w:r>
        <w:rPr>
          <w:rStyle w:val="VerbatimChar"/>
        </w:rPr>
        <w:t xml:space="preserve">79d41de</w:t>
      </w:r>
      <w:r>
        <w:t xml:space="preserve">. Its docstring still states the</w:t>
      </w:r>
      <w:r>
        <w:t xml:space="preserve"> </w:t>
      </w:r>
      <w:r>
        <w:t xml:space="preserve">expectation</w:t>
      </w:r>
      <w:r>
        <w:t xml:space="preserve"> </w:t>
      </w:r>
      <w:r>
        <w:t xml:space="preserve">“the model should be clearly better where it is in domain”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applicability_bbb_validation.csv</w:t>
      </w:r>
      <w:r>
        <w:t xml:space="preserve"> </w:t>
      </w:r>
      <w:r>
        <w:t xml:space="preserve">still shows the opposite ordering, in-domain AUROC 0.7597 on 258</w:t>
      </w:r>
      <w:r>
        <w:t xml:space="preserve"> </w:t>
      </w:r>
      <w:r>
        <w:t xml:space="preserve">compounds against out-of-domain 0.8059 on 48.</w:t>
      </w:r>
    </w:p>
    <w:p>
      <w:pPr>
        <w:pStyle w:val="BodyText"/>
      </w:pPr>
      <w:r>
        <w:t xml:space="preserve">This is the least urgent of the six and the only one that is arguably not a defect at all, but it</w:t>
      </w:r>
      <w:r>
        <w:t xml:space="preserve"> </w:t>
      </w:r>
      <w:r>
        <w:t xml:space="preserve">should not be left as it stands, because a docstring that states a failed expectation invites a</w:t>
      </w:r>
      <w:r>
        <w:t xml:space="preserve"> </w:t>
      </w:r>
      <w:r>
        <w:t xml:space="preserve">reader to conclude the component does not work. My measurement was that the difference is not</w:t>
      </w:r>
      <w:r>
        <w:t xml:space="preserve"> </w:t>
      </w:r>
      <w:r>
        <w:t xml:space="preserve">significant (bootstrap 95% CI on in minus out</w:t>
      </w:r>
      <w:r>
        <w:t xml:space="preserve"> </w:t>
      </w:r>
      <w:r>
        <w:rPr>
          <w:b/>
          <w:bCs/>
        </w:rPr>
        <w:t xml:space="preserve">[-0.1965, +0.1247]</w:t>
      </w:r>
      <w:r>
        <w:t xml:space="preserve">, 5,000 resamples, so nothing is</w:t>
      </w:r>
      <w:r>
        <w:t xml:space="preserve"> </w:t>
      </w:r>
      <w:r>
        <w:t xml:space="preserve">established either way at n = 48), while the correlation between maximum Tanimoto and the absolute</w:t>
      </w:r>
      <w:r>
        <w:t xml:space="preserve"> </w:t>
      </w:r>
      <w:r>
        <w:t xml:space="preserve">probability error is</w:t>
      </w:r>
      <w:r>
        <w:t xml:space="preserve"> </w:t>
      </w:r>
      <w:r>
        <w:rPr>
          <w:b/>
          <w:bCs/>
        </w:rPr>
        <w:t xml:space="preserve">-0.1422, p = 0.0128</w:t>
      </w:r>
      <w:r>
        <w:t xml:space="preserve">. The domain measure carries information about how far the</w:t>
      </w:r>
      <w:r>
        <w:t xml:space="preserve"> </w:t>
      </w:r>
      <w:r>
        <w:t xml:space="preserve">probability is from the truth and none about which side of 0.5 it falls on. The fix is to state that</w:t>
      </w:r>
      <w:r>
        <w:t xml:space="preserve"> </w:t>
      </w:r>
      <w:r>
        <w:t xml:space="preserve">expectation instead, and to test it.</w:t>
      </w:r>
    </w:p>
    <w:bookmarkEnd w:id="15"/>
    <w:bookmarkEnd w:id="16"/>
    <w:bookmarkStart w:id="22" w:name="new-findings"/>
    <w:p>
      <w:pPr>
        <w:pStyle w:val="Heading2"/>
      </w:pPr>
      <w:r>
        <w:t xml:space="preserve">3. New findings</w:t>
      </w:r>
    </w:p>
    <w:bookmarkStart w:id="17" w:name="Xfa3e8543f872eb73e0a31b976d37b604be2bbe9"/>
    <w:p>
      <w:pPr>
        <w:pStyle w:val="Heading3"/>
      </w:pPr>
      <w:r>
        <w:t xml:space="preserve">Finding A. The external validation set is not as novel as the flag says (HIGH)</w:t>
      </w:r>
    </w:p>
    <w:p>
      <w:pPr>
        <w:pStyle w:val="FirstParagraph"/>
      </w:pPr>
      <w:r>
        <w:rPr>
          <w:b/>
          <w:bCs/>
        </w:rPr>
        <w:t xml:space="preserve">This is the one finding in this audit that changes a headline number, and it should be fixed before</w:t>
      </w:r>
      <w:r>
        <w:rPr>
          <w:b/>
          <w:bCs/>
        </w:rPr>
        <w:t xml:space="preserve"> </w:t>
      </w:r>
      <w:r>
        <w:rPr>
          <w:b/>
          <w:bCs/>
        </w:rPr>
        <w:t xml:space="preserve">submission.</w:t>
      </w:r>
    </w:p>
    <w:p>
      <w:pPr>
        <w:pStyle w:val="BodyText"/>
      </w:pPr>
      <w:r>
        <w:t xml:space="preserve">The external barrier validation is reported three ways: on all 306 FDA-curated drugs absent from B3DB</w:t>
      </w:r>
      <w:r>
        <w:t xml:space="preserve"> </w:t>
      </w:r>
      <w:r>
        <w:t xml:space="preserve">by InChIKey, on the</w:t>
      </w:r>
      <w:r>
        <w:t xml:space="preserve"> </w:t>
      </w:r>
      <w:r>
        <w:rPr>
          <w:b/>
          <w:bCs/>
        </w:rPr>
        <w:t xml:space="preserve">241</w:t>
      </w:r>
      <w:r>
        <w:t xml:space="preserve"> </w:t>
      </w:r>
      <w:r>
        <w:t xml:space="preserve">of those</w:t>
      </w:r>
      <w:r>
        <w:t xml:space="preserve"> </w:t>
      </w:r>
      <w:r>
        <w:t xml:space="preserve">“also distinguishable from training in feature space”</w:t>
      </w:r>
      <w:r>
        <w:t xml:space="preserve">, and on the</w:t>
      </w:r>
      <w:r>
        <w:t xml:space="preserve"> </w:t>
      </w:r>
      <w:r>
        <w:rPr>
          <w:b/>
          <w:bCs/>
        </w:rPr>
        <w:t xml:space="preserve">65</w:t>
      </w:r>
      <w:r>
        <w:t xml:space="preserve"> </w:t>
      </w:r>
      <w:r>
        <w:t xml:space="preserve">that are feature-identical to a training compound. The 241-compound figure is the one that</w:t>
      </w:r>
      <w:r>
        <w:t xml:space="preserve"> </w:t>
      </w:r>
      <w:r>
        <w:t xml:space="preserve">supports the claim of performance on genuinely novel chemistry, and it is the number Chapter 8, the</w:t>
      </w:r>
      <w:r>
        <w:t xml:space="preserve"> </w:t>
      </w:r>
      <w:r>
        <w:t xml:space="preserve">viva pack and the manuscript lean on.</w:t>
      </w:r>
    </w:p>
    <w:p>
      <w:pPr>
        <w:pStyle w:val="BodyText"/>
      </w:pPr>
      <w:r>
        <w:t xml:space="preserve">The 241/65 split is read from</w:t>
      </w:r>
      <w:r>
        <w:t xml:space="preserve"> </w:t>
      </w:r>
      <w:r>
        <w:rPr>
          <w:rStyle w:val="VerbatimChar"/>
        </w:rPr>
        <w:t xml:space="preserve">novel_to_model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feature_identical_to_training</w:t>
      </w:r>
      <w:r>
        <w:t xml:space="preserve">, two columns cached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data/external/processed/external_bbb_test.csv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integrate_external.py</w:t>
      </w:r>
      <w:r>
        <w:t xml:space="preserve">.</w:t>
      </w:r>
      <w:r>
        <w:t xml:space="preserve"> </w:t>
      </w:r>
      <w:r>
        <w:rPr>
          <w:b/>
          <w:bCs/>
        </w:rPr>
        <w:t xml:space="preserve">Those flags were</w:t>
      </w:r>
      <w:r>
        <w:rPr>
          <w:b/>
          <w:bCs/>
        </w:rPr>
        <w:t xml:space="preserve"> </w:t>
      </w:r>
      <w:r>
        <w:rPr>
          <w:b/>
          <w:bCs/>
        </w:rPr>
        <w:t xml:space="preserve">computed against a representation the model no longer uses.</w:t>
      </w:r>
    </w:p>
    <w:p>
      <w:pPr>
        <w:pStyle w:val="BodyText"/>
      </w:pPr>
      <w:r>
        <w:rPr>
          <w:rStyle w:val="VerbatimChar"/>
        </w:rPr>
        <w:t xml:space="preserve">featurize.parent_mol</w:t>
      </w:r>
      <w:r>
        <w:t xml:space="preserve"> </w:t>
      </w:r>
      <w:r>
        <w:t xml:space="preserve">desalts</w:t>
      </w:r>
      <w:r>
        <w:t xml:space="preserve"> </w:t>
      </w:r>
      <w:r>
        <w:rPr>
          <w:i/>
          <w:iCs/>
        </w:rPr>
        <w:t xml:space="preserve">and neutralises</w:t>
      </w:r>
      <w:r>
        <w:t xml:space="preserve"> </w:t>
      </w:r>
      <w:r>
        <w:t xml:space="preserve">before fingerprinting, a change adopted after the</w:t>
      </w:r>
      <w:r>
        <w:t xml:space="preserve"> </w:t>
      </w:r>
      <w:r>
        <w:t xml:space="preserve">flags were written and documented in its own docstring (haloperidol hydrochloride scored BBB 0.613</w:t>
      </w:r>
      <w:r>
        <w:t xml:space="preserve"> </w:t>
      </w:r>
      <w:r>
        <w:t xml:space="preserve">against 0.993 for the free base). The flags, and the independent check in</w:t>
      </w:r>
      <w:r>
        <w:t xml:space="preserve"> </w:t>
      </w:r>
      <w:r>
        <w:rPr>
          <w:rStyle w:val="VerbatimChar"/>
        </w:rPr>
        <w:t xml:space="preserve">audit/evidence/leak_external.py</w:t>
      </w:r>
      <w:r>
        <w:t xml:space="preserve">, both fingerprint the raw SMILES with</w:t>
      </w:r>
      <w:r>
        <w:t xml:space="preserve"> </w:t>
      </w:r>
      <w:r>
        <w:rPr>
          <w:rStyle w:val="VerbatimChar"/>
        </w:rPr>
        <w:t xml:space="preserve">Chem.MolFromSmiles</w:t>
      </w:r>
      <w:r>
        <w:t xml:space="preserve">, without</w:t>
      </w:r>
      <w:r>
        <w:t xml:space="preserve"> </w:t>
      </w:r>
      <w:r>
        <w:t xml:space="preserve">that step. Under the representation the deployed model actually sees, the overlap is larger: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overlap with training, of 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InChIKey, the exclusion criterion 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Tanimoto = 1.0 on the</w:t>
            </w:r>
            <w:r>
              <w:t xml:space="preserve"> </w:t>
            </w:r>
            <w:r>
              <w:rPr>
                <w:b/>
                <w:bCs/>
              </w:rPr>
              <w:t xml:space="preserve">raw</w:t>
            </w:r>
            <w:r>
              <w:t xml:space="preserve"> </w:t>
            </w:r>
            <w:r>
              <w:t xml:space="preserve">SMILES, the cached 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InChIKey skeleton, ignoring stereo, salt and protonation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Tanimoto = 1.0 under the</w:t>
            </w:r>
            <w:r>
              <w:t xml:space="preserve"> </w:t>
            </w:r>
            <w:r>
              <w:rPr>
                <w:b/>
                <w:bCs/>
              </w:rPr>
              <w:t xml:space="preserve">deployed</w:t>
            </w:r>
            <w:r>
              <w:t xml:space="preserve"> </w:t>
            </w:r>
            <w:r>
              <w:t xml:space="preserve">featuriser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</w:t>
            </w:r>
          </w:p>
        </w:tc>
      </w:tr>
    </w:tbl>
    <w:p>
      <w:pPr>
        <w:pStyle w:val="BodyText"/>
      </w:pPr>
      <w:r>
        <w:t xml:space="preserve">Fourteen compounds are flagged</w:t>
      </w:r>
      <w:r>
        <w:t xml:space="preserve"> </w:t>
      </w:r>
      <w:r>
        <w:rPr>
          <w:rStyle w:val="VerbatimChar"/>
        </w:rPr>
        <w:t xml:space="preserve">novel_to_model = True</w:t>
      </w:r>
      <w:r>
        <w:t xml:space="preserve"> </w:t>
      </w:r>
      <w:r>
        <w:t xml:space="preserve">and are nonetheless feature-identical to a</w:t>
      </w:r>
      <w:r>
        <w:t xml:space="preserve"> </w:t>
      </w:r>
      <w:r>
        <w:t xml:space="preserve">training row. None goes the other way. Recomputing the published metrics with the deployed</w:t>
      </w:r>
      <w:r>
        <w:t xml:space="preserve"> </w:t>
      </w:r>
      <w:r>
        <w:t xml:space="preserve">representation: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balanced acc.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published, stored 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corrected, novel under the current featuriser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14 misclassified as novel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0.7119</w:t>
            </w:r>
          </w:p>
        </w:tc>
      </w:tr>
    </w:tbl>
    <w:p>
      <w:pPr>
        <w:pStyle w:val="BodyText"/>
      </w:pPr>
      <w:r>
        <w:t xml:space="preserve">The fourteen carry the signature of memorisation: 92.9 per cent accuracy against 72.3 per cent on the</w:t>
      </w:r>
      <w:r>
        <w:t xml:space="preserve"> </w:t>
      </w:r>
      <w:r>
        <w:t xml:space="preserve">truly novel remainder.</w:t>
      </w:r>
      <w:r>
        <w:t xml:space="preserve"> </w:t>
      </w:r>
      <w:r>
        <w:rPr>
          <w:b/>
          <w:bCs/>
        </w:rPr>
        <w:t xml:space="preserve">The strict-novelty AUROC falls from 0.7934 to 0.7666</w:t>
      </w:r>
      <w:r>
        <w:t xml:space="preserve">, which is a drop of</w:t>
      </w:r>
      <w:r>
        <w:t xml:space="preserve"> </w:t>
      </w:r>
      <w:r>
        <w:t xml:space="preserve">0.0268 and which places it essentially level with the all-306 figure of 0.7645. The correct statement</w:t>
      </w:r>
      <w:r>
        <w:t xml:space="preserve"> </w:t>
      </w:r>
      <w:r>
        <w:t xml:space="preserve">after this fix is that novelty filtering does not improve the external result, not that it improves it</w:t>
      </w:r>
      <w:r>
        <w:t xml:space="preserve"> </w:t>
      </w:r>
      <w:r>
        <w:t xml:space="preserve">by about 0.03.</w:t>
      </w:r>
    </w:p>
    <w:p>
      <w:pPr>
        <w:pStyle w:val="BodyText"/>
      </w:pPr>
      <w:r>
        <w:t xml:space="preserve">Three things make this worth more than its 0.0268.</w:t>
      </w:r>
    </w:p>
    <w:p>
      <w:pPr>
        <w:pStyle w:val="BodyText"/>
      </w:pPr>
      <w:r>
        <w:t xml:space="preserve">The project’s own machinery came close to catching it and did not.</w:t>
      </w:r>
      <w:r>
        <w:t xml:space="preserve"> </w:t>
      </w:r>
      <w:r>
        <w:rPr>
          <w:rStyle w:val="VerbatimChar"/>
        </w:rPr>
        <w:t xml:space="preserve">leak_external.py</w:t>
      </w:r>
      <w:r>
        <w:t xml:space="preserve"> </w:t>
      </w:r>
      <w:r>
        <w:t xml:space="preserve">prints the</w:t>
      </w:r>
      <w:r>
        <w:t xml:space="preserve"> </w:t>
      </w:r>
      <w:r>
        <w:t xml:space="preserve">skeleton overlap of</w:t>
      </w:r>
      <w:r>
        <w:t xml:space="preserve"> </w:t>
      </w:r>
      <w:r>
        <w:rPr>
          <w:b/>
          <w:bCs/>
        </w:rPr>
        <w:t xml:space="preserve">78</w:t>
      </w:r>
      <w:r>
        <w:t xml:space="preserve">, within one of the right answer, directly above the Tanimoto figure of 65</w:t>
      </w:r>
      <w:r>
        <w:t xml:space="preserve"> </w:t>
      </w:r>
      <w:r>
        <w:t xml:space="preserve">that was adopted. The stricter number was computed and not used.</w:t>
      </w:r>
    </w:p>
    <w:p>
      <w:pPr>
        <w:pStyle w:val="BodyText"/>
      </w:pPr>
      <w:r>
        <w:t xml:space="preserve">The staleness is invisible to the freshness checker.</w:t>
      </w:r>
      <w:r>
        <w:t xml:space="preserve"> </w:t>
      </w:r>
      <w:r>
        <w:rPr>
          <w:rStyle w:val="VerbatimChar"/>
        </w:rPr>
        <w:t xml:space="preserve">external_bbb_test.csv</w:t>
      </w:r>
      <w:r>
        <w:t xml:space="preserve"> </w:t>
      </w:r>
      <w:r>
        <w:t xml:space="preserve">appears in</w:t>
      </w:r>
      <w:r>
        <w:t xml:space="preserve"> </w:t>
      </w:r>
      <w:r>
        <w:rPr>
          <w:rStyle w:val="VerbatimChar"/>
        </w:rPr>
        <w:t xml:space="preserve">check_freshness.py</w:t>
      </w:r>
      <w:r>
        <w:t xml:space="preserve"> </w:t>
      </w:r>
      <w:r>
        <w:t xml:space="preserve">only at line 308, as an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models_rf/ad_reference.pkl</w:t>
      </w:r>
      <w:r>
        <w:t xml:space="preserve">. It is never</w:t>
      </w:r>
      <w:r>
        <w:t xml:space="preserve"> </w:t>
      </w:r>
      <w:r>
        <w:t xml:space="preserve">declared as a derived artefact with inputs of its own, so nothing requires it to be newer than the</w:t>
      </w:r>
      <w:r>
        <w:t xml:space="preserve"> </w:t>
      </w:r>
      <w:r>
        <w:t xml:space="preserve">featuriser that determines its contents. This is a genuine gap in an otherwise strong guard: the</w:t>
      </w:r>
      <w:r>
        <w:t xml:space="preserve"> </w:t>
      </w:r>
      <w:r>
        <w:t xml:space="preserve">freshness system protects results but not the cached data that defines which rows a result is computed</w:t>
      </w:r>
      <w:r>
        <w:t xml:space="preserve"> </w:t>
      </w:r>
      <w:r>
        <w:t xml:space="preserve">over.</w:t>
      </w:r>
    </w:p>
    <w:p>
      <w:pPr>
        <w:pStyle w:val="BodyText"/>
      </w:pPr>
      <w:r>
        <w:t xml:space="preserve">It has spread.</w:t>
      </w:r>
      <w:r>
        <w:t xml:space="preserve"> </w:t>
      </w:r>
      <w:r>
        <w:rPr>
          <w:rStyle w:val="VerbatimChar"/>
        </w:rPr>
        <w:t xml:space="preserve">validate_inversion.py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novel_to_model</w:t>
      </w:r>
      <w:r>
        <w:t xml:space="preserve"> </w:t>
      </w:r>
      <w:r>
        <w:t xml:space="preserve">at two places and</w:t>
      </w:r>
      <w:r>
        <w:t xml:space="preserve"> </w:t>
      </w:r>
      <w:r>
        <w:rPr>
          <w:rStyle w:val="VerbatimChar"/>
        </w:rPr>
        <w:t xml:space="preserve">applicability_measures.py</w:t>
      </w:r>
      <w:r>
        <w:t xml:space="preserve"> </w:t>
      </w:r>
      <w:r>
        <w:t xml:space="preserve">at one, so the falsification suite and the domain analysis inherit the</w:t>
      </w:r>
      <w:r>
        <w:t xml:space="preserve"> </w:t>
      </w:r>
      <w:r>
        <w:t xml:space="preserve">same 241-compound set.</w:t>
      </w:r>
    </w:p>
    <w:p>
      <w:pPr>
        <w:pStyle w:val="BodyText"/>
      </w:pPr>
      <w:r>
        <w:t xml:space="preserve">The fix is contained: re-run</w:t>
      </w:r>
      <w:r>
        <w:t xml:space="preserve"> </w:t>
      </w:r>
      <w:r>
        <w:rPr>
          <w:rStyle w:val="VerbatimChar"/>
        </w:rPr>
        <w:t xml:space="preserve">integrate_external.py</w:t>
      </w:r>
      <w:r>
        <w:t xml:space="preserve"> </w:t>
      </w:r>
      <w:r>
        <w:t xml:space="preserve">so the flags are computed with</w:t>
      </w:r>
      <w:r>
        <w:t xml:space="preserve"> </w:t>
      </w:r>
      <w:r>
        <w:rPr>
          <w:rStyle w:val="VerbatimChar"/>
        </w:rPr>
        <w:t xml:space="preserve">parent_mol</w:t>
      </w:r>
      <w:r>
        <w:t xml:space="preserve">,</w:t>
      </w:r>
      <w:r>
        <w:t xml:space="preserve"> </w:t>
      </w:r>
      <w:r>
        <w:t xml:space="preserve">declare</w:t>
      </w:r>
      <w:r>
        <w:t xml:space="preserve"> </w:t>
      </w:r>
      <w:r>
        <w:rPr>
          <w:rStyle w:val="VerbatimChar"/>
        </w:rPr>
        <w:t xml:space="preserve">external_bbb_test.csv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check_freshness.py</w:t>
      </w:r>
      <w:r>
        <w:t xml:space="preserve"> </w:t>
      </w:r>
      <w:r>
        <w:t xml:space="preserve">as derived from the featuriser and the BBB</w:t>
      </w:r>
      <w:r>
        <w:t xml:space="preserve"> </w:t>
      </w:r>
      <w:r>
        <w:t xml:space="preserve">table, correct</w:t>
      </w:r>
      <w:r>
        <w:t xml:space="preserve"> </w:t>
      </w:r>
      <w:r>
        <w:rPr>
          <w:rStyle w:val="VerbatimChar"/>
        </w:rPr>
        <w:t xml:space="preserve">leak_external.py</w:t>
      </w:r>
      <w:r>
        <w:t xml:space="preserve"> </w:t>
      </w:r>
      <w:r>
        <w:t xml:space="preserve">to use the deployed representation, and update the affected claims.</w:t>
      </w:r>
      <w:r>
        <w:t xml:space="preserve"> </w:t>
      </w:r>
      <w:r>
        <w:t xml:space="preserve">The verifier will flag them, since they are pinned.</w:t>
      </w:r>
    </w:p>
    <w:bookmarkEnd w:id="17"/>
    <w:bookmarkStart w:id="18" w:name="Xdcff66d6766641410d210d70568e22d35eedff7"/>
    <w:p>
      <w:pPr>
        <w:pStyle w:val="Heading3"/>
      </w:pPr>
      <w:r>
        <w:t xml:space="preserve">Finding B. The binder inactives are split at random beside actives split by scaffold (MEDIUM)</w:t>
      </w:r>
    </w:p>
    <w:p>
      <w:pPr>
        <w:pStyle w:val="FirstParagraph"/>
      </w:pPr>
      <w:r>
        <w:rPr>
          <w:rStyle w:val="VerbatimChar"/>
        </w:rPr>
        <w:t xml:space="preserve">train_binders_hybrid.py</w:t>
      </w:r>
      <w:r>
        <w:t xml:space="preserve"> </w:t>
      </w:r>
      <w:r>
        <w:t xml:space="preserve">splits the actives by Bemis-Murcko scaffold and gives the reason in its own</w:t>
      </w:r>
      <w:r>
        <w:t xml:space="preserve"> </w:t>
      </w:r>
      <w:r>
        <w:t xml:space="preserve">comment:</w:t>
      </w:r>
      <w:r>
        <w:t xml:space="preserve"> </w:t>
      </w:r>
      <w:r>
        <w:t xml:space="preserve">“The split is by scaffold rather than at random so a held-out active is a structurally</w:t>
      </w:r>
      <w:r>
        <w:t xml:space="preserve"> </w:t>
      </w:r>
      <w:r>
        <w:t xml:space="preserve">different compound, not a close analogue of a training one.”</w:t>
      </w:r>
      <w:r>
        <w:t xml:space="preserve"> </w:t>
      </w:r>
      <w:r>
        <w:t xml:space="preserve">Three lines earlier it splits the measured</w:t>
      </w:r>
      <w:r>
        <w:t xml:space="preserve"> </w:t>
      </w:r>
      <w:r>
        <w:t xml:space="preserve">inactives with</w:t>
      </w:r>
      <w:r>
        <w:t xml:space="preserve"> </w:t>
      </w:r>
      <w:r>
        <w:rPr>
          <w:rStyle w:val="VerbatimChar"/>
        </w:rPr>
        <w:t xml:space="preserve">rng.permutation</w:t>
      </w:r>
      <w:r>
        <w:t xml:space="preserve"> </w:t>
      </w:r>
      <w:r>
        <w:t xml:space="preserve">and takes the first half.</w:t>
      </w:r>
    </w:p>
    <w:p>
      <w:pPr>
        <w:pStyle w:val="BodyText"/>
      </w:pPr>
      <w:r>
        <w:t xml:space="preserve">That argument applies to the inactives with equal force and more consequence, because the held-out</w:t>
      </w:r>
      <w:r>
        <w:t xml:space="preserve"> </w:t>
      </w:r>
      <w:r>
        <w:t xml:space="preserve">inactives set the operating threshold as the 0.90 quantile of their scores, and</w:t>
      </w:r>
      <w:r>
        <w:t xml:space="preserve"> </w:t>
      </w:r>
      <w:r>
        <w:rPr>
          <w:b/>
          <w:bCs/>
        </w:rPr>
        <w:t xml:space="preserve">42 of the 52</w:t>
      </w:r>
      <w:r>
        <w:rPr>
          <w:b/>
          <w:bCs/>
        </w:rPr>
        <w:t xml:space="preserve"> </w:t>
      </w:r>
      <w:r>
        <w:rPr>
          <w:b/>
          <w:bCs/>
        </w:rPr>
        <w:t xml:space="preserve">endpoints are bound by that requirement rather than by the background pool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final_thresholds.csv</w:t>
      </w:r>
      <w:r>
        <w:t xml:space="preserve">). If a held-out inactive is a memorised analogue of a training inactive it</w:t>
      </w:r>
      <w:r>
        <w:t xml:space="preserve"> </w:t>
      </w:r>
      <w:r>
        <w:t xml:space="preserve">scores low, drags the quantile down, and leaves the threshold too permissive.</w:t>
      </w:r>
    </w:p>
    <w:p>
      <w:pPr>
        <w:pStyle w:val="BodyText"/>
      </w:pPr>
      <w:r>
        <w:t xml:space="preserve">I tested this on the deployed models without retraining, comparing held-out inactives that are close</w:t>
      </w:r>
      <w:r>
        <w:t xml:space="preserve"> </w:t>
      </w:r>
      <w:r>
        <w:t xml:space="preserve">analogues of a training inactive (maximum Tanimoto at least 0.7) against those that are structurally</w:t>
      </w:r>
      <w:r>
        <w:t xml:space="preserve"> </w:t>
      </w:r>
      <w:r>
        <w:t xml:space="preserve">distant (below 0.4), across the 40 endpoints with enough of each:</w:t>
      </w:r>
    </w:p>
    <w:p>
      <w:pPr>
        <w:pStyle w:val="Compact"/>
        <w:numPr>
          <w:ilvl w:val="0"/>
          <w:numId w:val="1001"/>
        </w:numPr>
      </w:pPr>
      <w:r>
        <w:t xml:space="preserve">the median endpoint has</w:t>
      </w:r>
      <w:r>
        <w:t xml:space="preserve"> </w:t>
      </w:r>
      <w:r>
        <w:rPr>
          <w:b/>
          <w:bCs/>
        </w:rPr>
        <w:t xml:space="preserve">42.8 per cent</w:t>
      </w:r>
      <w:r>
        <w:t xml:space="preserve"> </w:t>
      </w:r>
      <w:r>
        <w:t xml:space="preserve">of its held-out inactives sitting at Tanimoto 0.7 or above</w:t>
      </w:r>
      <w:r>
        <w:t xml:space="preserve"> </w:t>
      </w:r>
      <w:r>
        <w:t xml:space="preserve">to a training inactive, so the structural overlap is substantial and real;</w:t>
      </w:r>
    </w:p>
    <w:p>
      <w:pPr>
        <w:pStyle w:val="Compact"/>
        <w:numPr>
          <w:ilvl w:val="0"/>
          <w:numId w:val="1001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18 of 40</w:t>
      </w:r>
      <w:r>
        <w:t xml:space="preserve"> </w:t>
      </w:r>
      <w:r>
        <w:t xml:space="preserve">endpoints the close analogues score significantly lower than the distant ones</w:t>
      </w:r>
      <w:r>
        <w:t xml:space="preserve"> </w:t>
      </w:r>
      <w:r>
        <w:t xml:space="preserve">(Mann-Whitney, p &lt; 0.05), so the memorisation is measurable, not hypothetical.</w:t>
      </w:r>
    </w:p>
    <w:p>
      <w:pPr>
        <w:pStyle w:val="FirstParagraph"/>
      </w:pPr>
      <w:r>
        <w:rPr>
          <w:b/>
          <w:bCs/>
        </w:rPr>
        <w:t xml:space="preserve">But the expected consequence does not appear.</w:t>
      </w:r>
      <w:r>
        <w:t xml:space="preserve"> </w:t>
      </w:r>
      <w:r>
        <w:t xml:space="preserve">The median shift in the 0.90 quantile if only</w:t>
      </w:r>
      <w:r>
        <w:t xml:space="preserve"> </w:t>
      </w:r>
      <w:r>
        <w:t xml:space="preserve">structurally distant inactives were used is</w:t>
      </w:r>
      <w:r>
        <w:t xml:space="preserve"> </w:t>
      </w:r>
      <w:r>
        <w:rPr>
          <w:b/>
          <w:bCs/>
        </w:rPr>
        <w:t xml:space="preserve">-0.0315</w:t>
      </w:r>
      <w:r>
        <w:t xml:space="preserve">, and it moves upward on only</w:t>
      </w:r>
      <w:r>
        <w:t xml:space="preserve"> </w:t>
      </w:r>
      <w:r>
        <w:rPr>
          <w:b/>
          <w:bCs/>
        </w:rPr>
        <w:t xml:space="preserve">16 of 40</w:t>
      </w:r>
      <w:r>
        <w:t xml:space="preserve"> </w:t>
      </w:r>
      <w:r>
        <w:t xml:space="preserve">endpoints. If anything the current thresholds are marginally conservative rather than permissive. The</w:t>
      </w:r>
      <w:r>
        <w:t xml:space="preserve"> </w:t>
      </w:r>
      <w:r>
        <w:t xml:space="preserve">reason is that the threshold is an upper-tail quantile while memorisation acts on the bulk of the</w:t>
      </w:r>
      <w:r>
        <w:t xml:space="preserve"> </w:t>
      </w:r>
      <w:r>
        <w:t xml:space="preserve">distribution, and the per-endpoint shifts are dominated by noise: the distant subsets are small, and</w:t>
      </w:r>
      <w:r>
        <w:t xml:space="preserve"> </w:t>
      </w:r>
      <w:r>
        <w:t xml:space="preserve">individual shifts range from -0.694 to +0.695, which is not a signal.</w:t>
      </w:r>
    </w:p>
    <w:p>
      <w:pPr>
        <w:pStyle w:val="BodyText"/>
      </w:pPr>
      <w:r>
        <w:t xml:space="preserve">So the honest verdict is narrower than the concern that prompted it.</w:t>
      </w:r>
      <w:r>
        <w:t xml:space="preserve"> </w:t>
      </w:r>
      <w:r>
        <w:rPr>
          <w:b/>
          <w:bCs/>
        </w:rPr>
        <w:t xml:space="preserve">The design is inconsistent and</w:t>
      </w:r>
      <w:r>
        <w:rPr>
          <w:b/>
          <w:bCs/>
        </w:rPr>
        <w:t xml:space="preserve"> </w:t>
      </w:r>
      <w:r>
        <w:rPr>
          <w:b/>
          <w:bCs/>
        </w:rPr>
        <w:t xml:space="preserve">the project’s own stated reasoning condemns it, but no bias in the delivered thresholds is</w:t>
      </w:r>
      <w:r>
        <w:rPr>
          <w:b/>
          <w:bCs/>
        </w:rPr>
        <w:t xml:space="preserve"> </w:t>
      </w:r>
      <w:r>
        <w:rPr>
          <w:b/>
          <w:bCs/>
        </w:rPr>
        <w:t xml:space="preserve">demonstrated.</w:t>
      </w:r>
      <w:r>
        <w:t xml:space="preserve"> </w:t>
      </w:r>
      <w:r>
        <w:t xml:space="preserve">It should be corrected for consistency, and the correction should be expected to change</w:t>
      </w:r>
      <w:r>
        <w:t xml:space="preserve"> </w:t>
      </w:r>
      <w:r>
        <w:t xml:space="preserve">little. It is not a reason to distrust the current panel.</w:t>
      </w:r>
    </w:p>
    <w:bookmarkEnd w:id="18"/>
    <w:bookmarkStart w:id="19" w:name="X52e264152d61708838fddf5efe4947fd39b2acd"/>
    <w:p>
      <w:pPr>
        <w:pStyle w:val="Heading3"/>
      </w:pPr>
      <w:r>
        <w:t xml:space="preserve">Finding C. Two scaffold groups can straddle the conformal split boundaries (LOW)</w:t>
      </w:r>
    </w:p>
    <w:p>
      <w:pPr>
        <w:pStyle w:val="FirstParagraph"/>
      </w:pPr>
      <w:r>
        <w:t xml:space="preserve">The new scaffold arm orders compounds by shuffled group rank and cuts at fixed indices</w:t>
      </w:r>
      <w:r>
        <w:t xml:space="preserve"> </w:t>
      </w:r>
      <w:r>
        <w:rPr>
          <w:rStyle w:val="VerbatimChar"/>
        </w:rPr>
        <w:t xml:space="preserve">idx[:a], idx[a:b], idx[b:]</w:t>
      </w:r>
      <w:r>
        <w:t xml:space="preserve">. Groups are contiguous in that ordering, but a group spanning index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divided across two partitions. At most two groups are affected per endpoint. The exposure is</w:t>
      </w:r>
      <w:r>
        <w:t xml:space="preserve"> </w:t>
      </w:r>
      <w:r>
        <w:t xml:space="preserve">bounded and small, but it is avoidable by assigning whole groups by cumulative size, and this project</w:t>
      </w:r>
      <w:r>
        <w:t xml:space="preserve"> </w:t>
      </w:r>
      <w:r>
        <w:t xml:space="preserve">holds itself to that standard elsewhere.</w:t>
      </w:r>
    </w:p>
    <w:bookmarkEnd w:id="19"/>
    <w:bookmarkStart w:id="20" w:name="X5dd0272d77b53bb8926b9306a2dddea51dd59e4"/>
    <w:p>
      <w:pPr>
        <w:pStyle w:val="Heading3"/>
      </w:pPr>
      <w:r>
        <w:t xml:space="preserve">Finding D. The deployed binder models are calibrated on a random, non-scaffold split (LOW)</w:t>
      </w:r>
    </w:p>
    <w:p>
      <w:pPr>
        <w:pStyle w:val="FirstParagraph"/>
      </w:pPr>
      <w:r>
        <w:rPr>
          <w:rStyle w:val="VerbatimChar"/>
        </w:rPr>
        <w:t xml:space="preserve">train_binders_hybrid.py</w:t>
      </w:r>
      <w:r>
        <w:t xml:space="preserve"> </w:t>
      </w:r>
      <w:r>
        <w:t xml:space="preserve">line 182 uses</w:t>
      </w:r>
      <w:r>
        <w:t xml:space="preserve"> </w:t>
      </w:r>
      <w:r>
        <w:rPr>
          <w:rStyle w:val="VerbatimChar"/>
        </w:rPr>
        <w:t xml:space="preserve">train_test_split(..., test_size=0.2, stratify=y, random_state=42)</w:t>
      </w:r>
      <w:r>
        <w:t xml:space="preserve">, fits the forest on the 80 per cent and the Platt sigmoid on the 20 per cent. Two</w:t>
      </w:r>
      <w:r>
        <w:t xml:space="preserve"> </w:t>
      </w:r>
      <w:r>
        <w:t xml:space="preserve">consequences worth stating rather than fixing: the deployed binder estimator is fitted on 80 per cent</w:t>
      </w:r>
      <w:r>
        <w:t xml:space="preserve"> </w:t>
      </w:r>
      <w:r>
        <w:t xml:space="preserve">of its available data, and its sigmoid is calibrated on compounds that are analogues of its training</w:t>
      </w:r>
      <w:r>
        <w:t xml:space="preserve"> </w:t>
      </w:r>
      <w:r>
        <w:t xml:space="preserve">set, so binder probabilities should be expected to be less well calibrated on novel chemistry than the</w:t>
      </w:r>
      <w:r>
        <w:t xml:space="preserve"> </w:t>
      </w:r>
      <w:r>
        <w:t xml:space="preserve">core panel’s isotonic figures suggest. Chapter 10’s coverage matrix already records that no binder</w:t>
      </w:r>
      <w:r>
        <w:t xml:space="preserve"> </w:t>
      </w:r>
      <w:r>
        <w:t xml:space="preserve">endpoint carries a conformal set or an isotonic calibration, so this is consistent with what the thesis</w:t>
      </w:r>
      <w:r>
        <w:t xml:space="preserve"> </w:t>
      </w:r>
      <w:r>
        <w:t xml:space="preserve">claims; it is the mechanism behind that gap rather than a new one.</w:t>
      </w:r>
    </w:p>
    <w:bookmarkEnd w:id="20"/>
    <w:bookmarkStart w:id="21" w:name="Xd68a332f72ec14b0708ebf0e1a272353c213024"/>
    <w:p>
      <w:pPr>
        <w:pStyle w:val="Heading3"/>
      </w:pPr>
      <w:r>
        <w:t xml:space="preserve">Finding E. The domain analysis scores an undeployed model (INFORMATIONAL)</w:t>
      </w:r>
    </w:p>
    <w:p>
      <w:pPr>
        <w:pStyle w:val="FirstParagraph"/>
      </w:pPr>
      <w:r>
        <w:rPr>
          <w:rStyle w:val="VerbatimChar"/>
        </w:rPr>
        <w:t xml:space="preserve">applicability_domain.py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BBB.joblib</w:t>
      </w:r>
      <w:r>
        <w:t xml:space="preserve">, not the</w:t>
      </w:r>
      <w:r>
        <w:t xml:space="preserve"> </w:t>
      </w:r>
      <w:r>
        <w:rPr>
          <w:rStyle w:val="VerbatimChar"/>
        </w:rPr>
        <w:t xml:space="preserve">BBB_calibrated.joblib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serves.</w:t>
      </w:r>
      <w:r>
        <w:t xml:space="preserve"> </w:t>
      </w:r>
      <w:r>
        <w:t xml:space="preserve">AUROC is rank-invariant so it is unaffected, but the accuracy column is computed at a 0.5 cut on</w:t>
      </w:r>
      <w:r>
        <w:t xml:space="preserve"> </w:t>
      </w:r>
      <w:r>
        <w:t xml:space="preserve">uncalibrated probabilities and is therefore not the deployed model’s accuracy.</w:t>
      </w:r>
    </w:p>
    <w:bookmarkEnd w:id="21"/>
    <w:bookmarkEnd w:id="22"/>
    <w:bookmarkStart w:id="23" w:name="suspicions-the-evidence-refuted"/>
    <w:p>
      <w:pPr>
        <w:pStyle w:val="Heading2"/>
      </w:pPr>
      <w:r>
        <w:t xml:space="preserve">4. Suspicions the evidence refuted</w:t>
      </w:r>
    </w:p>
    <w:p>
      <w:pPr>
        <w:pStyle w:val="FirstParagraph"/>
      </w:pPr>
      <w:r>
        <w:t xml:space="preserve">Both of these are natural lines of attack and both should be in the candidate’s pocket with the number</w:t>
      </w:r>
      <w:r>
        <w:t xml:space="preserve"> </w:t>
      </w:r>
      <w:r>
        <w:t xml:space="preserve">attached, because the answer is stronger than a denial.</w:t>
      </w:r>
    </w:p>
    <w:p>
      <w:pPr>
        <w:pStyle w:val="BodyText"/>
      </w:pPr>
      <w:r>
        <w:rPr>
          <w:b/>
          <w:bCs/>
        </w:rPr>
        <w:t xml:space="preserve">That the deterministic partition inflates the scaffold results.</w:t>
      </w:r>
      <w:r>
        <w:t xml:space="preserve"> </w:t>
      </w:r>
      <w:r>
        <w:rPr>
          <w:rStyle w:val="VerbatimChar"/>
        </w:rPr>
        <w:t xml:space="preserve">GroupKFold</w:t>
      </w:r>
      <w:r>
        <w:t xml:space="preserve"> </w:t>
      </w:r>
      <w:r>
        <w:t xml:space="preserve">is unshuffled and</w:t>
      </w:r>
      <w:r>
        <w:t xml:space="preserve"> </w:t>
      </w:r>
      <w:r>
        <w:t xml:space="preserve">assigns the largest group first, and there is only ever one partition, so no uncertainty from that</w:t>
      </w:r>
      <w:r>
        <w:t xml:space="preserve"> </w:t>
      </w:r>
      <w:r>
        <w:t xml:space="preserve">choice is reported anywhere. The concern is concrete: the largest scaffold group falls entirely in</w:t>
      </w:r>
      <w:r>
        <w:t xml:space="preserve"> </w:t>
      </w:r>
      <w:r>
        <w:t xml:space="preserve">fold 1 and constitutes 60 per cent of BBB’s fold-1 test set, which is that endpoint’s worst fold at</w:t>
      </w:r>
      <w:r>
        <w:t xml:space="preserve"> </w:t>
      </w:r>
      <w:r>
        <w:t xml:space="preserve">0.8176 against a 0.8777 mean. Fold-level spread is genuinely wider under the scaffold split (mean</w:t>
      </w:r>
      <w:r>
        <w:t xml:space="preserve"> </w:t>
      </w:r>
      <w:r>
        <w:t xml:space="preserve">per-endpoint standard deviation 0.0237 against 0.0093 random, and BBB ranges 0.8176 to 0.9178).</w:t>
      </w:r>
    </w:p>
    <w:p>
      <w:pPr>
        <w:pStyle w:val="BodyText"/>
      </w:pPr>
      <w:r>
        <w:t xml:space="preserve">I re-ran BBB, MAO-A and AChE under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with ten different shuffles. The pooled</w:t>
      </w:r>
      <w:r>
        <w:t xml:space="preserve"> </w:t>
      </w:r>
      <w:r>
        <w:t xml:space="preserve">estimate is</w:t>
      </w:r>
      <w:r>
        <w:t xml:space="preserve"> </w:t>
      </w:r>
      <w:r>
        <w:rPr>
          <w:b/>
          <w:bCs/>
        </w:rPr>
        <w:t xml:space="preserve">stable to the third decimal</w:t>
      </w:r>
      <w:r>
        <w:t xml:space="preserve">: BBB 0.8765 with a standard deviation of 0.0008 and a total</w:t>
      </w:r>
      <w:r>
        <w:t xml:space="preserve"> </w:t>
      </w:r>
      <w:r>
        <w:t xml:space="preserve">spread of 0.0029 across all ten partitions, against the deployed 0.8779. MAO-A 0.9063 with a standard</w:t>
      </w:r>
      <w:r>
        <w:t xml:space="preserve"> </w:t>
      </w:r>
      <w:r>
        <w:t xml:space="preserve">deviation of 0.0026, AChE 0.9214 with 0.0013. The fold-to-fold variation is real and averages out.</w:t>
      </w:r>
      <w:r>
        <w:t xml:space="preserve"> </w:t>
      </w:r>
      <w:r>
        <w:rPr>
          <w:b/>
          <w:bCs/>
        </w:rPr>
        <w:t xml:space="preserve">The headline scaffold numbers do not depend on the partition.</w:t>
      </w:r>
    </w:p>
    <w:p>
      <w:pPr>
        <w:pStyle w:val="BodyText"/>
      </w:pPr>
      <w:r>
        <w:rPr>
          <w:b/>
          <w:bCs/>
        </w:rPr>
        <w:t xml:space="preserve">That calibration was measured on the easier split.</w:t>
      </w:r>
      <w:r>
        <w:t xml:space="preserve"> </w:t>
      </w:r>
      <w:r>
        <w:t xml:space="preserve">Calibration quality is reported from the random</w:t>
      </w:r>
      <w:r>
        <w:t xml:space="preserve"> </w:t>
      </w:r>
      <w:r>
        <w:t xml:space="preserve">out-of-fold predictions while scaffold out-of-fold predictions exist in the same directory. I computed</w:t>
      </w:r>
      <w:r>
        <w:t xml:space="preserve"> </w:t>
      </w:r>
      <w:r>
        <w:t xml:space="preserve">both. Mean expected calibration error after isotonic regression is</w:t>
      </w:r>
      <w:r>
        <w:t xml:space="preserve"> </w:t>
      </w:r>
      <w:r>
        <w:rPr>
          <w:b/>
          <w:bCs/>
        </w:rPr>
        <w:t xml:space="preserve">0.0151 under the random split and</w:t>
      </w:r>
      <w:r>
        <w:rPr>
          <w:b/>
          <w:bCs/>
        </w:rPr>
        <w:t xml:space="preserve"> </w:t>
      </w:r>
      <w:r>
        <w:rPr>
          <w:b/>
          <w:bCs/>
        </w:rPr>
        <w:t xml:space="preserve">0.0169 under the scaffold split</w:t>
      </w:r>
      <w:r>
        <w:t xml:space="preserve">; raw, it is 0.0801 against 0.0833. The choice costs about two parts</w:t>
      </w:r>
      <w:r>
        <w:t xml:space="preserve"> </w:t>
      </w:r>
      <w:r>
        <w:t xml:space="preserve">in a thousand and can now be defended with a number rather than conceded.</w:t>
      </w:r>
    </w:p>
    <w:bookmarkEnd w:id="23"/>
    <w:bookmarkStart w:id="24" w:name="state-of-the-verification-machinery"/>
    <w:p>
      <w:pPr>
        <w:pStyle w:val="Heading2"/>
      </w:pPr>
      <w:r>
        <w:t xml:space="preserve">5. State of the verification machinery</w:t>
      </w:r>
    </w:p>
    <w:p>
      <w:pPr>
        <w:pStyle w:val="FirstParagraph"/>
      </w:pPr>
      <w:r>
        <w:t xml:space="preserve">Run during this audit, on the current tree: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81 tests pass</w:t>
      </w:r>
      <w:r>
        <w:t xml:space="preserve">, with 57 subtests, in 97 seconds.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Freshness clean</w:t>
      </w:r>
      <w:r>
        <w:t xml:space="preserve">: every declared artefact is newer than its inputs; 252 model entries verified</w:t>
      </w:r>
      <w:r>
        <w:t xml:space="preserve"> </w:t>
      </w:r>
      <w:r>
        <w:t xml:space="preserve">with 0 checksum mismatches and 0 missing.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Panel consistent</w:t>
      </w:r>
      <w:r>
        <w:t xml:space="preserve">: 52 endpoints, 47 deployed, registry and fitted models agree.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229 quantitative claims</w:t>
      </w:r>
      <w:r>
        <w:t xml:space="preserve"> </w:t>
      </w:r>
      <w:r>
        <w:t xml:space="preserve">checked across the ten chapters and the three aside documents, 0 failures.</w:t>
      </w:r>
    </w:p>
    <w:p>
      <w:pPr>
        <w:pStyle w:val="FirstParagraph"/>
      </w:pPr>
      <w:r>
        <w:t xml:space="preserve">The gap Finding A exposes is not in this machinery’s execution but in its coverage: it verifies that</w:t>
      </w:r>
      <w:r>
        <w:t xml:space="preserve"> </w:t>
      </w:r>
      <w:r>
        <w:t xml:space="preserve">artefacts are current with respect to declared inputs, and</w:t>
      </w:r>
      <w:r>
        <w:t xml:space="preserve"> </w:t>
      </w:r>
      <w:r>
        <w:rPr>
          <w:rStyle w:val="VerbatimChar"/>
        </w:rPr>
        <w:t xml:space="preserve">external_bbb_test.csv</w:t>
      </w:r>
      <w:r>
        <w:t xml:space="preserve"> </w:t>
      </w:r>
      <w:r>
        <w:t xml:space="preserve">was never declared.</w:t>
      </w:r>
    </w:p>
    <w:bookmarkEnd w:id="24"/>
    <w:bookmarkStart w:id="25" w:name="verdict"/>
    <w:p>
      <w:pPr>
        <w:pStyle w:val="Heading2"/>
      </w:pPr>
      <w:r>
        <w:t xml:space="preserve">6. Verdict</w:t>
      </w:r>
    </w:p>
    <w:p>
      <w:pPr>
        <w:pStyle w:val="FirstParagraph"/>
      </w:pPr>
      <w:r>
        <w:t xml:space="preserve">The codebase is in unusually good scientific order. The evidence for that is not that I found little,</w:t>
      </w:r>
      <w:r>
        <w:t xml:space="preserve"> </w:t>
      </w:r>
      <w:r>
        <w:t xml:space="preserve">but the character of what I found: after a deliberate search for leakage, circularity and misapplied</w:t>
      </w:r>
      <w:r>
        <w:t xml:space="preserve"> </w:t>
      </w:r>
      <w:r>
        <w:t xml:space="preserve">statistics across 197 files, the substantive defects reduce to one stale cached flag, one design</w:t>
      </w:r>
      <w:r>
        <w:t xml:space="preserve"> </w:t>
      </w:r>
      <w:r>
        <w:t xml:space="preserve">asymmetry with no demonstrated consequence, and three minor items. Every serious guard this project</w:t>
      </w:r>
      <w:r>
        <w:t xml:space="preserve"> </w:t>
      </w:r>
      <w:r>
        <w:t xml:space="preserve">needs is present somewhere in it, including several that most work of this kind lacks entirely:</w:t>
      </w:r>
      <w:r>
        <w:t xml:space="preserve"> </w:t>
      </w:r>
      <w:r>
        <w:t xml:space="preserve">feature-level deduplication before splitting, a background pool partitioned three ways so no compound</w:t>
      </w:r>
      <w:r>
        <w:t xml:space="preserve"> </w:t>
      </w:r>
      <w:r>
        <w:t xml:space="preserve">can serve two roles, thresholds set from data the model never saw, an explicit permutation null, a</w:t>
      </w:r>
      <w:r>
        <w:t xml:space="preserve"> </w:t>
      </w:r>
      <w:r>
        <w:t xml:space="preserve">falsification suite that has refuted four of its own hypotheses, and an independent reproduction</w:t>
      </w:r>
      <w:r>
        <w:t xml:space="preserve"> </w:t>
      </w:r>
      <w:r>
        <w:t xml:space="preserve">ladder.</w:t>
      </w:r>
    </w:p>
    <w:p>
      <w:pPr>
        <w:pStyle w:val="BodyText"/>
      </w:pPr>
      <w:r>
        <w:t xml:space="preserve">The recurring failure mode is not carelessness but incomplete propagation: a guard is invented, argued</w:t>
      </w:r>
      <w:r>
        <w:t xml:space="preserve"> </w:t>
      </w:r>
      <w:r>
        <w:t xml:space="preserve">for correctly, and then applied to one of the two places that need it. Finding A, Finding B and the</w:t>
      </w:r>
      <w:r>
        <w:t xml:space="preserve"> </w:t>
      </w:r>
      <w:r>
        <w:t xml:space="preserve">original conformal defect are all the same shape. That is worth saying to a committee plainly, because</w:t>
      </w:r>
      <w:r>
        <w:t xml:space="preserve"> </w:t>
      </w:r>
      <w:r>
        <w:t xml:space="preserve">it is a much better answer than treating each as an isolated slip.</w:t>
      </w:r>
    </w:p>
    <w:p>
      <w:pPr>
        <w:pStyle w:val="BodyText"/>
      </w:pPr>
      <w:r>
        <w:rPr>
          <w:b/>
          <w:bCs/>
        </w:rPr>
        <w:t xml:space="preserve">One item, Finding A, must be fixed before submission</w:t>
      </w:r>
      <w:r>
        <w:t xml:space="preserve">, because it changes a number the manuscript</w:t>
      </w:r>
      <w:r>
        <w:t xml:space="preserve"> </w:t>
      </w:r>
      <w:r>
        <w:t xml:space="preserve">relies on and because the correction is small, contained and in the direction that costs the project</w:t>
      </w:r>
      <w:r>
        <w:t xml:space="preserve"> </w:t>
      </w:r>
      <w:r>
        <w:t xml:space="preserve">0.0268 of AUROC. Everything else can be scheduled.</w:t>
      </w:r>
    </w:p>
    <w:p>
      <w:r>
        <w:pict>
          <v:rect style="width:0;height:1.5pt" o:hralign="center" o:hrstd="t" o:hr="t"/>
        </w:pict>
      </w:r>
    </w:p>
    <w:bookmarkEnd w:id="25"/>
    <w:bookmarkStart w:id="26" w:name="outstanding-items"/>
    <w:p>
      <w:pPr>
        <w:pStyle w:val="Heading2"/>
      </w:pPr>
      <w:r>
        <w:t xml:space="preserve">Outstanding items</w:t>
      </w:r>
    </w:p>
    <w:p>
      <w:pPr>
        <w:pStyle w:val="Compact"/>
        <w:numPr>
          <w:ilvl w:val="0"/>
          <w:numId w:val="1003"/>
        </w:numPr>
      </w:pPr>
      <w:r>
        <w:t xml:space="preserve">Finding A: recompute the novelty flags with the deployed featuriser and update the affected claims.</w:t>
      </w:r>
    </w:p>
    <w:p>
      <w:pPr>
        <w:pStyle w:val="Compact"/>
        <w:numPr>
          <w:ilvl w:val="0"/>
          <w:numId w:val="1003"/>
        </w:numPr>
      </w:pPr>
      <w:r>
        <w:t xml:space="preserve">Finding B: split the binder measured inactives by scaffold and re-derive the 42 affected thresholds.</w:t>
      </w:r>
    </w:p>
    <w:p>
      <w:pPr>
        <w:pStyle w:val="Compact"/>
        <w:numPr>
          <w:ilvl w:val="0"/>
          <w:numId w:val="1003"/>
        </w:numPr>
      </w:pPr>
      <w:r>
        <w:t xml:space="preserve">Finding 2.6: restate the applicability-domain expectation as calibration rather than discrimination,</w:t>
      </w:r>
      <w:r>
        <w:t xml:space="preserve"> </w:t>
      </w:r>
      <w:r>
        <w:t xml:space="preserve">and test it.</w:t>
      </w:r>
    </w:p>
    <w:p>
      <w:pPr>
        <w:pStyle w:val="Compact"/>
        <w:numPr>
          <w:ilvl w:val="0"/>
          <w:numId w:val="1003"/>
        </w:numPr>
      </w:pPr>
      <w:r>
        <w:t xml:space="preserve">Findings C, D and E: correct at convenience.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check_freshness.py</w:t>
      </w:r>
      <w:r>
        <w:t xml:space="preserve">: declare</w:t>
      </w:r>
      <w:r>
        <w:t xml:space="preserve"> </w:t>
      </w:r>
      <w:r>
        <w:rPr>
          <w:rStyle w:val="VerbatimChar"/>
        </w:rPr>
        <w:t xml:space="preserve">external_bbb_test.csv</w:t>
      </w:r>
      <w:r>
        <w:t xml:space="preserve"> </w:t>
      </w:r>
      <w:r>
        <w:t xml:space="preserve">as a derived artefact.</w:t>
      </w:r>
    </w:p>
    <w:bookmarkEnd w:id="26"/>
    <w:bookmarkEnd w:id="27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2026-09-16T02:41:03Z</dcterms:created>
  <dcterms:modified xsi:type="dcterms:W3CDTF">2026-09-16T02:41:03Z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