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0.7666</w:t>
            </w:r>
            <w:r>
              <w:t xml:space="preserve"> </w:t>
            </w:r>
            <w:r>
              <w:t xml:space="preserve">on 227 unseen drugs</w:t>
            </w:r>
          </w:p>
        </w:tc>
        <w:tc>
          <w:tcPr/>
          <w:p>
            <w:pPr>
              <w:pStyle w:val="Compact"/>
            </w:pPr>
            <w:r>
              <w:t xml:space="preserve">0.7645 on all 306, so filtering changes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227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  <w:tc>
          <w:tcPr/>
          <w:p>
            <w:pPr>
              <w:pStyle w:val="Compact"/>
            </w:pPr>
            <w:r>
              <w:t xml:space="preserve">−0.0235, interval −0.0580 to</w:t>
            </w:r>
            <w:r>
              <w:t xml:space="preserve"> </w:t>
            </w:r>
            <w:r>
              <w:rPr>
                <w:b/>
                <w:bCs/>
              </w:rPr>
              <w:t xml:space="preserve">+0.0154</w:t>
            </w:r>
            <w:r>
              <w:t xml:space="preserve">, p = 0.107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−0.0266, interval −0.0709 to +0.0160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  <w:tc>
          <w:tcPr/>
          <w:p>
            <w:pPr>
              <w:pStyle w:val="Compact"/>
            </w:pPr>
            <w:r>
              <w:t xml:space="preserve">−0.0361, interval −0.0890 to +0.0108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  <w:tc>
          <w:tcPr/>
          <w:p>
            <w:pPr>
              <w:pStyle w:val="Compact"/>
            </w:pPr>
            <w:r>
              <w:t xml:space="preserve">−0.1418, interval −0.2067 to −0.0836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0.7666 on</w:t>
      </w:r>
      <w:r>
        <w:t xml:space="preserve"> </w:t>
      </w:r>
      <w:r>
        <w:t xml:space="preserve">the 227 that are also distinguishable in feature space. Say that the two agree: filtering for novelty</w:t>
      </w:r>
      <w:r>
        <w:t xml:space="preserve"> </w:t>
      </w:r>
      <w:r>
        <w:t xml:space="preserve">does not improve the figure, which is what a genuine external result should look like. If asked</w:t>
      </w:r>
      <w:r>
        <w:t xml:space="preserve"> </w:t>
      </w:r>
      <w:r>
        <w:t xml:space="preserve">whether the filter was chosen to flatter the number, the answer is that it demonstrably does not.</w:t>
      </w:r>
    </w:p>
    <w:p>
      <w:pPr>
        <w:pStyle w:val="BodyText"/>
      </w:pPr>
      <w:r>
        <w:t xml:space="preserve">The 79 compounds the featuriser cannot tell apart from a training row are reported separately, at</w:t>
      </w:r>
      <w:r>
        <w:t xml:space="preserve"> </w:t>
      </w:r>
      <w:r>
        <w:t xml:space="preserve">AUROC</w:t>
      </w:r>
      <w:r>
        <w:t xml:space="preserve"> </w:t>
      </w:r>
      <w:r>
        <w:rPr>
          <w:b/>
          <w:bCs/>
        </w:rPr>
        <w:t xml:space="preserve">0.7490</w:t>
      </w:r>
      <w:r>
        <w:t xml:space="preserve">. Be ready for the follow-up, because the comparison is not one-directional: their</w:t>
      </w:r>
      <w:r>
        <w:t xml:space="preserve"> </w:t>
      </w:r>
      <w:r>
        <w:t xml:space="preserve">AUROC is slightly lower than the novel set’s, while their accuracy is higher, 0.7595 against 0.7225.</w:t>
      </w:r>
      <w:r>
        <w:t xml:space="preserve"> </w:t>
      </w:r>
      <w:r>
        <w:t xml:space="preserve">The honest reading is that the model places them on the right side of the threshold more often, which</w:t>
      </w:r>
      <w:r>
        <w:t xml:space="preserve"> </w:t>
      </w:r>
      <w:r>
        <w:t xml:space="preserve">is what memorisation buys, without ranking them better overall. Note also that this count was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until the audit: the flag was computed on the raw SMILES, before the featuriser began neutralising,</w:t>
      </w:r>
      <w:r>
        <w:t xml:space="preserve"> </w:t>
      </w:r>
      <w:r>
        <w:t xml:space="preserve">so it described a representation the deployed model no longer uses. Fourteen compounds moved from</w:t>
      </w:r>
      <w:r>
        <w:t xml:space="preserve"> </w:t>
      </w:r>
      <w:r>
        <w:t xml:space="preserve">“novel”</w:t>
      </w:r>
      <w:r>
        <w:t xml:space="preserve"> </w:t>
      </w:r>
      <w:r>
        <w:t xml:space="preserve">to</w:t>
      </w:r>
      <w:r>
        <w:t xml:space="preserve"> </w:t>
      </w:r>
      <w:r>
        <w:t xml:space="preserve">“memorised”</w:t>
      </w:r>
      <w:r>
        <w:t xml:space="preserve"> </w:t>
      </w:r>
      <w:r>
        <w:t xml:space="preserve">when it was recomputed correctly.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0.7666 on the 227 that are also novel in feature</w:t>
      </w:r>
      <w:r>
        <w:t xml:space="preserve"> </w:t>
      </w:r>
      <w:r>
        <w:t xml:space="preserve">space, against 0.7645 on all 306.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79 compounds that are feature-identical to a training compound</w:t>
      </w:r>
      <w:r>
        <w:t xml:space="preserve"> </w:t>
      </w:r>
      <w:r>
        <w:t xml:space="preserve">are excluded from the strict figure of 0.7666.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2026-09-16T02:41:02Z</dcterms:created>
  <dcterms:modified xsi:type="dcterms:W3CDTF">2026-09-16T02:41:02Z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