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ten falsification hypotheses were refuted and two more weakened</w:t>
      </w:r>
      <w:r>
        <w:t xml:space="preserve"> </w:t>
      </w:r>
      <w:r>
        <w:t xml:space="preserve">and are reported as such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 And the barrier model’s advantage over a fitted rule on twelve descriptors, clear on the</w:t>
      </w:r>
      <w:r>
        <w:t xml:space="preserve"> </w:t>
      </w:r>
      <w:r>
        <w:t xml:space="preserve">training distribution, is not established on approved drugs the model has never seen, a tenth</w:t>
      </w:r>
      <w:r>
        <w:t xml:space="preserve"> </w:t>
      </w:r>
      <w:r>
        <w:t xml:space="preserve">hypothesis written after the suite itself noted that no test examined the one component every</w:t>
      </w:r>
      <w:r>
        <w:t xml:space="preserve"> </w:t>
      </w:r>
      <w:r>
        <w:t xml:space="preserve">disease score is gated by.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tables the</w:t>
      </w:r>
      <w:r>
        <w:t xml:space="preserve"> </w:t>
      </w:r>
      <w:r>
        <w:t xml:space="preserve">feature-vector overlap is the 15,104 rows already counted above, which is precisely what</w:t>
      </w:r>
      <w:r>
        <w:t xml:space="preserve"> </w:t>
      </w:r>
      <w:r>
        <w:t xml:space="preserve">deduplication removes. And across the panel, 52 targets were checked for scaffold overlap between</w:t>
      </w:r>
      <w:r>
        <w:t xml:space="preserve"> </w:t>
      </w:r>
      <w:r>
        <w:t xml:space="preserve">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 The</w:t>
      </w:r>
      <w:r>
        <w:t xml:space="preserve"> </w:t>
      </w:r>
      <w:r>
        <w:t xml:space="preserve">histogram-gradient-boosting figure is stated here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set, matching the</w:t>
      </w:r>
      <w:r>
        <w:t xml:space="preserve"> </w:t>
      </w:r>
      <w:r>
        <w:t xml:space="preserve">forest’s own weighting and XGBoost’s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; an earlier run of this comparison left it</w:t>
      </w:r>
      <w:r>
        <w:t xml:space="preserve"> </w:t>
      </w:r>
      <w:r>
        <w:t xml:space="preserve">unweighted, the only family competing without one, which read 0.9149 and is corrected in the current</w:t>
      </w:r>
      <w:r>
        <w:t xml:space="preserve"> </w:t>
      </w:r>
      <w:r>
        <w:t xml:space="preserve">artefact.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0.9247.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table moved from the figures first computed for this chapter, for the same reason section 4.9</w:t>
      </w:r>
      <w:r>
        <w:rPr>
          <w:i/>
          <w:iCs/>
        </w:rPr>
        <w:t xml:space="preserve"> </w:t>
      </w:r>
      <w:r>
        <w:rPr>
          <w:i/>
          <w:iCs/>
        </w:rPr>
        <w:t xml:space="preserve">records: the</w:t>
      </w:r>
      <w:r>
        <w:rPr>
          <w:i/>
          <w:iCs/>
        </w:rPr>
        <w:t xml:space="preserve"> </w:t>
      </w:r>
      <w:r>
        <w:rPr>
          <w:i/>
          <w:iCs/>
        </w:rPr>
        <w:t xml:space="preserve">“unseen drugs”</w:t>
      </w:r>
      <w:r>
        <w:rPr>
          <w:i/>
          <w:iCs/>
        </w:rPr>
        <w:t xml:space="preserve"> </w:t>
      </w:r>
      <w:r>
        <w:rPr>
          <w:i/>
          <w:iCs/>
        </w:rPr>
        <w:t xml:space="preserve">comparator is the featuriser-corrected external set, and every row shifted</w:t>
      </w:r>
      <w:r>
        <w:rPr>
          <w:i/>
          <w:iCs/>
        </w:rPr>
        <w:t xml:space="preserve"> </w:t>
      </w:r>
      <w:r>
        <w:rPr>
          <w:i/>
          <w:iCs/>
        </w:rPr>
        <w:t xml:space="preserve">by the same small amount when it was recomputed against it. The comparison the table exists to make,</w:t>
      </w:r>
      <w:r>
        <w:rPr>
          <w:i/>
          <w:iCs/>
        </w:rPr>
        <w:t xml:space="preserve"> </w:t>
      </w:r>
      <w:r>
        <w:rPr>
          <w:i/>
          <w:iCs/>
        </w:rPr>
        <w:t xml:space="preserve">which measure separates best, is unaffected.</w:t>
      </w:r>
    </w:p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0.57 for unseen drugs against</w:t>
      </w:r>
      <w:r>
        <w:t xml:space="preserve"> </w:t>
      </w:r>
      <w:r>
        <w:t xml:space="preserve">0.47 for non-drug-like chemistry, over 25 controls, one-sided Mann-Whitney p = 1.82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 The unseen-drug figure itself has since moved once more, from 0.59 to 0.57, for the same</w:t>
      </w:r>
      <w:r>
        <w:t xml:space="preserve"> </w:t>
      </w:r>
      <w:r>
        <w:t xml:space="preserve">reason Chapter 8 records for the external barrier AUROC: the check scores the</w:t>
      </w:r>
      <w:r>
        <w:t xml:space="preserve"> </w:t>
      </w:r>
      <w:r>
        <w:t xml:space="preserve">“unseen drugs”</w:t>
      </w:r>
      <w:r>
        <w:t xml:space="preserve"> </w:t>
      </w:r>
      <w:r>
        <w:t xml:space="preserve">set</w:t>
      </w:r>
      <w:r>
        <w:t xml:space="preserve"> </w:t>
      </w:r>
      <w:r>
        <w:t xml:space="preserve">after the featuriser’s neutralisation fix excluded compounds it could no longer distinguish from</w:t>
      </w:r>
      <w:r>
        <w:t xml:space="preserve"> </w:t>
      </w:r>
      <w:r>
        <w:t xml:space="preserve">training, which is the corrected 227-compound population rather than the earlier 241. The verdict is</w:t>
      </w:r>
      <w:r>
        <w:t xml:space="preserve"> </w:t>
      </w:r>
      <w:r>
        <w:t xml:space="preserve">unaffected.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bookmarkStart w:id="85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74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74"/>
    <w:bookmarkStart w:id="76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75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75"/>
    <w:bookmarkEnd w:id="76"/>
    <w:bookmarkStart w:id="77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77"/>
    <w:bookmarkStart w:id="78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78"/>
    <w:bookmarkStart w:id="79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79"/>
    <w:bookmarkStart w:id="80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80"/>
    <w:bookmarkStart w:id="81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81"/>
    <w:bookmarkStart w:id="82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82"/>
    <w:bookmarkStart w:id="83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83"/>
    <w:bookmarkStart w:id="84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84"/>
    <w:bookmarkEnd w:id="85"/>
    <w:bookmarkStart w:id="97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86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86"/>
    <w:bookmarkStart w:id="87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87"/>
    <w:bookmarkStart w:id="88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0.7073</w:t>
            </w:r>
          </w:p>
        </w:tc>
      </w:tr>
    </w:tbl>
    <w:p>
      <w:pPr>
        <w:pStyle w:val="BodyText"/>
      </w:pPr>
      <w:r>
        <w:t xml:space="preserve">An earlier edition of this table reported the second row as 241 compounds at 0.7934 and the third as</w:t>
      </w:r>
      <w:r>
        <w:t xml:space="preserve"> </w:t>
      </w:r>
      <w:r>
        <w:t xml:space="preserve">65 at 0.7102. The novelty flag it used had been computed before the featuriser began neutralising</w:t>
      </w:r>
      <w:r>
        <w:t xml:space="preserve"> </w:t>
      </w:r>
      <w:r>
        <w:t xml:space="preserve">charges, so fourteen compounds it called novel were by then feature-identical to a training row, and</w:t>
      </w:r>
      <w:r>
        <w:t xml:space="preserve"> </w:t>
      </w:r>
      <w:r>
        <w:t xml:space="preserve">the model treated them accordingly: 92.9 per cent accuracy on those fourteen against 72.2 on the rest.</w:t>
      </w:r>
      <w:r>
        <w:t xml:space="preserve"> </w:t>
      </w:r>
      <w:r>
        <w:t xml:space="preserve">The flag was a function of the featuriser and nothing declared that dependency, so it did not move</w:t>
      </w:r>
      <w:r>
        <w:t xml:space="preserve"> </w:t>
      </w:r>
      <w:r>
        <w:t xml:space="preserve">when the featuriser did.</w:t>
      </w:r>
    </w:p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0.7666 on genuinely unseen approved drugs is a substantial drop from the 0.8777 the</w:t>
      </w:r>
      <w:r>
        <w:t xml:space="preserve"> </w:t>
      </w:r>
      <w:r>
        <w:t xml:space="preserve">scaffold split reports for BBB, and it is the most honest single number in this thesis about the</w:t>
      </w:r>
      <w:r>
        <w:t xml:space="preserve"> </w:t>
      </w:r>
      <w:r>
        <w:t xml:space="preserve">barrier model.</w:t>
      </w:r>
    </w:p>
    <w:bookmarkEnd w:id="88"/>
    <w:bookmarkStart w:id="89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89"/>
    <w:bookmarkStart w:id="90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90"/>
    <w:bookmarkStart w:id="91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91"/>
    <w:bookmarkStart w:id="92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92"/>
    <w:bookmarkStart w:id="93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93"/>
    <w:bookmarkStart w:id="94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94"/>
    <w:bookmarkStart w:id="95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95"/>
    <w:bookmarkStart w:id="96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rPr>
          <w:strike/>
        </w:rPr>
        <w:t xml:space="preserve">And</w:t>
      </w:r>
      <w:r>
        <w:rPr>
          <w:strike/>
        </w:rPr>
        <w:t xml:space="preserve"> </w:t>
      </w:r>
      <w:r>
        <w:rPr>
          <w:b/>
          <w:bCs/>
          <w:strike/>
        </w:rPr>
        <w:t xml:space="preserve">the null models have no artefact.</w:t>
      </w:r>
      <w:r>
        <w:t xml:space="preserve"> </w:t>
      </w:r>
      <w:r>
        <w:rPr>
          <w:b/>
          <w:bCs/>
        </w:rPr>
        <w:t xml:space="preserve">Resolved, see Chapter 9 section 9.7.</w:t>
      </w:r>
      <w:r>
        <w:t xml:space="preserve"> </w:t>
      </w:r>
      <w:r>
        <w:t xml:space="preserve">At the time</w:t>
      </w:r>
      <w:r>
        <w:t xml:space="preserve"> </w:t>
      </w:r>
      <w:r>
        <w:t xml:space="preserve">this chapter was written the technical report stated that with labels permuted the same pipeline</w:t>
      </w:r>
      <w:r>
        <w:t xml:space="preserve"> </w:t>
      </w:r>
      <w:r>
        <w:t xml:space="preserve">returns a mean AUROC of 0.4938 random and 0.4921 scaffold, hard-coded in the report generator with no</w:t>
      </w:r>
      <w:r>
        <w:t xml:space="preserve"> </w:t>
      </w:r>
      <w:r>
        <w:t xml:space="preserve">file in the repository holding them; a further claim that an independent re-run reproduced 26 core</w:t>
      </w:r>
      <w:r>
        <w:t xml:space="preserve"> </w:t>
      </w:r>
      <w:r>
        <w:t xml:space="preserve">values to within 4.7 × 10⁻⁵ had no script or artefact behind it at all and is not repeated here. The</w:t>
      </w:r>
      <w:r>
        <w:t xml:space="preserve"> </w:t>
      </w:r>
      <w:r>
        <w:t xml:space="preserve">label-permutation null is the single strongest piece of evidence that the cross-validation is not</w:t>
      </w:r>
      <w:r>
        <w:t xml:space="preserve"> </w:t>
      </w:r>
      <w:r>
        <w:t xml:space="preserve">inflated by leakage, and it is now computed by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from</w:t>
      </w:r>
      <w:r>
        <w:t xml:space="preserve"> </w:t>
      </w:r>
      <w:r>
        <w:t xml:space="preserve">the same featuriser, deduplication and fold objects as the deployed pipeline, over the eight core</w:t>
      </w:r>
      <w:r>
        <w:t xml:space="preserve"> </w:t>
      </w:r>
      <w:r>
        <w:t xml:space="preserve">classifiers, and written to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: mean AUROC 0.4959 random and</w:t>
      </w:r>
      <w:r>
        <w:t xml:space="preserve"> </w:t>
      </w:r>
      <w:r>
        <w:t xml:space="preserve">0.5026 scaffold, every one of sixteen values within 0.020 of chance. Both figures corroborate rather</w:t>
      </w:r>
      <w:r>
        <w:t xml:space="preserve"> </w:t>
      </w:r>
      <w:r>
        <w:t xml:space="preserve">than exactly reproduce the numbers this chapter’s own artefacts predate, sitting 0.0021 and 0.0105</w:t>
      </w:r>
      <w:r>
        <w:t xml:space="preserve"> </w:t>
      </w:r>
      <w:r>
        <w:t xml:space="preserve">away, which is the size of the sampling noise a single permutation per endpoint carries. Chapter 9</w:t>
      </w:r>
      <w:r>
        <w:t xml:space="preserve"> </w:t>
      </w:r>
      <w:r>
        <w:t xml:space="preserve">section 9.7 has the full derivation; this thesis quotes the artefact’s figures, not the technical</w:t>
      </w:r>
      <w:r>
        <w:t xml:space="preserve"> </w:t>
      </w:r>
      <w:r>
        <w:t xml:space="preserve">report’s.</w:t>
      </w:r>
    </w:p>
    <w:bookmarkEnd w:id="96"/>
    <w:bookmarkEnd w:id="97"/>
    <w:bookmarkStart w:id="110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8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8"/>
    <w:bookmarkStart w:id="99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99"/>
    <w:bookmarkStart w:id="100" w:name="the-ten-hypotheses"/>
    <w:p>
      <w:pPr>
        <w:pStyle w:val="Heading2"/>
      </w:pPr>
      <w:r>
        <w:t xml:space="preserve">9.3 The ten hypotheses</w:t>
      </w:r>
    </w:p>
    <w:p>
      <w:pPr>
        <w:pStyle w:val="FirstParagraph"/>
      </w:pPr>
      <w:r>
        <w:t xml:space="preserve">Four hypotheses were refuted, four supported and two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The barrier model earns its place over a descriptor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</w:t>
            </w:r>
          </w:p>
        </w:tc>
      </w:tr>
    </w:tbl>
    <w:p>
      <w:pPr>
        <w:pStyle w:val="BodyText"/>
      </w:pPr>
      <w:r>
        <w:t xml:space="preserve">Eight of the ten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00"/>
    <w:bookmarkStart w:id="101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01"/>
    <w:bookmarkStart w:id="102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ten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02"/>
    <w:bookmarkStart w:id="105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03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03"/>
    <w:bookmarkStart w:id="104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04"/>
    <w:bookmarkEnd w:id="105"/>
    <w:bookmarkStart w:id="106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06"/>
    <w:bookmarkStart w:id="107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07"/>
    <w:bookmarkStart w:id="108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 were named when this chapter was first written, because the suite is the strongest</w:t>
      </w:r>
      <w:r>
        <w:t xml:space="preserve"> </w:t>
      </w:r>
      <w:r>
        <w:t xml:space="preserve">evidence in this thesis and overreading it would be easy. One of the three, that nothing in it tested</w:t>
      </w:r>
      <w:r>
        <w:t xml:space="preserve"> </w:t>
      </w:r>
      <w:r>
        <w:t xml:space="preserve">the barrier model, is resolved below rather than removed, since a suite closing a gap it named is</w:t>
      </w:r>
      <w:r>
        <w:t xml:space="preserve"> </w:t>
      </w:r>
      <w:r>
        <w:t xml:space="preserve">part of the record this chapter keeps.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ten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H8, H9 and H10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H7; H9 was written only after H6 returned a</w:t>
      </w:r>
      <w:r>
        <w:t xml:space="preserve"> </w:t>
      </w:r>
      <w:r>
        <w:t xml:space="preserve">result its author judged unfairly scored; and H10, as the next paragraph records, was written only</w:t>
      </w:r>
      <w:r>
        <w:t xml:space="preserve"> </w:t>
      </w:r>
      <w:r>
        <w:t xml:space="preserve">after this section first went to press naming its own absence. Four of the ten hypotheses exist</w:t>
      </w:r>
      <w:r>
        <w:t xml:space="preserve"> </w:t>
      </w:r>
      <w:r>
        <w:t xml:space="preserve">because earlier ones produced surprises or, in H10’s case, because a gap this thesis stated plainly</w:t>
      </w:r>
      <w:r>
        <w:t xml:space="preserve"> </w:t>
      </w:r>
      <w:r>
        <w:t xml:space="preserve">was then filled rather than left standing, which is the right way for a suite to grow and also an</w:t>
      </w:r>
      <w:r>
        <w:t xml:space="preserve"> </w:t>
      </w:r>
      <w:r>
        <w:t xml:space="preserve">admission that its initial coverage was set by intuition.</w:t>
      </w:r>
    </w:p>
    <w:p>
      <w:pPr>
        <w:pStyle w:val="BodyText"/>
      </w:pPr>
      <w:r>
        <w:rPr>
          <w:b/>
          <w:bCs/>
          <w:strike/>
        </w:rPr>
        <w:t xml:space="preserve">Nothing in it tests the barrier model.</w:t>
      </w:r>
      <w:r>
        <w:t xml:space="preserve"> </w:t>
      </w:r>
      <w:r>
        <w:rPr>
          <w:b/>
          <w:bCs/>
        </w:rPr>
        <w:t xml:space="preserve">Resolved by H10, argued in Chapter 10 section</w:t>
      </w:r>
      <w:r>
        <w:rPr>
          <w:b/>
          <w:bCs/>
        </w:rPr>
        <w:t xml:space="preserve"> </w:t>
      </w:r>
      <w:r>
        <w:rPr>
          <w:b/>
          <w:bCs/>
        </w:rPr>
        <w:t xml:space="preserve">10.3.</w:t>
      </w:r>
      <w:r>
        <w:t xml:space="preserve"> </w:t>
      </w:r>
      <w:r>
        <w:t xml:space="preserve">H1, H2, H3, H6 and H9 test the disease layer; H5 tests read-across; H7 and H8 test the</w:t>
      </w:r>
      <w:r>
        <w:t xml:space="preserve"> </w:t>
      </w:r>
      <w:r>
        <w:t xml:space="preserve">target panel; H4 tests system-level specificity; H10 tests the barrier classifier itself, which</w:t>
      </w:r>
      <w:r>
        <w:t xml:space="preserve"> </w:t>
      </w:r>
      <w:r>
        <w:t xml:space="preserve">gates every disease score and is the component the whole architecture is named for. Until H10 the</w:t>
      </w:r>
      <w:r>
        <w:t xml:space="preserve"> </w:t>
      </w:r>
      <w:r>
        <w:t xml:space="preserve">only evidence for it was the external set in Chapter 8, AUROC 0.7666 on 227 unseen drugs, which is a</w:t>
      </w:r>
      <w:r>
        <w:t xml:space="preserve"> </w:t>
      </w:r>
      <w:r>
        <w:t xml:space="preserve">validation and not a falsification. The null H10 poses is exactly the one this section originally</w:t>
      </w:r>
      <w:r>
        <w:t xml:space="preserve"> </w:t>
      </w:r>
      <w:r>
        <w:t xml:space="preserve">called for and marked missing: whether the barrier model’s contribution to the ranking could be</w:t>
      </w:r>
      <w:r>
        <w:t xml:space="preserve"> </w:t>
      </w:r>
      <w:r>
        <w:t xml:space="preserve">replaced by a fitted rule over the twelve descriptors already in the feature vector without loss.</w:t>
      </w:r>
      <w:r>
        <w:t xml:space="preserve"> </w:t>
      </w:r>
      <w:r>
        <w:t xml:space="preserve">It could not be dismissed. Read on the scaffold hold-out the fingerprint wins outright; read on 227</w:t>
      </w:r>
      <w:r>
        <w:t xml:space="preserve"> </w:t>
      </w:r>
      <w:r>
        <w:t xml:space="preserve">approved drugs the model has never seen, its bootstrap interval crosses zero against the</w:t>
      </w:r>
      <w:r>
        <w:t xml:space="preserve"> </w:t>
      </w:r>
      <w:r>
        <w:t xml:space="preserve">descriptor-only forest, so the verdict is WEAKENED rather than the SUPPORTED a point estimate alone</w:t>
      </w:r>
      <w:r>
        <w:t xml:space="preserve"> </w:t>
      </w:r>
      <w:r>
        <w:t xml:space="preserve">would have given it. Chapter 10 section 10.3 has the full comparison; one qualification carries back</w:t>
      </w:r>
      <w:r>
        <w:t xml:space="preserve"> </w:t>
      </w:r>
      <w:r>
        <w:t xml:space="preserve">here. H10 tests the barrier model’s contribution to the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it produces, not its role as a</w:t>
      </w:r>
      <w:r>
        <w:t xml:space="preserve"> </w:t>
      </w:r>
      <w:r>
        <w:t xml:space="preserve">multiplicative</w:t>
      </w:r>
      <w:r>
        <w:t xml:space="preserve"> </w:t>
      </w:r>
      <w:r>
        <w:rPr>
          <w:i/>
          <w:iCs/>
        </w:rPr>
        <w:t xml:space="preserve">gate</w:t>
      </w:r>
      <w:r>
        <w:t xml:space="preserve">: whether replacing the probability with a descriptor rule would change which</w:t>
      </w:r>
      <w:r>
        <w:t xml:space="preserve"> </w:t>
      </w:r>
      <w:r>
        <w:t xml:space="preserve">compounds clear the 0.30 reporting threshold is a further, more directly user-relevant question that</w:t>
      </w:r>
      <w:r>
        <w:t xml:space="preserve"> </w:t>
      </w:r>
      <w:r>
        <w:t xml:space="preserve">remains open.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08"/>
    <w:bookmarkStart w:id="109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 or weakened.</w:t>
      </w:r>
      <w:r>
        <w:t xml:space="preserve"> </w:t>
      </w:r>
      <w:r>
        <w:t xml:space="preserve">Four of ten central claims did not survive and two more were downgraded.</w:t>
      </w:r>
      <w:r>
        <w:t xml:space="preserve"> </w:t>
      </w:r>
      <w:r>
        <w:t xml:space="preserve">Two of the refutations changed how the system is described, one changed the interface, and one</w:t>
      </w:r>
      <w:r>
        <w:t xml:space="preserve"> </w:t>
      </w:r>
      <w:r>
        <w:t xml:space="preserve">contributed to withdrawing four endpoints that were firing on glucose, urea and lactate; H10, added</w:t>
      </w:r>
      <w:r>
        <w:t xml:space="preserve"> </w:t>
      </w:r>
      <w:r>
        <w:t xml:space="preserve">after this section first went to press, downgraded a comparison this thesis would otherwise have</w:t>
      </w:r>
      <w:r>
        <w:t xml:space="preserve"> </w:t>
      </w:r>
      <w:r>
        <w:t xml:space="preserve">reported as a clean win for the deployed fingerprint.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109"/>
    <w:bookmarkEnd w:id="110"/>
    <w:bookmarkStart w:id="121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111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111"/>
    <w:bookmarkStart w:id="112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12"/>
    <w:bookmarkStart w:id="113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227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0.5804</w:t>
            </w:r>
          </w:p>
        </w:tc>
      </w:tr>
    </w:tbl>
    <w:p>
      <w:pPr>
        <w:pStyle w:val="BodyText"/>
      </w:pPr>
      <w:r>
        <w:t xml:space="preserve">The external column is lower throughout than an earlier edition of this table reported, which gave</w:t>
      </w:r>
      <w:r>
        <w:t xml:space="preserve"> </w:t>
      </w:r>
      <w:r>
        <w:t xml:space="preserve">the deployed forest 0.7934 on 241 compounds. The novelty flag defining that set was computed before</w:t>
      </w:r>
      <w:r>
        <w:t xml:space="preserve"> </w:t>
      </w:r>
      <w:r>
        <w:t xml:space="preserve">the featuriser began neutralising charges, so fourteen of the 241 were by then feature-identical to a</w:t>
      </w:r>
      <w:r>
        <w:t xml:space="preserve"> </w:t>
      </w:r>
      <w:r>
        <w:t xml:space="preserve">training row. Removing them lowers every comparator on that population, which is the point: they were</w:t>
      </w:r>
      <w:r>
        <w:t xml:space="preserve"> </w:t>
      </w:r>
      <w:r>
        <w:t xml:space="preserve">inflating all of them, not only the deployed model.</w:t>
      </w:r>
    </w:p>
    <w:p>
      <w:pPr>
        <w:pStyle w:val="BodyText"/>
      </w:pPr>
      <w:r>
        <w:t xml:space="preserve">Read as point estimates the fingerprint wins on both populations, by 0.0338 and 0.0235.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−0.0580 to +0.0154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0.107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227 approved drugs the model has never seen, its advantage over twelve</w:t>
      </w:r>
      <w:r>
        <w:t xml:space="preserve"> </w:t>
      </w:r>
      <w:r>
        <w:t xml:space="preserve">descriptors is not established: the interval crosses zero. Correcting the novelty flag left the</w:t>
      </w:r>
      <w:r>
        <w:t xml:space="preserve"> </w:t>
      </w:r>
      <w:r>
        <w:t xml:space="preserve">margin almost unchanged, 0.0233 to 0.0235, because both models lost the same memorised compounds,</w:t>
      </w:r>
      <w:r>
        <w:t xml:space="preserve"> </w:t>
      </w:r>
      <w:r>
        <w:t xml:space="preserve">and moved the bootstrap p from 0.083 to 0.107. The conclusion is not merely unaltered by the</w:t>
      </w:r>
      <w:r>
        <w:t xml:space="preserve"> </w:t>
      </w:r>
      <w:r>
        <w:t xml:space="preserve">correction; it is slightly further from significance than when it was first drawn.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0.7666</w:t>
      </w:r>
      <w:r>
        <w:t xml:space="preserve"> </w:t>
      </w:r>
      <w:r>
        <w:t xml:space="preserve">against 0.6247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3"/>
    <w:bookmarkStart w:id="114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14"/>
    <w:bookmarkStart w:id="115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15"/>
    <w:bookmarkStart w:id="116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1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1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0.57 for unseen drugs against 0.47 for</w:t>
      </w:r>
      <w:r>
        <w:t xml:space="preserve"> </w:t>
      </w:r>
      <w:r>
        <w:t xml:space="preserve">non-drug-like controls (n = 25, Mann-Whitney p = 1.82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16"/>
    <w:bookmarkStart w:id="117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17"/>
    <w:bookmarkStart w:id="118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Eleven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during a later audit.</w:t>
      </w:r>
      <w:r>
        <w:t xml:space="preserve"> </w:t>
      </w:r>
      <w:r>
        <w:t xml:space="preserve">One more was closed while this thesis was checked chapter by</w:t>
      </w:r>
      <w:r>
        <w:t xml:space="preserve"> </w:t>
      </w:r>
      <w:r>
        <w:t xml:space="preserve">chapter for consistency with the manuscript audit that had, by then, already answered it elsewhere.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unique-compound count of 169,341, keyed by InChIKey of the desalted parent, had never been re-derived</w:t>
            </w:r>
          </w:p>
        </w:tc>
        <w:tc>
          <w:tcPr/>
          <w:p>
            <w:pPr>
              <w:pStyle w:val="Compact"/>
            </w:pPr>
            <w:r>
              <w:t xml:space="preserve">1, 2, 10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src/brainsafe/evaluation/unique_compound_count.py</w:t>
            </w:r>
            <w:r>
              <w:t xml:space="preserve"> </w:t>
            </w:r>
            <w:r>
              <w:t xml:space="preserve">computes it directly from the endpoint tables and reproduces it to the digit: 170,619 distinct SMILES, 2 unparseable, 169,341 distinct InChIKeys of the desalted, neutralised parent (</w:t>
            </w:r>
            <w:r>
              <w:rPr>
                <w:rStyle w:val="VerbatimChar"/>
              </w:rPr>
              <w:t xml:space="preserve">results/tables/unique_compound_count.csv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third of those closed after writing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1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1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1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13"/>
        </w:numPr>
      </w:pPr>
      <w:r>
        <w:rPr>
          <w:strike/>
        </w:rPr>
        <w:t xml:space="preserve">The unique-compound count of 169,341 had never been re-derived.</w:t>
      </w:r>
      <w:r>
        <w:t xml:space="preserve"> </w:t>
      </w:r>
      <w:r>
        <w:rPr>
          <w:b/>
          <w:bCs/>
        </w:rPr>
        <w:t xml:space="preserve">Done, see section 10.8.</w:t>
      </w:r>
      <w:r>
        <w:t xml:space="preserve"> </w:t>
      </w:r>
      <w:r>
        <w:t xml:space="preserve">(1, 2)</w:t>
      </w:r>
    </w:p>
    <w:p>
      <w:pPr>
        <w:pStyle w:val="Compact"/>
        <w:numPr>
          <w:ilvl w:val="0"/>
          <w:numId w:val="101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1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1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1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1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1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1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1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13"/>
        </w:numPr>
      </w:pPr>
      <w:r>
        <w:t xml:space="preserve">The alternative median in the manuscript should read 3,587.5, not 3,587. (2)</w:t>
      </w:r>
    </w:p>
    <w:bookmarkEnd w:id="118"/>
    <w:bookmarkStart w:id="119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19"/>
    <w:bookmarkStart w:id="120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20"/>
    <w:bookmarkEnd w:id="1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2026-09-15T22:43:38Z</dcterms:created>
  <dcterms:modified xsi:type="dcterms:W3CDTF">2026-09-15T22:43:38Z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