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ten falsification hypotheses were refuted and two more weakened</w:t>
      </w:r>
      <w:r>
        <w:t xml:space="preserve"> </w:t>
      </w:r>
      <w:r>
        <w:t xml:space="preserve">and are reported as such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 And the barrier model’s advantage over a fitted rule on twelve descriptors, clear on the</w:t>
      </w:r>
      <w:r>
        <w:t xml:space="preserve"> </w:t>
      </w:r>
      <w:r>
        <w:t xml:space="preserve">training distribution, is not established on approved drugs the model has never seen, a tenth</w:t>
      </w:r>
      <w:r>
        <w:t xml:space="preserve"> </w:t>
      </w:r>
      <w:r>
        <w:t xml:space="preserve">hypothesis written after the suite itself noted that no test examined the one component every</w:t>
      </w:r>
      <w:r>
        <w:t xml:space="preserve"> </w:t>
      </w:r>
      <w:r>
        <w:t xml:space="preserve">disease score is gated by.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2026-09-15T22:43:32Z</dcterms:created>
  <dcterms:modified xsi:type="dcterms:W3CDTF">2026-09-15T22:43:32Z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