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 The</w:t>
      </w:r>
      <w:r>
        <w:t xml:space="preserve"> </w:t>
      </w:r>
      <w:r>
        <w:t xml:space="preserve">histogram-gradient-boosting figure is stated here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set, matching the</w:t>
      </w:r>
      <w:r>
        <w:t xml:space="preserve"> </w:t>
      </w:r>
      <w:r>
        <w:t xml:space="preserve">forest’s own weighting 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; an earlier run of this comparison left it</w:t>
      </w:r>
      <w:r>
        <w:t xml:space="preserve"> </w:t>
      </w:r>
      <w:r>
        <w:t xml:space="preserve">unweighted, the only family competing without one, which read 0.9149 and is corrected in the current</w:t>
      </w:r>
      <w:r>
        <w:t xml:space="preserve"> </w:t>
      </w:r>
      <w:r>
        <w:t xml:space="preserve">artefact.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0.9247.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2026-09-15T22:43:33Z</dcterms:created>
  <dcterms:modified xsi:type="dcterms:W3CDTF">2026-09-15T22:43:33Z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