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table moved from the figures first computed for this chapter, for the same reason section 4.9</w:t>
      </w:r>
      <w:r>
        <w:rPr>
          <w:i/>
          <w:iCs/>
        </w:rPr>
        <w:t xml:space="preserve"> </w:t>
      </w:r>
      <w:r>
        <w:rPr>
          <w:i/>
          <w:iCs/>
        </w:rPr>
        <w:t xml:space="preserve">records: the</w:t>
      </w:r>
      <w:r>
        <w:rPr>
          <w:i/>
          <w:iCs/>
        </w:rPr>
        <w:t xml:space="preserve"> </w:t>
      </w:r>
      <w:r>
        <w:rPr>
          <w:i/>
          <w:iCs/>
        </w:rPr>
        <w:t xml:space="preserve">“unseen drugs”</w:t>
      </w:r>
      <w:r>
        <w:rPr>
          <w:i/>
          <w:iCs/>
        </w:rPr>
        <w:t xml:space="preserve"> </w:t>
      </w:r>
      <w:r>
        <w:rPr>
          <w:i/>
          <w:iCs/>
        </w:rPr>
        <w:t xml:space="preserve">comparator is the featuriser-corrected external set, and every row shifted</w:t>
      </w:r>
      <w:r>
        <w:rPr>
          <w:i/>
          <w:iCs/>
        </w:rPr>
        <w:t xml:space="preserve"> </w:t>
      </w:r>
      <w:r>
        <w:rPr>
          <w:i/>
          <w:iCs/>
        </w:rPr>
        <w:t xml:space="preserve">by the same small amount when it was recomputed against it. The comparison the table exists to make,</w:t>
      </w:r>
      <w:r>
        <w:rPr>
          <w:i/>
          <w:iCs/>
        </w:rPr>
        <w:t xml:space="preserve"> </w:t>
      </w:r>
      <w:r>
        <w:rPr>
          <w:i/>
          <w:iCs/>
        </w:rPr>
        <w:t xml:space="preserve">which measure separates best, is unaffected.</w:t>
      </w:r>
    </w:p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0.57 for unseen drugs against</w:t>
      </w:r>
      <w:r>
        <w:t xml:space="preserve"> </w:t>
      </w:r>
      <w:r>
        <w:t xml:space="preserve">0.47 for non-drug-like chemistry, over 25 controls, one-sided Mann-Whitney p = 1.82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 The unseen-drug figure itself has since moved once more, from 0.59 to 0.57, for the same</w:t>
      </w:r>
      <w:r>
        <w:t xml:space="preserve"> </w:t>
      </w:r>
      <w:r>
        <w:t xml:space="preserve">reason Chapter 8 records for the external barrier AUROC: the check scores the</w:t>
      </w:r>
      <w:r>
        <w:t xml:space="preserve"> </w:t>
      </w:r>
      <w:r>
        <w:t xml:space="preserve">“unseen drugs”</w:t>
      </w:r>
      <w:r>
        <w:t xml:space="preserve"> </w:t>
      </w:r>
      <w:r>
        <w:t xml:space="preserve">set</w:t>
      </w:r>
      <w:r>
        <w:t xml:space="preserve"> </w:t>
      </w:r>
      <w:r>
        <w:t xml:space="preserve">after the featuriser’s neutralisation fix excluded compounds it could no longer distinguish from</w:t>
      </w:r>
      <w:r>
        <w:t xml:space="preserve"> </w:t>
      </w:r>
      <w:r>
        <w:t xml:space="preserve">training, which is the corrected 227-compound population rather than the earlier 241. The verdict is</w:t>
      </w:r>
      <w:r>
        <w:t xml:space="preserve"> </w:t>
      </w:r>
      <w:r>
        <w:t xml:space="preserve">unaffected.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2026-09-15T22:43:33Z</dcterms:created>
  <dcterms:modified xsi:type="dcterms:W3CDTF">2026-09-15T22:43:33Z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