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227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0.5804</w:t>
            </w:r>
          </w:p>
        </w:tc>
      </w:tr>
    </w:tbl>
    <w:p>
      <w:pPr>
        <w:pStyle w:val="BodyText"/>
      </w:pPr>
      <w:r>
        <w:t xml:space="preserve">The external column is lower throughout than an earlier edition of this table reported, which gave</w:t>
      </w:r>
      <w:r>
        <w:t xml:space="preserve"> </w:t>
      </w:r>
      <w:r>
        <w:t xml:space="preserve">the deployed forest 0.7934 on 241 compounds. The novelty flag defining that set was computed before</w:t>
      </w:r>
      <w:r>
        <w:t xml:space="preserve"> </w:t>
      </w:r>
      <w:r>
        <w:t xml:space="preserve">the featuriser began neutralising charges, so fourteen of the 241 were by then feature-identical to a</w:t>
      </w:r>
      <w:r>
        <w:t xml:space="preserve"> </w:t>
      </w:r>
      <w:r>
        <w:t xml:space="preserve">training row. Removing them lowers every comparator on that population, which is the point: they were</w:t>
      </w:r>
      <w:r>
        <w:t xml:space="preserve"> </w:t>
      </w:r>
      <w:r>
        <w:t xml:space="preserve">inflating all of them, not only the deployed model.</w:t>
      </w:r>
    </w:p>
    <w:p>
      <w:pPr>
        <w:pStyle w:val="BodyText"/>
      </w:pPr>
      <w:r>
        <w:t xml:space="preserve">Read as point estimates the fingerprint wins on both populations, by 0.0338 and 0.0235.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−0.0580 to +0.0154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227 approved drugs the model has never seen, its advantage over twelve</w:t>
      </w:r>
      <w:r>
        <w:t xml:space="preserve"> </w:t>
      </w:r>
      <w:r>
        <w:t xml:space="preserve">descriptors is not established: the interval crosses zero. Correcting the novelty flag left the</w:t>
      </w:r>
      <w:r>
        <w:t xml:space="preserve"> </w:t>
      </w:r>
      <w:r>
        <w:t xml:space="preserve">margin almost unchanged, 0.0233 to 0.0235, because both models lost the same memorised compounds,</w:t>
      </w:r>
      <w:r>
        <w:t xml:space="preserve"> </w:t>
      </w:r>
      <w:r>
        <w:t xml:space="preserve">and moved the bootstrap p from 0.083 to 0.107. The conclusion is not merely unaltered by the</w:t>
      </w:r>
      <w:r>
        <w:t xml:space="preserve"> </w:t>
      </w:r>
      <w:r>
        <w:t xml:space="preserve">correction; it is slightly further from significance than when it was first drawn.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0.7666</w:t>
      </w:r>
      <w:r>
        <w:t xml:space="preserve"> </w:t>
      </w:r>
      <w:r>
        <w:t xml:space="preserve">against 0.6247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0.57 for unseen drugs against 0.47 for</w:t>
      </w:r>
      <w:r>
        <w:t xml:space="preserve"> </w:t>
      </w:r>
      <w:r>
        <w:t xml:space="preserve">non-drug-like controls (n = 25, Mann-Whitney p = 1.82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Eleven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during a later audit.</w:t>
      </w:r>
      <w:r>
        <w:t xml:space="preserve"> </w:t>
      </w:r>
      <w:r>
        <w:t xml:space="preserve">One more was closed while this thesis was checked chapter by</w:t>
      </w:r>
      <w:r>
        <w:t xml:space="preserve"> </w:t>
      </w:r>
      <w:r>
        <w:t xml:space="preserve">chapter for consistency with the manuscript audit that had, by then, already answered it elsewhere.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unique-compound count of 169,341, keyed by InChIKey of the desalted parent, had never been re-derived</w:t>
            </w:r>
          </w:p>
        </w:tc>
        <w:tc>
          <w:tcPr/>
          <w:p>
            <w:pPr>
              <w:pStyle w:val="Compact"/>
            </w:pPr>
            <w:r>
              <w:t xml:space="preserve">1, 2, 10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src/brainsafe/evaluation/unique_compound_count.py</w:t>
            </w:r>
            <w:r>
              <w:t xml:space="preserve"> </w:t>
            </w:r>
            <w:r>
              <w:t xml:space="preserve">computes it directly from the endpoint tables and reproduces it to the digit: 170,619 distinct SMILES, 2 unparseable, 169,341 distinct InChIKeys of the desalted, neutralised parent (</w:t>
            </w:r>
            <w:r>
              <w:rPr>
                <w:rStyle w:val="VerbatimChar"/>
              </w:rPr>
              <w:t xml:space="preserve">results/tables/unique_compound_count.csv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third of those closed after writing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03"/>
        </w:numPr>
      </w:pPr>
      <w:r>
        <w:rPr>
          <w:strike/>
        </w:rPr>
        <w:t xml:space="preserve">The unique-compound count of 169,341 had never been re-derived.</w:t>
      </w:r>
      <w:r>
        <w:t xml:space="preserve"> </w:t>
      </w:r>
      <w:r>
        <w:rPr>
          <w:b/>
          <w:bCs/>
        </w:rPr>
        <w:t xml:space="preserve">Done, see section 10.8.</w:t>
      </w:r>
      <w:r>
        <w:t xml:space="preserve"> </w:t>
      </w:r>
      <w:r>
        <w:t xml:space="preserve">(1, 2)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2026-09-15T22:43:35Z</dcterms:created>
  <dcterms:modified xsi:type="dcterms:W3CDTF">2026-09-15T22:43:35Z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