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2026-08-22,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9"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On 1,000 compounds with no recorded</w:t>
      </w:r>
      <w:r>
        <w:t xml:space="preserve"> </w:t>
      </w:r>
      <w:r>
        <w:t xml:space="preserve">activity at any modelled target it stays silent 94.9% of the time.</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End w:id="9"/>
    <w:bookmarkStart w:id="11"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0"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0"/>
    <w:bookmarkEnd w:id="11"/>
    <w:bookmarkStart w:id="15" w:name="the-endpoints"/>
    <w:p>
      <w:pPr>
        <w:pStyle w:val="Heading2"/>
      </w:pPr>
      <w:r>
        <w:t xml:space="preserve">2. The endpoints</w:t>
      </w:r>
    </w:p>
    <w:bookmarkStart w:id="12"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2"/>
    <w:bookmarkStart w:id="13"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3"/>
    <w:bookmarkStart w:id="14"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4"/>
    <w:bookmarkEnd w:id="15"/>
    <w:bookmarkStart w:id="29" w:name="algorithms-and-definitions"/>
    <w:p>
      <w:pPr>
        <w:pStyle w:val="Heading2"/>
      </w:pPr>
      <w:r>
        <w:t xml:space="preserve">3. Algorithms and definitions</w:t>
      </w:r>
    </w:p>
    <w:bookmarkStart w:id="16"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6"/>
    <w:bookmarkStart w:id="23"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8" name="Picture"/>
            <a:graphic>
              <a:graphicData uri="http://schemas.openxmlformats.org/drawingml/2006/picture">
                <pic:pic>
                  <pic:nvPicPr>
                    <pic:cNvPr descr="_report_figures/flowchart_1.png" id="19" name="Picture"/>
                    <pic:cNvPicPr>
                      <a:picLocks noChangeArrowheads="1" noChangeAspect="1"/>
                    </pic:cNvPicPr>
                  </pic:nvPicPr>
                  <pic:blipFill>
                    <a:blip r:embed="rId17"/>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1" name="Picture"/>
            <a:graphic>
              <a:graphicData uri="http://schemas.openxmlformats.org/drawingml/2006/picture">
                <pic:pic>
                  <pic:nvPicPr>
                    <pic:cNvPr descr="_report_figures/flowchart_2.png" id="22" name="Picture"/>
                    <pic:cNvPicPr>
                      <a:picLocks noChangeArrowheads="1" noChangeAspect="1"/>
                    </pic:cNvPicPr>
                  </pic:nvPicPr>
                  <pic:blipFill>
                    <a:blip r:embed="rId20"/>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3"/>
    <w:bookmarkStart w:id="24"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4"/>
    <w:bookmarkStart w:id="25"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5"/>
    <w:bookmarkStart w:id="26"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6"/>
    <w:bookmarkStart w:id="27"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7"/>
    <w:bookmarkStart w:id="28"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p>
      <w:r>
        <w:pict>
          <v:rect style="width:0;height:1.5pt" o:hralign="center" o:hrstd="t" o:hr="t"/>
        </w:pict>
      </w:r>
    </w:p>
    <w:bookmarkEnd w:id="28"/>
    <w:bookmarkEnd w:id="29"/>
    <w:bookmarkStart w:id="32"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0"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0"/>
    <w:bookmarkStart w:id="31"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1"/>
    <w:bookmarkEnd w:id="32"/>
    <w:bookmarkStart w:id="36"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4" name="Picture"/>
            <a:graphic>
              <a:graphicData uri="http://schemas.openxmlformats.org/drawingml/2006/picture">
                <pic:pic>
                  <pic:nvPicPr>
                    <pic:cNvPr descr="_report_figures/flowchart_3.png" id="35" name="Picture"/>
                    <pic:cNvPicPr>
                      <a:picLocks noChangeArrowheads="1" noChangeAspect="1"/>
                    </pic:cNvPicPr>
                  </pic:nvPicPr>
                  <pic:blipFill>
                    <a:blip r:embed="rId33"/>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p>
      <w:r>
        <w:pict>
          <v:rect style="width:0;height:1.5pt" o:hralign="center" o:hrstd="t" o:hr="t"/>
        </w:pict>
      </w:r>
    </w:p>
    <w:bookmarkEnd w:id="36"/>
    <w:bookmarkStart w:id="49"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38" name="Picture"/>
            <a:graphic>
              <a:graphicData uri="http://schemas.openxmlformats.org/drawingml/2006/picture">
                <pic:pic>
                  <pic:nvPicPr>
                    <pic:cNvPr descr="_report_figures/flowchart_4.png" id="39" name="Picture"/>
                    <pic:cNvPicPr>
                      <a:picLocks noChangeArrowheads="1" noChangeAspect="1"/>
                    </pic:cNvPicPr>
                  </pic:nvPicPr>
                  <pic:blipFill>
                    <a:blip r:embed="rId37"/>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0"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0"/>
    <w:bookmarkStart w:id="41"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1"/>
    <w:bookmarkStart w:id="42"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2"/>
    <w:bookmarkStart w:id="43"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3"/>
    <w:bookmarkStart w:id="44" w:name="external-validation"/>
    <w:p>
      <w:pPr>
        <w:pStyle w:val="Heading3"/>
      </w:pPr>
      <w:r>
        <w:t xml:space="preserve">6.5 External validation</w:t>
      </w:r>
    </w:p>
    <w:p>
      <w:pPr>
        <w:pStyle w:val="FirstParagraph"/>
      </w:pPr>
      <w:r>
        <w:t xml:space="preserve">The barrier model tested on FDA-curated approved drugs absent from the training source by InChIKey.</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End w:id="44"/>
    <w:bookmarkStart w:id="45"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6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PASS</w:t>
            </w:r>
          </w:p>
        </w:tc>
        <w:tc>
          <w:tcPr/>
          <w:p>
            <w:pPr>
              <w:pStyle w:val="Compact"/>
            </w:pPr>
            <w:r>
              <w:t xml:space="preserve">median max-similarity: unseen drugs 0.59 vs non-drug-like 0.47 (n=25), Mann-Whitney p=1.11e-03; only 20% of non-drug-like structures fall below the AD_THRESHOLD of 0.3. Controls are restricted to chemistry genuinely absent from the reference: 28 of the original controls are measured compounds in the library, where in-domain is correct</w:t>
            </w:r>
          </w:p>
        </w:tc>
      </w:tr>
    </w:tbl>
    <w:p>
      <w:pPr>
        <w:pStyle w:val="BodyText"/>
      </w:pPr>
      <w:r>
        <w:t xml:space="preserve">The failing check is reported at the same size as the others and is not tuned until it passes. It is</w:t>
      </w:r>
      <w:r>
        <w:t xml:space="preserve"> </w:t>
      </w:r>
      <w:r>
        <w:t xml:space="preserve">a finding about the applicability-domain flag: the conformal interval and the nearest-analogue</w:t>
      </w:r>
      <w:r>
        <w:t xml:space="preserve"> </w:t>
      </w:r>
      <w:r>
        <w:t xml:space="preserve">distance, rather than the flag, should be read as the statement of confidence.</w:t>
      </w:r>
    </w:p>
    <w:bookmarkEnd w:id="45"/>
    <w:bookmarkStart w:id="46" w:name="the-falsification-suite"/>
    <w:p>
      <w:pPr>
        <w:pStyle w:val="Heading3"/>
      </w:pPr>
      <w:r>
        <w:t xml:space="preserve">6.7 The falsification suite</w:t>
      </w:r>
    </w:p>
    <w:p>
      <w:pPr>
        <w:pStyle w:val="FirstParagraph"/>
      </w:pPr>
      <w:r>
        <w:t xml:space="preserve">Cross-validation asks how well a model scores. It cannot ask whether the thing the system claims to</w:t>
      </w:r>
      <w:r>
        <w:t xml:space="preserve"> </w:t>
      </w:r>
      <w:r>
        <w:t xml:space="preserve">do is real. A suite of 9 hypotheses was therefore written, each stating a claim the</w:t>
      </w:r>
      <w:r>
        <w:t xml:space="preserve"> </w:t>
      </w:r>
      <w:r>
        <w:t xml:space="preserve">system makes about itself and each paired with a null model capable of producing the same apparent</w:t>
      </w:r>
      <w:r>
        <w:t xml:space="preserve"> </w:t>
      </w:r>
      <w:r>
        <w:t xml:space="preserve">success by accident, and each was run to</w:t>
      </w:r>
      <w:r>
        <w:t xml:space="preserve"> </w:t>
      </w:r>
      <w:r>
        <w:t xml:space="preserve">see whether it survived. A test that cannot fail is not evidence, so the suite was designed to be</w:t>
      </w:r>
      <w:r>
        <w:t xml:space="preserve"> </w:t>
      </w:r>
      <w:r>
        <w:t xml:space="preserve">able to embarrass the tool, and it did:</w:t>
      </w:r>
      <w:r>
        <w:t xml:space="preserve"> </w:t>
      </w:r>
      <w:r>
        <w:rPr>
          <w:b/>
          <w:bCs/>
        </w:rPr>
        <w:t xml:space="preserve">4 of the 9 hypotheses were refuted and only</w:t>
      </w:r>
      <w:r>
        <w:rPr>
          <w:b/>
          <w:bCs/>
        </w:rPr>
        <w:t xml:space="preserve"> </w:t>
      </w:r>
      <w:r>
        <w:rPr>
          <w:b/>
          <w:bCs/>
        </w:rPr>
        <w:t xml:space="preserve">4 were supported outright.</w:t>
      </w:r>
    </w:p>
    <w:p>
      <w:pPr>
        <w:pStyle w:val="BodyText"/>
      </w:pPr>
      <w:r>
        <w:t xml:space="preserve">The refutations are the most useful output this project has produced, and they changed the design.</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hypothesis</w:t>
            </w:r>
          </w:p>
        </w:tc>
        <w:tc>
          <w:tcPr>
            <w:shd w:val="clear" w:fill="EAF0F7"/>
          </w:tcPr>
          <w:p>
            <w:pPr>
              <w:pStyle w:val="Compact"/>
            </w:pPr>
            <w:r>
              <w:rPr>
                <w:b/>
                <w:sz w:val="17"/>
              </w:rPr>
              <w:t xml:space="preserve">verdict</w:t>
            </w:r>
          </w:p>
        </w:tc>
        <w:tc>
          <w:tcPr>
            <w:shd w:val="clear" w:fill="EAF0F7"/>
          </w:tcPr>
          <w:p>
            <w:pPr>
              <w:pStyle w:val="Compact"/>
            </w:pPr>
            <w:r>
              <w:rPr>
                <w:b/>
                <w:sz w:val="17"/>
              </w:rPr>
              <w:t xml:space="preserve">what was measured</w:t>
            </w:r>
          </w:p>
        </w:tc>
      </w:tr>
      <w:tr>
        <w:tc>
          <w:tcPr/>
          <w:p>
            <w:pPr>
              <w:pStyle w:val="Compact"/>
            </w:pPr>
            <w:r>
              <w:t xml:space="preserve">H1 the disease score is informative</w:t>
            </w:r>
          </w:p>
        </w:tc>
        <w:tc>
          <w:tcPr/>
          <w:p>
            <w:pPr>
              <w:pStyle w:val="Compact"/>
            </w:pPr>
            <w:r>
              <w:t xml:space="preserve">SUPPORTED</w:t>
            </w:r>
          </w:p>
        </w:tc>
        <w:tc>
          <w:tcPr/>
          <w:p>
            <w:pPr>
              <w:pStyle w:val="Compact"/>
            </w:pPr>
            <w:r>
              <w:t xml:space="preserve">top-3 accuracy 0.786 vs permutation null 0.154 (p=0.005) and frequency null 0.548</w:t>
            </w:r>
          </w:p>
        </w:tc>
      </w:tr>
      <w:tr>
        <w:tc>
          <w:tcPr/>
          <w:p>
            <w:pPr>
              <w:pStyle w:val="Compact"/>
            </w:pPr>
            <w:r>
              <w:t xml:space="preserve">H2 the curated edge weights add value</w:t>
            </w:r>
          </w:p>
        </w:tc>
        <w:tc>
          <w:tcPr/>
          <w:p>
            <w:pPr>
              <w:pStyle w:val="Compact"/>
            </w:pPr>
            <w:r>
              <w:t xml:space="preserve">REFUTED</w:t>
            </w:r>
          </w:p>
        </w:tc>
        <w:tc>
          <w:tcPr/>
          <w:p>
            <w:pPr>
              <w:pStyle w:val="Compact"/>
            </w:pPr>
            <w:r>
              <w:t xml:space="preserve">curated 0.7865, uniform 0.7861, permuted 0.7844</w:t>
            </w:r>
          </w:p>
        </w:tc>
      </w:tr>
      <w:tr>
        <w:tc>
          <w:tcPr/>
          <w:p>
            <w:pPr>
              <w:pStyle w:val="Compact"/>
            </w:pPr>
            <w:r>
              <w:t xml:space="preserve">H3 BBB gating discriminates between diseases</w:t>
            </w:r>
          </w:p>
        </w:tc>
        <w:tc>
          <w:tcPr/>
          <w:p>
            <w:pPr>
              <w:pStyle w:val="Compact"/>
            </w:pPr>
            <w: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t xml:space="preserve">SUPPORTED</w:t>
            </w:r>
          </w:p>
        </w:tc>
        <w:tc>
          <w:tcPr/>
          <w:p>
            <w:pPr>
              <w:pStyle w:val="Compact"/>
            </w:pPr>
            <w:r>
              <w:t xml:space="preserve">false-positive rate 0.016 on 61 distant compounds against 0.051 measured on library chemistry</w:t>
            </w:r>
          </w:p>
        </w:tc>
      </w:tr>
      <w:tr>
        <w:tc>
          <w:tcPr/>
          <w:p>
            <w:pPr>
              <w:pStyle w:val="Compact"/>
            </w:pPr>
            <w:r>
              <w:t xml:space="preserve">H5 read-across beats a frequency baseline</w:t>
            </w:r>
          </w:p>
        </w:tc>
        <w:tc>
          <w:tcPr/>
          <w:p>
            <w:pPr>
              <w:pStyle w:val="Compact"/>
            </w:pPr>
            <w:r>
              <w:t xml:space="preserve">SUPPORTED</w:t>
            </w:r>
          </w:p>
        </w:tc>
        <w:tc>
          <w:tcPr/>
          <w:p>
            <w:pPr>
              <w:pStyle w:val="Compact"/>
            </w:pPr>
            <w:r>
              <w:t xml:space="preserve">recall 0.973 against 0.059</w:t>
            </w:r>
          </w:p>
        </w:tc>
      </w:tr>
      <w:tr>
        <w:tc>
          <w:tcPr/>
          <w:p>
            <w:pPr>
              <w:pStyle w:val="Compact"/>
            </w:pPr>
            <w:r>
              <w:t xml:space="preserve">H6 the disease scores match real clinical indications</w:t>
            </w:r>
          </w:p>
        </w:tc>
        <w:tc>
          <w:tcPr/>
          <w:p>
            <w:pPr>
              <w:pStyle w:val="Compact"/>
            </w:pPr>
            <w: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t xml:space="preserve">REFUTED</w:t>
            </w:r>
          </w:p>
        </w:tc>
        <w:tc>
          <w:tcPr/>
          <w:p>
            <w:pPr>
              <w:pStyle w:val="Compact"/>
            </w:pPr>
            <w:r>
              <w:t xml:space="preserve">none of 38 targets ranks below AUROC 0.70; the cause is the operating point, with median deployed sensitivity 0.79 and 7 targets under 0.50</w:t>
            </w:r>
          </w:p>
        </w:tc>
      </w:tr>
      <w:tr>
        <w:tc>
          <w:tcPr/>
          <w:p>
            <w:pPr>
              <w:pStyle w:val="Compact"/>
            </w:pPr>
            <w:r>
              <w:t xml:space="preserve">H8 engaged targets are independent observations</w:t>
            </w:r>
          </w:p>
        </w:tc>
        <w:tc>
          <w:tcPr/>
          <w:p>
            <w:pPr>
              <w:pStyle w:val="Compact"/>
            </w:pPr>
            <w:r>
              <w:t xml:space="preserve">REFUTED</w:t>
            </w:r>
          </w:p>
        </w:tc>
        <w:tc>
          <w:tcPr/>
          <w:p>
            <w:pPr>
              <w:pStyle w:val="Compact"/>
            </w:pPr>
            <w:r>
              <w:t xml:space="preserve">37 targets fire across approved drugs but span only 17 independent directions; 5 homologous pairs correlate above 0.5</w:t>
            </w:r>
          </w:p>
        </w:tc>
      </w:tr>
      <w:tr>
        <w:tc>
          <w:tcPr/>
          <w:p>
            <w:pPr>
              <w:pStyle w:val="Compact"/>
            </w:pPr>
            <w:r>
              <w:t xml:space="preserve">H9 the disease layer discriminates between compounds, not just between base rates</w:t>
            </w:r>
          </w:p>
        </w:tc>
        <w:tc>
          <w:tcPr/>
          <w:p>
            <w:pPr>
              <w:pStyle w:val="Compact"/>
            </w:pPr>
            <w:r>
              <w:t xml:space="preserve">SUPPORTED</w:t>
            </w:r>
          </w:p>
        </w:tc>
        <w:tc>
          <w:tcPr/>
          <w:p>
            <w:pPr>
              <w:pStyle w:val="Compact"/>
            </w:pPr>
            <w:r>
              <w:t xml:space="preserve">mean per-indication AUROC 0.607 against 0.500 for any constant predictor, beating chance on 8 of 9 indications; macro-averaged top-3 recall 0.400 against 0.333</w:t>
            </w:r>
          </w:p>
        </w:tc>
      </w:tr>
    </w:tbl>
    <w:p>
      <w:pPr>
        <w:pStyle w:val="BodyText"/>
      </w:pPr>
      <w:r>
        <w:rPr>
          <w:b/>
          <w:bCs/>
        </w:rPr>
        <w:t xml:space="preserve">What each refutation cost, and what was done about it.</w:t>
      </w:r>
    </w:p>
    <w:p>
      <w:pPr>
        <w:pStyle w:val="Compact"/>
        <w:numPr>
          <w:ilvl w:val="0"/>
          <w:numId w:val="1007"/>
        </w:numPr>
      </w:pPr>
      <w:r>
        <w:rPr>
          <w:b/>
          <w:bCs/>
        </w:rPr>
        <w:t xml:space="preserve">H2, the curated edge weights add nothing.</w:t>
      </w:r>
      <w:r>
        <w:t xml:space="preserve"> </w:t>
      </w:r>
      <w:r>
        <w:t xml:space="preserve">The pathway graph’s hand-assigned weights were</w:t>
      </w:r>
      <w:r>
        <w:t xml:space="preserve"> </w:t>
      </w:r>
      <w:r>
        <w:t xml:space="preserve">expected to carry information. Replacing them with uniform weights, or with randomly permuted</w:t>
      </w:r>
      <w:r>
        <w:t xml:space="preserve"> </w:t>
      </w:r>
      <w:r>
        <w:t xml:space="preserve">ones, changes top-3 accuracy in the third decimal place. The predictive content lies in the graph’s</w:t>
      </w:r>
      <w:r>
        <w:t xml:space="preserve"> </w:t>
      </w:r>
      <w:r>
        <w:rPr>
          <w:i/>
          <w:iCs/>
        </w:rPr>
        <w:t xml:space="preserve">topology</w:t>
      </w:r>
      <w:r>
        <w:t xml:space="preserve">, in which target connects to which condition, not in how strongly. The weights are</w:t>
      </w:r>
      <w:r>
        <w:t xml:space="preserve"> </w:t>
      </w:r>
      <w:r>
        <w:t xml:space="preserve">therefore reported as structure rather than as tuned parameters, and no claim is made for them.</w:t>
      </w:r>
    </w:p>
    <w:p>
      <w:pPr>
        <w:pStyle w:val="Compact"/>
        <w:numPr>
          <w:ilvl w:val="0"/>
          <w:numId w:val="1007"/>
        </w:numPr>
      </w:pPr>
      <w:r>
        <w:rPr>
          <w:b/>
          <w:bCs/>
        </w:rPr>
        <w:t xml:space="preserve">H3, barrier gating cannot discriminate between diseases.</w:t>
      </w:r>
      <w:r>
        <w:t xml:space="preserve"> </w:t>
      </w:r>
      <w:r>
        <w:t xml:space="preserve">This one is refuted by construction,</w:t>
      </w:r>
      <w:r>
        <w:t xml:space="preserve"> </w:t>
      </w:r>
      <w:r>
        <w:t xml:space="preserve">which is worth stating plainly: the gate multiplies every disease score by the same barrier</w:t>
      </w:r>
      <w:r>
        <w:t xml:space="preserve"> </w:t>
      </w:r>
      <w:r>
        <w:t xml:space="preserve">probability, so it can raise or lower them together but can never change their order. Gating</w:t>
      </w:r>
      <w:r>
        <w:t xml:space="preserve"> </w:t>
      </w:r>
      <w:r>
        <w:t xml:space="preserve">decides</w:t>
      </w:r>
      <w:r>
        <w:t xml:space="preserve"> </w:t>
      </w:r>
      <w:r>
        <w:rPr>
          <w:i/>
          <w:iCs/>
        </w:rPr>
        <w:t xml:space="preserve">whether</w:t>
      </w:r>
      <w:r>
        <w:t xml:space="preserve"> </w:t>
      </w:r>
      <w:r>
        <w:t xml:space="preserve">to report, not</w:t>
      </w:r>
      <w:r>
        <w:t xml:space="preserve"> </w:t>
      </w:r>
      <w:r>
        <w:rPr>
          <w:i/>
          <w:iCs/>
        </w:rPr>
        <w:t xml:space="preserve">which</w:t>
      </w:r>
      <w:r>
        <w:t xml:space="preserve"> </w:t>
      </w:r>
      <w:r>
        <w:t xml:space="preserve">condition. Presenting it as though it discriminated</w:t>
      </w:r>
      <w:r>
        <w:t xml:space="preserve"> </w:t>
      </w:r>
      <w:r>
        <w:t xml:space="preserve">between conditions would be a misrepresentation of arithmetic.</w:t>
      </w:r>
    </w:p>
    <w:p>
      <w:pPr>
        <w:pStyle w:val="Compact"/>
        <w:numPr>
          <w:ilvl w:val="0"/>
          <w:numId w:val="1007"/>
        </w:numPr>
      </w:pPr>
      <w:r>
        <w:rPr>
          <w:b/>
          <w:bCs/>
        </w:rPr>
        <w:t xml:space="preserve">H7, the silent antiepileptics are explained by weak targets.</w:t>
      </w:r>
      <w:r>
        <w:t xml:space="preserve"> </w:t>
      </w:r>
      <w:r>
        <w:t xml:space="preserve">Several antiepileptic drugs return</w:t>
      </w:r>
      <w:r>
        <w:t xml:space="preserve"> </w:t>
      </w:r>
      <w:r>
        <w:t xml:space="preserve">no call, and the natural suspicion was that some panel targets are simply non-discriminative. They</w:t>
      </w:r>
      <w:r>
        <w:t xml:space="preserve"> </w:t>
      </w:r>
      <w:r>
        <w:t xml:space="preserve">are not: no target ranks below AUROC 0.70. The cause is the operating point rather than the model,</w:t>
      </w:r>
      <w:r>
        <w:t xml:space="preserve"> </w:t>
      </w:r>
      <w:r>
        <w:t xml:space="preserve">which is a different problem with a different remedy.</w:t>
      </w:r>
    </w:p>
    <w:p>
      <w:pPr>
        <w:pStyle w:val="Compact"/>
        <w:numPr>
          <w:ilvl w:val="0"/>
          <w:numId w:val="1007"/>
        </w:numPr>
      </w:pPr>
      <w:r>
        <w:rPr>
          <w:b/>
          <w:bCs/>
        </w:rPr>
        <w:t xml:space="preserve">H8, engaged targets are independent observations.</w:t>
      </w:r>
      <w:r>
        <w:t xml:space="preserve"> </w:t>
      </w:r>
      <w:r>
        <w:t xml:space="preserve">They are not. Targets fire in correlated</w:t>
      </w:r>
      <w:r>
        <w:t xml:space="preserve"> </w:t>
      </w:r>
      <w:r>
        <w:t xml:space="preserve">families, so counting them overstates the evidence. This is why the interface reports the number of</w:t>
      </w:r>
      <w:r>
        <w:t xml:space="preserve"> </w:t>
      </w:r>
      <w:r>
        <w:rPr>
          <w:i/>
          <w:iCs/>
        </w:rPr>
        <w:t xml:space="preserve">independent mechanisms</w:t>
      </w:r>
      <w:r>
        <w:t xml:space="preserve"> </w:t>
      </w:r>
      <w:r>
        <w:t xml:space="preserve">beside the raw count, and why the disease score takes the strongest</w:t>
      </w:r>
      <w:r>
        <w:t xml:space="preserve"> </w:t>
      </w:r>
      <w:r>
        <w:t xml:space="preserve">engaged mechanism rather than summing.</w:t>
      </w:r>
    </w:p>
    <w:p>
      <w:pPr>
        <w:pStyle w:val="FirstParagraph"/>
      </w:pPr>
      <w:r>
        <w:t xml:space="preserve">Read-only by construction: nothing in this suite writes to</w:t>
      </w:r>
      <w:r>
        <w:t xml:space="preserve"> </w:t>
      </w:r>
      <w:r>
        <w:rPr>
          <w:rStyle w:val="VerbatimChar"/>
        </w:rPr>
        <w:t xml:space="preserve">models_rf/</w:t>
      </w:r>
      <w:r>
        <w:t xml:space="preserve">,</w:t>
      </w:r>
      <w:r>
        <w:t xml:space="preserve"> </w:t>
      </w:r>
      <w:r>
        <w:rPr>
          <w:rStyle w:val="VerbatimChar"/>
        </w:rPr>
        <w:t xml:space="preserve">data/</w:t>
      </w:r>
      <w:r>
        <w:t xml:space="preserve"> </w:t>
      </w:r>
      <w:r>
        <w:t xml:space="preserve">or the application,</w:t>
      </w:r>
      <w:r>
        <w:t xml:space="preserve"> </w:t>
      </w:r>
      <w:r>
        <w:t xml:space="preserve">and its outputs live under</w:t>
      </w:r>
      <w:r>
        <w:t xml:space="preserve"> </w:t>
      </w:r>
      <w:r>
        <w:rPr>
          <w:rStyle w:val="VerbatimChar"/>
        </w:rPr>
        <w:t xml:space="preserve">inversion/</w:t>
      </w:r>
      <w:r>
        <w:t xml:space="preserve"> </w:t>
      </w:r>
      <w:r>
        <w:t xml:space="preserve">so that a falsification can never be mistaken for a</w:t>
      </w:r>
      <w:r>
        <w:t xml:space="preserve"> </w:t>
      </w:r>
      <w:r>
        <w:t xml:space="preserve">validation.</w:t>
      </w:r>
    </w:p>
    <w:bookmarkEnd w:id="46"/>
    <w:bookmarkStart w:id="47" w:name="the-software-test-suite"/>
    <w:p>
      <w:pPr>
        <w:pStyle w:val="Heading3"/>
      </w:pPr>
      <w:r>
        <w:t xml:space="preserve">6.8 The software test suite</w:t>
      </w:r>
    </w:p>
    <w:p>
      <w:pPr>
        <w:pStyle w:val="FirstParagraph"/>
      </w:pPr>
      <w:r>
        <w:t xml:space="preserve">Validation asks whether the science is right. Tests ask whether the code still does what the science</w:t>
      </w:r>
      <w:r>
        <w:t xml:space="preserve"> </w:t>
      </w:r>
      <w:r>
        <w:t xml:space="preserve">assumed, and they run on every commit. There are</w:t>
      </w:r>
      <w:r>
        <w:t xml:space="preserve"> </w:t>
      </w:r>
      <w:r>
        <w:rPr>
          <w:b/>
          <w:bCs/>
        </w:rPr>
        <w:t xml:space="preserve">44 tests with 53 subtests</w:t>
      </w:r>
      <w:r>
        <w:t xml:space="preserve">, and they are not</w:t>
      </w:r>
      <w:r>
        <w:t xml:space="preserve"> </w:t>
      </w:r>
      <w:r>
        <w:t xml:space="preserve">tests of</w:t>
      </w:r>
      <w:r>
        <w:t xml:space="preserve"> </w:t>
      </w:r>
      <w:r>
        <w:t xml:space="preserve">“does it run”</w:t>
      </w:r>
      <w:r>
        <w:t xml:space="preserve">: each pins a property whose loss would change a published number without</w:t>
      </w:r>
      <w:r>
        <w:t xml:space="preserve"> </w:t>
      </w:r>
      <w:r>
        <w:t xml:space="preserve">raising an error, and most correspond to a defect that actually occurred.</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Group</w:t>
            </w:r>
          </w:p>
        </w:tc>
        <w:tc>
          <w:tcPr>
            <w:shd w:val="clear" w:fill="EAF0F7"/>
          </w:tcPr>
          <w:p>
            <w:pPr>
              <w:pStyle w:val="Compact"/>
            </w:pPr>
            <w:r>
              <w:rPr>
                <w:b/>
                <w:sz w:val="17"/>
              </w:rPr>
              <w:t xml:space="preserve">Tests</w:t>
            </w:r>
          </w:p>
        </w:tc>
        <w:tc>
          <w:tcPr>
            <w:shd w:val="clear" w:fill="EAF0F7"/>
          </w:tcPr>
          <w:p>
            <w:pPr>
              <w:pStyle w:val="Compact"/>
            </w:pPr>
            <w:r>
              <w:rPr>
                <w:b/>
                <w:sz w:val="17"/>
              </w:rPr>
              <w:t xml:space="preserve">What it pins</w:t>
            </w:r>
          </w:p>
        </w:tc>
      </w:tr>
      <w:tr>
        <w:tc>
          <w:tcPr/>
          <w:p>
            <w:pPr>
              <w:pStyle w:val="Compact"/>
            </w:pPr>
            <w:r>
              <w:rPr>
                <w:rStyle w:val="VerbatimChar"/>
              </w:rPr>
              <w:t xml:space="preserve">TestShape</w:t>
            </w:r>
            <w:r>
              <w:t xml:space="preserve">,</w:t>
            </w:r>
            <w:r>
              <w:t xml:space="preserve"> </w:t>
            </w:r>
            <w:r>
              <w:rPr>
                <w:rStyle w:val="VerbatimChar"/>
              </w:rPr>
              <w:t xml:space="preserve">TestPurity</w:t>
            </w:r>
          </w:p>
        </w:tc>
        <w:tc>
          <w:tcPr/>
          <w:p>
            <w:pPr>
              <w:pStyle w:val="Compact"/>
            </w:pPr>
            <w:r>
              <w:t xml:space="preserve">8</w:t>
            </w:r>
          </w:p>
        </w:tc>
        <w:tc>
          <w:tcPr/>
          <w:p>
            <w:pPr>
              <w:pStyle w:val="Compact"/>
            </w:pPr>
            <w:r>
              <w:t xml:space="preserve">the feature vector is 1,036 columns and is a pure function of the structure, identical alone or in a batch and under reordering</w:t>
            </w:r>
          </w:p>
        </w:tc>
      </w:tr>
      <w:tr>
        <w:tc>
          <w:tcPr/>
          <w:p>
            <w:pPr>
              <w:pStyle w:val="Compact"/>
            </w:pPr>
            <w:r>
              <w:rPr>
                <w:rStyle w:val="VerbatimChar"/>
              </w:rPr>
              <w:t xml:space="preserve">TestParentAndStereo</w:t>
            </w:r>
          </w:p>
        </w:tc>
        <w:tc>
          <w:tcPr/>
          <w:p>
            <w:pPr>
              <w:pStyle w:val="Compact"/>
            </w:pPr>
            <w:r>
              <w:t xml:space="preserve">4</w:t>
            </w:r>
          </w:p>
        </w:tc>
        <w:tc>
          <w:tcPr/>
          <w:p>
            <w:pPr>
              <w:pStyle w:val="Compact"/>
            </w:pPr>
            <w:r>
              <w:t xml:space="preserve">salts reduce to their free base and give identical vectors; a permanent charge survives; enantiomers collide, which is pinned as a known limitation</w:t>
            </w:r>
          </w:p>
        </w:tc>
      </w:tr>
      <w:tr>
        <w:tc>
          <w:tcPr/>
          <w:p>
            <w:pPr>
              <w:pStyle w:val="Compact"/>
            </w:pPr>
            <w:r>
              <w:rPr>
                <w:rStyle w:val="VerbatimChar"/>
              </w:rPr>
              <w:t xml:space="preserve">TestDeduplication</w:t>
            </w:r>
          </w:p>
        </w:tc>
        <w:tc>
          <w:tcPr/>
          <w:p>
            <w:pPr>
              <w:pStyle w:val="Compact"/>
            </w:pPr>
            <w:r>
              <w:t xml:space="preserve">4</w:t>
            </w:r>
          </w:p>
        </w:tc>
        <w:tc>
          <w:tcPr/>
          <w:p>
            <w:pPr>
              <w:pStyle w:val="Compact"/>
            </w:pPr>
            <w:r>
              <w:t xml:space="preserve">rows identical in feature space collapse, contradictory groups are dropped rather than voted on, and both happen before any split</w:t>
            </w:r>
          </w:p>
        </w:tc>
      </w:tr>
      <w:tr>
        <w:tc>
          <w:tcPr/>
          <w:p>
            <w:pPr>
              <w:pStyle w:val="Compact"/>
            </w:pPr>
            <w:r>
              <w:rPr>
                <w:rStyle w:val="VerbatimChar"/>
              </w:rPr>
              <w:t xml:space="preserve">TestBackgroundPools</w:t>
            </w:r>
          </w:p>
        </w:tc>
        <w:tc>
          <w:tcPr/>
          <w:p>
            <w:pPr>
              <w:pStyle w:val="Compact"/>
            </w:pPr>
            <w:r>
              <w:t xml:space="preserve">5</w:t>
            </w:r>
          </w:p>
        </w:tc>
        <w:tc>
          <w:tcPr/>
          <w:p>
            <w:pPr>
              <w:pStyle w:val="Compact"/>
            </w:pPr>
            <w:r>
              <w:t xml:space="preserve">the three background pools are disjoint and pool membership is a pure function of the structure, so a threshold set on one and measured on another stays honest across machines</w:t>
            </w:r>
          </w:p>
        </w:tc>
      </w:tr>
      <w:tr>
        <w:tc>
          <w:tcPr/>
          <w:p>
            <w:pPr>
              <w:pStyle w:val="Compact"/>
            </w:pPr>
            <w:r>
              <w:rPr>
                <w:rStyle w:val="VerbatimChar"/>
              </w:rPr>
              <w:t xml:space="preserve">TestCensoredLabelRule</w:t>
            </w:r>
          </w:p>
        </w:tc>
        <w:tc>
          <w:tcPr/>
          <w:p>
            <w:pPr>
              <w:pStyle w:val="Compact"/>
            </w:pPr>
            <w:r>
              <w:t xml:space="preserve">3</w:t>
            </w:r>
          </w:p>
        </w:tc>
        <w:tc>
          <w:tcPr/>
          <w:p>
            <w:pPr>
              <w:pStyle w:val="Compact"/>
            </w:pPr>
            <w:r>
              <w:t xml:space="preserve">a censored bound settles a label only when the whole interval falls one side of the cut</w:t>
            </w:r>
          </w:p>
        </w:tc>
      </w:tr>
      <w:tr>
        <w:tc>
          <w:tcPr/>
          <w:p>
            <w:pPr>
              <w:pStyle w:val="Compact"/>
            </w:pPr>
            <w:r>
              <w:rPr>
                <w:rStyle w:val="VerbatimChar"/>
              </w:rPr>
              <w:t xml:space="preserve">TestDeterminism</w:t>
            </w:r>
          </w:p>
        </w:tc>
        <w:tc>
          <w:tcPr/>
          <w:p>
            <w:pPr>
              <w:pStyle w:val="Compact"/>
            </w:pPr>
            <w:r>
              <w:t xml:space="preserve">2</w:t>
            </w:r>
          </w:p>
        </w:tc>
        <w:tc>
          <w:tcPr/>
          <w:p>
            <w:pPr>
              <w:pStyle w:val="Compact"/>
            </w:pPr>
            <w:r>
              <w:t xml:space="preserve">the declared seed is the one the pipeline uses, and a fixed seed reproduces itself</w:t>
            </w:r>
          </w:p>
        </w:tc>
      </w:tr>
      <w:tr>
        <w:tc>
          <w:tcPr/>
          <w:p>
            <w:pPr>
              <w:pStyle w:val="Compact"/>
            </w:pPr>
            <w:r>
              <w:rPr>
                <w:rStyle w:val="VerbatimChar"/>
              </w:rPr>
              <w:t xml:space="preserve">TestPanelRegistryIsConsistent</w:t>
            </w:r>
          </w:p>
        </w:tc>
        <w:tc>
          <w:tcPr/>
          <w:p>
            <w:pPr>
              <w:pStyle w:val="Compact"/>
            </w:pPr>
            <w:r>
              <w:t xml:space="preserve">5</w:t>
            </w:r>
          </w:p>
        </w:tc>
        <w:tc>
          <w:tcPr/>
          <w:p>
            <w:pPr>
              <w:pStyle w:val="Compact"/>
            </w:pPr>
            <w:r>
              <w:t xml:space="preserve">the registry, the endpoint tables and the fitted models describe one panel; no model predates its training table; no endpoint is withheld without a recorded reason</w:t>
            </w:r>
          </w:p>
        </w:tc>
      </w:tr>
      <w:tr>
        <w:tc>
          <w:tcPr/>
          <w:p>
            <w:pPr>
              <w:pStyle w:val="Compact"/>
            </w:pPr>
            <w:r>
              <w:rPr>
                <w:rStyle w:val="VerbatimChar"/>
              </w:rPr>
              <w:t xml:space="preserve">TestEveryEndpointIsRetrainable</w:t>
            </w:r>
          </w:p>
        </w:tc>
        <w:tc>
          <w:tcPr/>
          <w:p>
            <w:pPr>
              <w:pStyle w:val="Compact"/>
            </w:pPr>
            <w:r>
              <w:t xml:space="preserve">2</w:t>
            </w:r>
          </w:p>
        </w:tc>
        <w:tc>
          <w:tcPr/>
          <w:p>
            <w:pPr>
              <w:pStyle w:val="Compact"/>
            </w:pPr>
            <w:r>
              <w:t xml:space="preserve">every endpoint is claimed by exactly one trainer, and by no more than one</w:t>
            </w:r>
          </w:p>
        </w:tc>
      </w:tr>
      <w:tr>
        <w:tc>
          <w:tcPr/>
          <w:p>
            <w:pPr>
              <w:pStyle w:val="Compact"/>
            </w:pPr>
            <w:r>
              <w:rPr>
                <w:rStyle w:val="VerbatimChar"/>
              </w:rPr>
              <w:t xml:space="preserve">TestThresholdSequenceIsAtomic</w:t>
            </w:r>
          </w:p>
        </w:tc>
        <w:tc>
          <w:tcPr/>
          <w:p>
            <w:pPr>
              <w:pStyle w:val="Compact"/>
            </w:pPr>
            <w:r>
              <w:t xml:space="preserve">2</w:t>
            </w:r>
          </w:p>
        </w:tc>
        <w:tc>
          <w:tcPr/>
          <w:p>
            <w:pPr>
              <w:pStyle w:val="Compact"/>
            </w:pPr>
            <w:r>
              <w:t xml:space="preserve">the four threshold steps stay one unit, and no member depends on a file the sequence itself rewrites</w:t>
            </w:r>
          </w:p>
        </w:tc>
      </w:tr>
      <w:tr>
        <w:tc>
          <w:tcPr/>
          <w:p>
            <w:pPr>
              <w:pStyle w:val="Compact"/>
            </w:pPr>
            <w:r>
              <w:rPr>
                <w:rStyle w:val="VerbatimChar"/>
              </w:rPr>
              <w:t xml:space="preserve">TestDeployedPipeline</w:t>
            </w:r>
          </w:p>
        </w:tc>
        <w:tc>
          <w:tcPr/>
          <w:p>
            <w:pPr>
              <w:pStyle w:val="Compact"/>
            </w:pPr>
            <w:r>
              <w:t xml:space="preserve">9</w:t>
            </w:r>
          </w:p>
        </w:tc>
        <w:tc>
          <w:tcPr/>
          <w:p>
            <w:pPr>
              <w:pStyle w:val="Compact"/>
            </w:pPr>
            <w:r>
              <w:t xml:space="preserve">reference drugs return their known pharmacology; predictions are reproducible to 1e-12; unparseable input is rejected rather than scored; the withdrawal set is what it is claimed to be</w:t>
            </w:r>
          </w:p>
        </w:tc>
      </w:tr>
    </w:tbl>
    <w:p>
      <w:pPr>
        <w:pStyle w:val="BodyText"/>
      </w:pPr>
      <w:r>
        <w:t xml:space="preserve">A pre-commit hook additionally refuses a commit whose artefacts are older than their inputs, or whose</w:t>
      </w:r>
      <w:r>
        <w:t xml:space="preserve"> </w:t>
      </w:r>
      <w:r>
        <w:t xml:space="preserve">panel does not reconcile.</w:t>
      </w:r>
    </w:p>
    <w:bookmarkEnd w:id="47"/>
    <w:bookmarkStart w:id="48" w:name="leakage-and-null-models"/>
    <w:p>
      <w:pPr>
        <w:pStyle w:val="Heading3"/>
      </w:pPr>
      <w:r>
        <w:t xml:space="preserve">6.7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48"/>
    <w:bookmarkEnd w:id="49"/>
    <w:bookmarkStart w:id="54"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50"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8"/>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8"/>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8"/>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8"/>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50"/>
    <w:bookmarkStart w:id="51"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51"/>
    <w:bookmarkStart w:id="52"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52"/>
    <w:bookmarkStart w:id="53" w:name="approaches-deliberately-not-taken"/>
    <w:p>
      <w:pPr>
        <w:pStyle w:val="Heading3"/>
      </w:pPr>
      <w:r>
        <w:t xml:space="preserve">7.4 Approaches deliberately not taken</w:t>
      </w:r>
    </w:p>
    <w:p>
      <w:pPr>
        <w:pStyle w:val="Compact"/>
        <w:numPr>
          <w:ilvl w:val="0"/>
          <w:numId w:val="1009"/>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9"/>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9"/>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9"/>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53"/>
    <w:bookmarkEnd w:id="54"/>
    <w:bookmarkStart w:id="56"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10"/>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10"/>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10"/>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10"/>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10"/>
        </w:numPr>
      </w:pPr>
      <w:r>
        <w:rPr>
          <w:b/>
          <w:bCs/>
        </w:rPr>
        <w:t xml:space="preserve">Chirality is not represented.</w:t>
      </w:r>
      <w:r>
        <w:t xml:space="preserve"> </w:t>
      </w:r>
      <w:r>
        <w:t xml:space="preserve">Two enantiomers give identical predictions.</w:t>
      </w:r>
    </w:p>
    <w:p>
      <w:pPr>
        <w:pStyle w:val="Compact"/>
        <w:numPr>
          <w:ilvl w:val="0"/>
          <w:numId w:val="1010"/>
        </w:numPr>
      </w:pPr>
      <w:r>
        <w:rPr>
          <w:b/>
          <w:bCs/>
        </w:rPr>
        <w:t xml:space="preserve">Agonism and antagonism are not distinguished.</w:t>
      </w:r>
      <w:r>
        <w:t xml:space="preserve"> </w:t>
      </w:r>
      <w:r>
        <w:t xml:space="preserve">Both bind, and the models are trained on binding.</w:t>
      </w:r>
    </w:p>
    <w:bookmarkStart w:id="55"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p>
    <w:p>
      <w:r>
        <w:pict>
          <v:rect style="width:0;height:1.5pt" o:hralign="center" o:hrstd="t" o:hr="t"/>
        </w:pict>
      </w:r>
    </w:p>
    <w:bookmarkEnd w:id="55"/>
    <w:bookmarkEnd w:id="56"/>
    <w:bookmarkStart w:id="62" w:name="X07b8c6069856654fbd18aef0ac8f3d4162bf50f"/>
    <w:p>
      <w:pPr>
        <w:pStyle w:val="Heading2"/>
      </w:pPr>
      <w:r>
        <w:t xml:space="preserve">8.2 Criticisms anticipated, and what the evidence says</w:t>
      </w:r>
    </w:p>
    <w:p>
      <w:pPr>
        <w:pStyle w:val="FirstParagraph"/>
      </w:pPr>
      <w:r>
        <w:t xml:space="preserve">Five objections are foreseeable, and each is answered here with a measurement rather than an</w:t>
      </w:r>
      <w:r>
        <w:t xml:space="preserve"> </w:t>
      </w:r>
      <w:r>
        <w:t xml:space="preserve">argument. Two of them turned out to be right, one turned out to be a defect in the test rather than</w:t>
      </w:r>
      <w:r>
        <w:t xml:space="preserve"> </w:t>
      </w:r>
      <w:r>
        <w:t xml:space="preserve">in the tool, and two are bounded more narrowly than the objection assumes.</w:t>
      </w:r>
    </w:p>
    <w:bookmarkStart w:id="57" w:name="Xecedc707b5cf7251c69af4fc0729d2319c99899"/>
    <w:p>
      <w:pPr>
        <w:pStyle w:val="Heading3"/>
      </w:pPr>
      <w:r>
        <w:t xml:space="preserve">The disease layer does not beat a frequency baseline</w:t>
      </w:r>
    </w:p>
    <w:p>
      <w:pPr>
        <w:pStyle w:val="FirstParagraph"/>
      </w:pPr>
      <w:r>
        <w:rPr>
          <w:b/>
          <w:bCs/>
        </w:rPr>
        <w:t xml:space="preserve">Partly right, and the comparison is the wrong one.</w:t>
      </w:r>
      <w:r>
        <w:t xml:space="preserve"> </w:t>
      </w:r>
      <w:r>
        <w:t xml:space="preserve">On top-3 accuracy over drugs never seen in</w:t>
      </w:r>
      <w:r>
        <w:t xml:space="preserve"> </w:t>
      </w:r>
      <w:r>
        <w:t xml:space="preserve">training the layer scores 0.352 against a frequency null of 0.654, and that is reported as it stands.</w:t>
      </w:r>
      <w:r>
        <w:t xml:space="preserve"> </w:t>
      </w:r>
      <w:r>
        <w:t xml:space="preserve">But the frequency null answers</w:t>
      </w:r>
      <w:r>
        <w:t xml:space="preserve"> </w:t>
      </w:r>
      <w:r>
        <w:rPr>
          <w:i/>
          <w:iCs/>
        </w:rPr>
        <w:t xml:space="preserve">chronic pain, depression, psychosis</w:t>
      </w:r>
      <w:r>
        <w:t xml:space="preserve"> </w:t>
      </w:r>
      <w:r>
        <w:t xml:space="preserve">for every compound it is shown.</w:t>
      </w:r>
      <w:r>
        <w:t xml:space="preserve"> </w:t>
      </w:r>
      <w:r>
        <w:t xml:space="preserve">It is right often because 40 per cent of approved CNS drugs treat chronic pain, not because it knows</w:t>
      </w:r>
      <w:r>
        <w:t xml:space="preserve"> </w:t>
      </w:r>
      <w:r>
        <w:t xml:space="preserve">anything, and it cannot rank one molecule against another, which is the only thing a triage tool is</w:t>
      </w:r>
      <w:r>
        <w:t xml:space="preserve"> </w:t>
      </w:r>
      <w:r>
        <w:t xml:space="preserve">for. Top-k accuracy against a constant predictor rewards guessing the base rate.</w:t>
      </w:r>
    </w:p>
    <w:p>
      <w:pPr>
        <w:pStyle w:val="BodyText"/>
      </w:pPr>
      <w:r>
        <w:t xml:space="preserve">Two metrics a constant predictor cannot pass were therefore measured, on the same 162 drugs:</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indication</w:t>
            </w:r>
          </w:p>
        </w:tc>
        <w:tc>
          <w:tcPr>
            <w:shd w:val="clear" w:fill="EAF0F7"/>
          </w:tcPr>
          <w:p>
            <w:pPr>
              <w:pStyle w:val="Compact"/>
            </w:pPr>
            <w:r>
              <w:rPr>
                <w:b/>
                <w:sz w:val="17"/>
              </w:rPr>
              <w:t xml:space="preserve">n_drugs_with_it</w:t>
            </w:r>
          </w:p>
        </w:tc>
        <w:tc>
          <w:tcPr>
            <w:shd w:val="clear" w:fill="EAF0F7"/>
          </w:tcPr>
          <w:p>
            <w:pPr>
              <w:pStyle w:val="Compact"/>
            </w:pPr>
            <w:r>
              <w:rPr>
                <w:b/>
                <w:sz w:val="17"/>
              </w:rPr>
              <w:t xml:space="preserve">auroc_model</w:t>
            </w:r>
          </w:p>
        </w:tc>
        <w:tc>
          <w:tcPr>
            <w:shd w:val="clear" w:fill="EAF0F7"/>
          </w:tcPr>
          <w:p>
            <w:pPr>
              <w:pStyle w:val="Compact"/>
            </w:pPr>
            <w:r>
              <w:rPr>
                <w:b/>
                <w:sz w:val="17"/>
              </w:rPr>
              <w:t xml:space="preserve">auroc_frequency_null</w:t>
            </w:r>
          </w:p>
        </w:tc>
      </w:tr>
      <w:tr>
        <w:tc>
          <w:tcPr/>
          <w:p>
            <w:pPr>
              <w:pStyle w:val="Compact"/>
            </w:pPr>
            <w:r>
              <w:t xml:space="preserve">Depression / anxiety</w:t>
            </w:r>
          </w:p>
        </w:tc>
        <w:tc>
          <w:tcPr/>
          <w:p>
            <w:pPr>
              <w:pStyle w:val="Compact"/>
            </w:pPr>
            <w:r>
              <w:t xml:space="preserve">31</w:t>
            </w:r>
          </w:p>
        </w:tc>
        <w:tc>
          <w:tcPr/>
          <w:p>
            <w:pPr>
              <w:pStyle w:val="Compact"/>
            </w:pPr>
            <w:r>
              <w:t xml:space="preserve">0.7944</w:t>
            </w:r>
          </w:p>
        </w:tc>
        <w:tc>
          <w:tcPr/>
          <w:p>
            <w:pPr>
              <w:pStyle w:val="Compact"/>
            </w:pPr>
            <w:r>
              <w:t xml:space="preserve">0.5</w:t>
            </w:r>
          </w:p>
        </w:tc>
      </w:tr>
      <w:tr>
        <w:tc>
          <w:tcPr/>
          <w:p>
            <w:pPr>
              <w:pStyle w:val="Compact"/>
            </w:pPr>
            <w:r>
              <w:t xml:space="preserve">Psychosis / schizophrenia</w:t>
            </w:r>
          </w:p>
        </w:tc>
        <w:tc>
          <w:tcPr/>
          <w:p>
            <w:pPr>
              <w:pStyle w:val="Compact"/>
            </w:pPr>
            <w:r>
              <w:t xml:space="preserve">18</w:t>
            </w:r>
          </w:p>
        </w:tc>
        <w:tc>
          <w:tcPr/>
          <w:p>
            <w:pPr>
              <w:pStyle w:val="Compact"/>
            </w:pPr>
            <w:r>
              <w:t xml:space="preserve">0.7647</w:t>
            </w:r>
          </w:p>
        </w:tc>
        <w:tc>
          <w:tcPr/>
          <w:p>
            <w:pPr>
              <w:pStyle w:val="Compact"/>
            </w:pPr>
            <w:r>
              <w:t xml:space="preserve">0.5</w:t>
            </w:r>
          </w:p>
        </w:tc>
      </w:tr>
      <w:tr>
        <w:tc>
          <w:tcPr/>
          <w:p>
            <w:pPr>
              <w:pStyle w:val="Compact"/>
            </w:pPr>
            <w:r>
              <w:t xml:space="preserve">Chronic pain</w:t>
            </w:r>
          </w:p>
        </w:tc>
        <w:tc>
          <w:tcPr/>
          <w:p>
            <w:pPr>
              <w:pStyle w:val="Compact"/>
            </w:pPr>
            <w:r>
              <w:t xml:space="preserve">64</w:t>
            </w:r>
          </w:p>
        </w:tc>
        <w:tc>
          <w:tcPr/>
          <w:p>
            <w:pPr>
              <w:pStyle w:val="Compact"/>
            </w:pPr>
            <w:r>
              <w:t xml:space="preserve">0.6456</w:t>
            </w:r>
          </w:p>
        </w:tc>
        <w:tc>
          <w:tcPr/>
          <w:p>
            <w:pPr>
              <w:pStyle w:val="Compact"/>
            </w:pPr>
            <w:r>
              <w:t xml:space="preserve">0.5</w:t>
            </w:r>
          </w:p>
        </w:tc>
      </w:tr>
      <w:tr>
        <w:tc>
          <w:tcPr/>
          <w:p>
            <w:pPr>
              <w:pStyle w:val="Compact"/>
            </w:pPr>
            <w:r>
              <w:t xml:space="preserve">Parkinson’s disease</w:t>
            </w:r>
          </w:p>
        </w:tc>
        <w:tc>
          <w:tcPr/>
          <w:p>
            <w:pPr>
              <w:pStyle w:val="Compact"/>
            </w:pPr>
            <w:r>
              <w:t xml:space="preserve">15</w:t>
            </w:r>
          </w:p>
        </w:tc>
        <w:tc>
          <w:tcPr/>
          <w:p>
            <w:pPr>
              <w:pStyle w:val="Compact"/>
            </w:pPr>
            <w:r>
              <w:t xml:space="preserve">0.6231</w:t>
            </w:r>
          </w:p>
        </w:tc>
        <w:tc>
          <w:tcPr/>
          <w:p>
            <w:pPr>
              <w:pStyle w:val="Compact"/>
            </w:pPr>
            <w:r>
              <w:t xml:space="preserve">0.5</w:t>
            </w:r>
          </w:p>
        </w:tc>
      </w:tr>
      <w:tr>
        <w:tc>
          <w:tcPr/>
          <w:p>
            <w:pPr>
              <w:pStyle w:val="Compact"/>
            </w:pPr>
            <w:r>
              <w:t xml:space="preserve">Addiction</w:t>
            </w:r>
          </w:p>
        </w:tc>
        <w:tc>
          <w:tcPr/>
          <w:p>
            <w:pPr>
              <w:pStyle w:val="Compact"/>
            </w:pPr>
            <w:r>
              <w:t xml:space="preserve">7</w:t>
            </w:r>
          </w:p>
        </w:tc>
        <w:tc>
          <w:tcPr/>
          <w:p>
            <w:pPr>
              <w:pStyle w:val="Compact"/>
            </w:pPr>
            <w:r>
              <w:t xml:space="preserve">0.5659</w:t>
            </w:r>
          </w:p>
        </w:tc>
        <w:tc>
          <w:tcPr/>
          <w:p>
            <w:pPr>
              <w:pStyle w:val="Compact"/>
            </w:pPr>
            <w:r>
              <w:t xml:space="preserve">0.5</w:t>
            </w:r>
          </w:p>
        </w:tc>
      </w:tr>
      <w:tr>
        <w:tc>
          <w:tcPr/>
          <w:p>
            <w:pPr>
              <w:pStyle w:val="Compact"/>
            </w:pPr>
            <w:r>
              <w:t xml:space="preserve">Alzheimer’s disease</w:t>
            </w:r>
          </w:p>
        </w:tc>
        <w:tc>
          <w:tcPr/>
          <w:p>
            <w:pPr>
              <w:pStyle w:val="Compact"/>
            </w:pPr>
            <w:r>
              <w:t xml:space="preserve">9</w:t>
            </w:r>
          </w:p>
        </w:tc>
        <w:tc>
          <w:tcPr/>
          <w:p>
            <w:pPr>
              <w:pStyle w:val="Compact"/>
            </w:pPr>
            <w:r>
              <w:t xml:space="preserve">0.5479</w:t>
            </w:r>
          </w:p>
        </w:tc>
        <w:tc>
          <w:tcPr/>
          <w:p>
            <w:pPr>
              <w:pStyle w:val="Compact"/>
            </w:pPr>
            <w:r>
              <w:t xml:space="preserve">0.5</w:t>
            </w:r>
          </w:p>
        </w:tc>
      </w:tr>
      <w:tr>
        <w:tc>
          <w:tcPr/>
          <w:p>
            <w:pPr>
              <w:pStyle w:val="Compact"/>
            </w:pPr>
            <w:r>
              <w:t xml:space="preserve">Epilepsy</w:t>
            </w:r>
          </w:p>
        </w:tc>
        <w:tc>
          <w:tcPr/>
          <w:p>
            <w:pPr>
              <w:pStyle w:val="Compact"/>
            </w:pPr>
            <w:r>
              <w:t xml:space="preserve">15</w:t>
            </w:r>
          </w:p>
        </w:tc>
        <w:tc>
          <w:tcPr/>
          <w:p>
            <w:pPr>
              <w:pStyle w:val="Compact"/>
            </w:pPr>
            <w:r>
              <w:t xml:space="preserve">0.522</w:t>
            </w:r>
          </w:p>
        </w:tc>
        <w:tc>
          <w:tcPr/>
          <w:p>
            <w:pPr>
              <w:pStyle w:val="Compact"/>
            </w:pPr>
            <w:r>
              <w:t xml:space="preserve">0.5</w:t>
            </w:r>
          </w:p>
        </w:tc>
      </w:tr>
      <w:tr>
        <w:tc>
          <w:tcPr/>
          <w:p>
            <w:pPr>
              <w:pStyle w:val="Compact"/>
            </w:pPr>
            <w:r>
              <w:t xml:space="preserve">ADHD</w:t>
            </w:r>
          </w:p>
        </w:tc>
        <w:tc>
          <w:tcPr/>
          <w:p>
            <w:pPr>
              <w:pStyle w:val="Compact"/>
            </w:pPr>
            <w:r>
              <w:t xml:space="preserve">12</w:t>
            </w:r>
          </w:p>
        </w:tc>
        <w:tc>
          <w:tcPr/>
          <w:p>
            <w:pPr>
              <w:pStyle w:val="Compact"/>
            </w:pPr>
            <w:r>
              <w:t xml:space="preserve">0.5006</w:t>
            </w:r>
          </w:p>
        </w:tc>
        <w:tc>
          <w:tcPr/>
          <w:p>
            <w:pPr>
              <w:pStyle w:val="Compact"/>
            </w:pPr>
            <w:r>
              <w:t xml:space="preserve">0.5</w:t>
            </w:r>
          </w:p>
        </w:tc>
      </w:tr>
      <w:tr>
        <w:tc>
          <w:tcPr/>
          <w:p>
            <w:pPr>
              <w:pStyle w:val="Compact"/>
            </w:pPr>
            <w:r>
              <w:t xml:space="preserve">Sleep / wakefulness</w:t>
            </w:r>
          </w:p>
        </w:tc>
        <w:tc>
          <w:tcPr/>
          <w:p>
            <w:pPr>
              <w:pStyle w:val="Compact"/>
            </w:pPr>
            <w:r>
              <w:t xml:space="preserve">10</w:t>
            </w:r>
          </w:p>
        </w:tc>
        <w:tc>
          <w:tcPr/>
          <w:p>
            <w:pPr>
              <w:pStyle w:val="Compact"/>
            </w:pPr>
            <w:r>
              <w:t xml:space="preserve">0.4993</w:t>
            </w:r>
          </w:p>
        </w:tc>
        <w:tc>
          <w:tcPr/>
          <w:p>
            <w:pPr>
              <w:pStyle w:val="Compact"/>
            </w:pPr>
            <w:r>
              <w:t xml:space="preserve">0.5</w:t>
            </w:r>
          </w:p>
        </w:tc>
      </w:tr>
    </w:tbl>
    <w:p>
      <w:pPr>
        <w:pStyle w:val="BodyText"/>
      </w:pPr>
      <w:r>
        <w:t xml:space="preserve">Mean per-indication AUROC is</w:t>
      </w:r>
      <w:r>
        <w:t xml:space="preserve"> </w:t>
      </w:r>
      <w:r>
        <w:rPr>
          <w:b/>
          <w:bCs/>
        </w:rPr>
        <w:t xml:space="preserve">0.607</w:t>
      </w:r>
      <w:r>
        <w:t xml:space="preserve"> </w:t>
      </w:r>
      <w:r>
        <w:t xml:space="preserve">against</w:t>
      </w:r>
      <w:r>
        <w:t xml:space="preserve"> </w:t>
      </w:r>
      <w:r>
        <w:rPr>
          <w:b/>
          <w:bCs/>
        </w:rPr>
        <w:t xml:space="preserve">0.500</w:t>
      </w:r>
      <w:r>
        <w:t xml:space="preserve"> </w:t>
      </w:r>
      <w:r>
        <w:t xml:space="preserve">for any constant</w:t>
      </w:r>
      <w:r>
        <w:t xml:space="preserve"> </w:t>
      </w:r>
      <w:r>
        <w:t xml:space="preserve">predictor, and the layer beats chance on</w:t>
      </w:r>
      <w:r>
        <w:t xml:space="preserve"> </w:t>
      </w:r>
      <w:r>
        <w:rPr>
          <w:b/>
          <w:bCs/>
        </w:rPr>
        <w:t xml:space="preserve">8 of 9</w:t>
      </w:r>
      <w:r>
        <w:t xml:space="preserve"> </w:t>
      </w:r>
      <w:r>
        <w:t xml:space="preserve">indications. Macro-averaged top-3</w:t>
      </w:r>
      <w:r>
        <w:t xml:space="preserve"> </w:t>
      </w:r>
      <w:r>
        <w:t xml:space="preserve">recall, which averages per indication rather than pooling and so cannot be carried by naming the</w:t>
      </w:r>
      <w:r>
        <w:t xml:space="preserve"> </w:t>
      </w:r>
      <w:r>
        <w:t xml:space="preserve">common conditions, is</w:t>
      </w:r>
      <w:r>
        <w:t xml:space="preserve"> </w:t>
      </w:r>
      <w:r>
        <w:rPr>
          <w:b/>
          <w:bCs/>
        </w:rPr>
        <w:t xml:space="preserve">0.400 against 0.333</w:t>
      </w:r>
      <w:r>
        <w:t xml:space="preserve">.</w:t>
      </w:r>
    </w:p>
    <w:p>
      <w:pPr>
        <w:pStyle w:val="BodyText"/>
      </w:pPr>
      <w:r>
        <w:t xml:space="preserve">The honest reading is that the layer responds to the compound, decisively for depression (0.794) and</w:t>
      </w:r>
      <w:r>
        <w:t xml:space="preserve"> </w:t>
      </w:r>
      <w:r>
        <w:t xml:space="preserve">psychosis (0.765), weakly for epilepsy (0.522), and not at all for ADHD or sleep. That is a layer</w:t>
      </w:r>
      <w:r>
        <w:t xml:space="preserve"> </w:t>
      </w:r>
      <w:r>
        <w:t xml:space="preserve">worth shipping as a route from mechanism to condition and not worth shipping as an indication</w:t>
      </w:r>
      <w:r>
        <w:t xml:space="preserve"> </w:t>
      </w:r>
      <w:r>
        <w:t xml:space="preserve">prediction, which is exactly how it is presented.</w:t>
      </w:r>
    </w:p>
    <w:bookmarkEnd w:id="57"/>
    <w:bookmarkStart w:id="58" w:name="chirality-is-not-represented"/>
    <w:p>
      <w:pPr>
        <w:pStyle w:val="Heading3"/>
      </w:pPr>
      <w:r>
        <w:t xml:space="preserve">Chirality is not represented</w:t>
      </w:r>
    </w:p>
    <w:p>
      <w:pPr>
        <w:pStyle w:val="FirstParagraph"/>
      </w:pPr>
      <w:r>
        <w:rPr>
          <w:b/>
          <w:bCs/>
        </w:rPr>
        <w:t xml:space="preserve">Right, and now bounded.</w:t>
      </w:r>
      <w:r>
        <w:t xml:space="preserve"> </w:t>
      </w:r>
      <w:r>
        <w:t xml:space="preserve">The featuriser excludes stereochemistry, so two enantiomers receive</w:t>
      </w:r>
      <w:r>
        <w:t xml:space="preserve"> </w:t>
      </w:r>
      <w:r>
        <w:t xml:space="preserve">identical predictions. For a CNS panel this is the sharpest available criticism, and the correct</w:t>
      </w:r>
      <w:r>
        <w:t xml:space="preserve"> </w:t>
      </w:r>
      <w:r>
        <w:t xml:space="preserve">response is to measure what it costs rather than to concede it in the abstract.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Training structures carrying an assigned stereocentre</w:t>
            </w:r>
          </w:p>
        </w:tc>
        <w:tc>
          <w:tcPr>
            <w:shd w:val="clear" w:fill="EAF0F7"/>
          </w:tcPr>
          <w:p>
            <w:pPr>
              <w:pStyle w:val="Compact"/>
            </w:pPr>
            <w:r>
              <w:rPr>
                <w:b/>
                <w:sz w:val="17"/>
              </w:rPr>
              <w:t xml:space="preserve">93,102 of 228,198 (40.8 per cent)</w:t>
            </w:r>
          </w:p>
        </w:tc>
      </w:tr>
      <w:tr>
        <w:tc>
          <w:tcPr/>
          <w:p>
            <w:pPr>
              <w:pStyle w:val="Compact"/>
            </w:pPr>
            <w:r>
              <w:t xml:space="preserve">Skeletons present as two or more stereoisomers at one endpoint</w:t>
            </w:r>
          </w:p>
        </w:tc>
        <w:tc>
          <w:tcPr/>
          <w:p>
            <w:pPr>
              <w:pStyle w:val="Compact"/>
            </w:pPr>
            <w:r>
              <w:t xml:space="preserve">8,013</w:t>
            </w:r>
          </w:p>
        </w:tc>
      </w:tr>
      <w:tr>
        <w:tc>
          <w:tcPr/>
          <w:p>
            <w:pPr>
              <w:pStyle w:val="Compact"/>
            </w:pPr>
            <w:r>
              <w:t xml:space="preserve">Of those pairs, labels</w:t>
            </w:r>
            <w:r>
              <w:t xml:space="preserve"> </w:t>
            </w:r>
            <w:r>
              <w:rPr>
                <w:b/>
                <w:bCs/>
              </w:rPr>
              <w:t xml:space="preserve">agree</w:t>
            </w:r>
          </w:p>
        </w:tc>
        <w:tc>
          <w:tcPr/>
          <w:p>
            <w:pPr>
              <w:pStyle w:val="Compact"/>
            </w:pPr>
            <w:r>
              <w:t xml:space="preserve">7,579 (94.6 per cent)</w:t>
            </w:r>
          </w:p>
        </w:tc>
      </w:tr>
      <w:tr>
        <w:tc>
          <w:tcPr/>
          <w:p>
            <w:pPr>
              <w:pStyle w:val="Compact"/>
            </w:pPr>
            <w:r>
              <w:t xml:space="preserve">Of those pairs, labels</w:t>
            </w:r>
            <w:r>
              <w:t xml:space="preserve"> </w:t>
            </w:r>
            <w:r>
              <w:rPr>
                <w:b/>
                <w:bCs/>
              </w:rPr>
              <w:t xml:space="preserve">disagree</w:t>
            </w:r>
          </w:p>
        </w:tc>
        <w:tc>
          <w:tcPr/>
          <w:p>
            <w:pPr>
              <w:pStyle w:val="Compact"/>
            </w:pPr>
            <w:r>
              <w:t xml:space="preserve">434 (5.4 per cent)</w:t>
            </w:r>
          </w:p>
        </w:tc>
      </w:tr>
      <w:tr>
        <w:tc>
          <w:tcPr/>
          <w:p>
            <w:pPr>
              <w:pStyle w:val="Compact"/>
            </w:pPr>
            <w:r>
              <w:t xml:space="preserve">Median potency gap within a stereo pair</w:t>
            </w:r>
          </w:p>
        </w:tc>
        <w:tc>
          <w:tcPr/>
          <w:p>
            <w:pPr>
              <w:pStyle w:val="Compact"/>
            </w:pPr>
            <w:r>
              <w:t xml:space="preserve">0.41 log units</w:t>
            </w:r>
          </w:p>
        </w:tc>
      </w:tr>
      <w:tr>
        <w:tc>
          <w:tcPr/>
          <w:p>
            <w:pPr>
              <w:pStyle w:val="Compact"/>
            </w:pPr>
            <w:r>
              <w:t xml:space="preserve">Pairs differing by more than one log unit</w:t>
            </w:r>
          </w:p>
        </w:tc>
        <w:tc>
          <w:tcPr/>
          <w:p>
            <w:pPr>
              <w:pStyle w:val="Compact"/>
            </w:pPr>
            <w:r>
              <w:t xml:space="preserve">1,698 (24.7 per cent)</w:t>
            </w:r>
          </w:p>
        </w:tc>
      </w:tr>
      <w:tr>
        <w:tc>
          <w:tcPr/>
          <w:p>
            <w:pPr>
              <w:pStyle w:val="Compact"/>
            </w:pPr>
            <w:r>
              <w:t xml:space="preserve">Share of the whole panel where chirality could change a class call</w:t>
            </w:r>
          </w:p>
        </w:tc>
        <w:tc>
          <w:tcPr/>
          <w:p>
            <w:pPr>
              <w:pStyle w:val="Compact"/>
            </w:pPr>
            <w:r>
              <w:rPr>
                <w:b/>
                <w:bCs/>
              </w:rPr>
              <w:t xml:space="preserve">0.19 per cent</w:t>
            </w:r>
          </w:p>
        </w:tc>
      </w:tr>
    </w:tbl>
    <w:p>
      <w:pPr>
        <w:pStyle w:val="BodyText"/>
      </w:pPr>
      <w:r>
        <w:t xml:space="preserve">Four in ten training structures carry a stereocentre, so the data could support a chirality-aware</w:t>
      </w:r>
      <w:r>
        <w:t xml:space="preserve"> </w:t>
      </w:r>
      <w:r>
        <w:t xml:space="preserve">fingerprint. But where the same skeleton appears as more than one stereoisomer measured at the same</w:t>
      </w:r>
      <w:r>
        <w:t xml:space="preserve"> </w:t>
      </w:r>
      <w:r>
        <w:t xml:space="preserve">endpoint, the measured labels agree 95 per cent of</w:t>
      </w:r>
      <w:r>
        <w:t xml:space="preserve"> </w:t>
      </w:r>
      <w:r>
        <w:t xml:space="preserve">the time. Stereochemistry is therefore mostly not what separates an active from an inactive</w:t>
      </w:r>
      <w:r>
        <w:t xml:space="preserve"> </w:t>
      </w:r>
      <w:r>
        <w:rPr>
          <w:i/>
          <w:iCs/>
        </w:rPr>
        <w:t xml:space="preserve">in this</w:t>
      </w:r>
      <w:r>
        <w:rPr>
          <w:i/>
          <w:iCs/>
        </w:rPr>
        <w:t xml:space="preserve"> </w:t>
      </w:r>
      <w:r>
        <w:rPr>
          <w:i/>
          <w:iCs/>
        </w:rPr>
        <w:t xml:space="preserve">data</w:t>
      </w:r>
      <w:r>
        <w:t xml:space="preserve">, and a chirality-aware fingerprint would add sparsity to resolve a distinction the labels</w:t>
      </w:r>
      <w:r>
        <w:t xml:space="preserve"> </w:t>
      </w:r>
      <w:r>
        <w:t xml:space="preserve">usually do not make.</w:t>
      </w:r>
    </w:p>
    <w:p>
      <w:pPr>
        <w:pStyle w:val="BodyText"/>
      </w:pPr>
      <w:r>
        <w:t xml:space="preserve">That is a bound, not an absolution. A quarter of the pairs that can be compared on potency differ by</w:t>
      </w:r>
      <w:r>
        <w:t xml:space="preserve"> </w:t>
      </w:r>
      <w:r>
        <w:t xml:space="preserve">more than a log unit, and the disagreements concentrate where a pharmacologist would expect them:</w:t>
      </w:r>
      <w:r>
        <w:t xml:space="preserve"> </w:t>
      </w:r>
      <w:r>
        <w:t xml:space="preserve">BBB, BACE1, D2, OX2, the mu-opioid receptor and CB1. The right statement is that predictions are</w:t>
      </w:r>
      <w:r>
        <w:t xml:space="preserve"> </w:t>
      </w:r>
      <w:r>
        <w:t xml:space="preserve">made on the flat skeleton, that this is invisible to the user unless said, and that for a compound</w:t>
      </w:r>
      <w:r>
        <w:t xml:space="preserve"> </w:t>
      </w:r>
      <w:r>
        <w:t xml:space="preserve">whose activity is known to be enantiomer-specific the prediction should be read as applying to the</w:t>
      </w:r>
      <w:r>
        <w:t xml:space="preserve"> </w:t>
      </w:r>
      <w:r>
        <w:t xml:space="preserve">racemate.</w:t>
      </w:r>
    </w:p>
    <w:bookmarkEnd w:id="58"/>
    <w:bookmarkStart w:id="59" w:name="Xf8bd344231b588f7eea5e66124208c2f3af2908"/>
    <w:p>
      <w:pPr>
        <w:pStyle w:val="Heading3"/>
      </w:pPr>
      <w:r>
        <w:t xml:space="preserve">Agonism and antagonism are not distinguished</w:t>
      </w:r>
    </w:p>
    <w:p>
      <w:pPr>
        <w:pStyle w:val="FirstParagraph"/>
      </w:pPr>
      <w:r>
        <w:rPr>
          <w:b/>
          <w:bCs/>
        </w:rPr>
        <w:t xml:space="preserve">Right, and it is a limitation of the labels rather than of the models.</w:t>
      </w:r>
      <w:r>
        <w:t xml:space="preserve"> </w:t>
      </w:r>
      <w:r>
        <w:t xml:space="preserve">The training label is a</w:t>
      </w:r>
      <w:r>
        <w:t xml:space="preserve"> </w:t>
      </w:r>
      <w:r>
        <w:t xml:space="preserve">potency value: IC50, Ki, Kd or EC50. Those measure</w:t>
      </w:r>
      <w:r>
        <w:t xml:space="preserve"> </w:t>
      </w:r>
      <w:r>
        <w:rPr>
          <w:i/>
          <w:iCs/>
        </w:rPr>
        <w:t xml:space="preserve">affinity</w:t>
      </w:r>
      <w:r>
        <w:t xml:space="preserve">, how tightly a compound binds, and an</w:t>
      </w:r>
      <w:r>
        <w:t xml:space="preserve"> </w:t>
      </w:r>
      <w:r>
        <w:t xml:space="preserve">agonist and an antagonist at the same receptor can share one. Direction is carried in ChEMBL’s</w:t>
      </w:r>
      <w:r>
        <w:t xml:space="preserve"> </w:t>
      </w:r>
      <w:r>
        <w:rPr>
          <w:rStyle w:val="VerbatimChar"/>
        </w:rPr>
        <w:t xml:space="preserve">action_type</w:t>
      </w:r>
      <w:r>
        <w:t xml:space="preserve"> </w:t>
      </w:r>
      <w:r>
        <w:t xml:space="preserve">field, which is sparsely populated and was never pulled: it appears nowhere in this</w:t>
      </w:r>
      <w:r>
        <w:t xml:space="preserve"> </w:t>
      </w:r>
      <w:r>
        <w:t xml:space="preserve">project’s data, and the endpoint tables retain only structure, label, potency, year and source.</w:t>
      </w:r>
    </w:p>
    <w:p>
      <w:pPr>
        <w:pStyle w:val="BodyText"/>
      </w:pPr>
      <w:r>
        <w:t xml:space="preserve">No modelling choice recovers this. Training a direction classifier needs directional labels, and</w:t>
      </w:r>
      <w:r>
        <w:t xml:space="preserve"> </w:t>
      </w:r>
      <w:r>
        <w:t xml:space="preserve">they are not present. The honest description of what the panel predicts is therefore</w:t>
      </w:r>
      <w:r>
        <w:t xml:space="preserve"> </w:t>
      </w:r>
      <w:r>
        <w:rPr>
          <w:i/>
          <w:iCs/>
        </w:rPr>
        <w:t xml:space="preserve">engagement</w:t>
      </w:r>
      <w:r>
        <w:t xml:space="preserve">,</w:t>
      </w:r>
      <w:r>
        <w:t xml:space="preserve"> </w:t>
      </w:r>
      <w:r>
        <w:t xml:space="preserve">not</w:t>
      </w:r>
      <w:r>
        <w:t xml:space="preserve"> </w:t>
      </w:r>
      <w:r>
        <w:rPr>
          <w:i/>
          <w:iCs/>
        </w:rPr>
        <w:t xml:space="preserve">modulation</w:t>
      </w:r>
      <w:r>
        <w:t xml:space="preserve">, and the interface and this report both say so. Adding it would mean re-pulling the</w:t>
      </w:r>
      <w:r>
        <w:t xml:space="preserve"> </w:t>
      </w:r>
      <w:r>
        <w:t xml:space="preserve">source data with the functional annotation retained, restricting to the subset that carries it, and</w:t>
      </w:r>
      <w:r>
        <w:t xml:space="preserve"> </w:t>
      </w:r>
      <w:r>
        <w:t xml:space="preserve">accepting a much smaller training set per endpoint. That is a defensible next piece of work and it</w:t>
      </w:r>
      <w:r>
        <w:t xml:space="preserve"> </w:t>
      </w:r>
      <w:r>
        <w:t xml:space="preserve">is not a correction to what is here.</w:t>
      </w:r>
    </w:p>
    <w:bookmarkEnd w:id="59"/>
    <w:bookmarkStart w:id="60" w:name="Xe6b2f79334a6f81d8a14f6e6db0cbee4c9b102e"/>
    <w:p>
      <w:pPr>
        <w:pStyle w:val="Heading3"/>
      </w:pPr>
      <w:r>
        <w:t xml:space="preserve">The applicability-domain flag fails its own adversarial test</w:t>
      </w:r>
    </w:p>
    <w:p>
      <w:pPr>
        <w:pStyle w:val="FirstParagraph"/>
      </w:pPr>
      <w:r>
        <w:rPr>
          <w:b/>
          <w:bCs/>
        </w:rPr>
        <w:t xml:space="preserve">The test was wrong, not the flag, and the test has been corrected.</w:t>
      </w:r>
      <w:r>
        <w:t xml:space="preserve"> </w:t>
      </w:r>
      <w:r>
        <w:t xml:space="preserve">This needs stating carefully,</w:t>
      </w:r>
      <w:r>
        <w:t xml:space="preserve"> </w:t>
      </w:r>
      <w:r>
        <w:t xml:space="preserve">because</w:t>
      </w:r>
      <w:r>
        <w:t xml:space="preserve"> </w:t>
      </w:r>
      <w:r>
        <w:t xml:space="preserve">“we changed a failing test and now it passes”</w:t>
      </w:r>
      <w:r>
        <w:t xml:space="preserve"> </w:t>
      </w:r>
      <w:r>
        <w:t xml:space="preserve">is the least trustworthy sentence in science.</w:t>
      </w:r>
      <w:r>
        <w:t xml:space="preserve"> </w:t>
      </w:r>
      <w:r>
        <w:t xml:space="preserve">What changed is the control set, not the passing criterion, and the reason is specific.</w:t>
      </w:r>
    </w:p>
    <w:p>
      <w:pPr>
        <w:pStyle w:val="BodyText"/>
      </w:pPr>
      <w:r>
        <w:t xml:space="preserve">The check showed sugars, fatty acids, buffers and simple acids to the flag and asked whether it</w:t>
      </w:r>
      <w:r>
        <w:t xml:space="preserve"> </w:t>
      </w:r>
      <w:r>
        <w:t xml:space="preserve">rated them worse-placed than approved drugs it had never seen. It did not, and the check was</w:t>
      </w:r>
      <w:r>
        <w:t xml:space="preserve"> </w:t>
      </w:r>
      <w:r>
        <w:t xml:space="preserve">recorded as failing.</w:t>
      </w:r>
    </w:p>
    <w:p>
      <w:pPr>
        <w:pStyle w:val="BodyText"/>
      </w:pPr>
      <w:r>
        <w:t xml:space="preserve">The reason is that</w:t>
      </w:r>
      <w:r>
        <w:t xml:space="preserve"> </w:t>
      </w:r>
      <w:r>
        <w:rPr>
          <w:b/>
          <w:bCs/>
        </w:rPr>
        <w:t xml:space="preserve">most of those controls are in the reference library</w:t>
      </w:r>
      <w:r>
        <w:t xml:space="preserve">. Glucose, palmitic acid,</w:t>
      </w:r>
      <w:r>
        <w:t xml:space="preserve"> </w:t>
      </w:r>
      <w:r>
        <w:t xml:space="preserve">citric acid, EDTA, taurine and twenty-two others are measured compounds in their own right and sit</w:t>
      </w:r>
      <w:r>
        <w:t xml:space="preserve"> </w:t>
      </w:r>
      <w:r>
        <w:t xml:space="preserve">in the 158,890-compound measured reference, so their maximum similarity is 1.00. Asking a domain</w:t>
      </w:r>
      <w:r>
        <w:t xml:space="preserve"> </w:t>
      </w:r>
      <w:r>
        <w:t xml:space="preserve">flag to disown chemistry it has data for tests nothing. Of the original controls, 27 of 38 are</w:t>
      </w:r>
      <w:r>
        <w:t xml:space="preserve"> </w:t>
      </w:r>
      <w:r>
        <w:t xml:space="preserve">present in the reference.</w:t>
      </w:r>
    </w:p>
    <w:p>
      <w:pPr>
        <w:pStyle w:val="BodyText"/>
      </w:pPr>
      <w:r>
        <w:t xml:space="preserve">Re-run against controls genuinely absent from the reference, four candidate measures behave as</w:t>
      </w:r>
      <w:r>
        <w:t xml:space="preserve"> </w:t>
      </w:r>
      <w:r>
        <w:t xml:space="preserve">follows:</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measure</w:t>
            </w:r>
          </w:p>
        </w:tc>
        <w:tc>
          <w:tcPr>
            <w:shd w:val="clear" w:fill="EAF0F7"/>
          </w:tcPr>
          <w:p>
            <w:pPr>
              <w:pStyle w:val="Compact"/>
            </w:pPr>
            <w:r>
              <w:rPr>
                <w:b/>
                <w:sz w:val="17"/>
              </w:rPr>
              <w:t xml:space="preserve">median_unseen_drugs</w:t>
            </w:r>
          </w:p>
        </w:tc>
        <w:tc>
          <w:tcPr>
            <w:shd w:val="clear" w:fill="EAF0F7"/>
          </w:tcPr>
          <w:p>
            <w:pPr>
              <w:pStyle w:val="Compact"/>
            </w:pPr>
            <w:r>
              <w:rPr>
                <w:b/>
                <w:sz w:val="17"/>
              </w:rPr>
              <w:t xml:space="preserve">median_non_drug_like</w:t>
            </w:r>
          </w:p>
        </w:tc>
        <w:tc>
          <w:tcPr>
            <w:shd w:val="clear" w:fill="EAF0F7"/>
          </w:tcPr>
          <w:p>
            <w:pPr>
              <w:pStyle w:val="Compact"/>
            </w:pPr>
            <w:r>
              <w:rPr>
                <w:b/>
                <w:sz w:val="17"/>
              </w:rPr>
              <w:t xml:space="preserve">mann_whitney_p</w:t>
            </w:r>
          </w:p>
        </w:tc>
        <w:tc>
          <w:tcPr>
            <w:shd w:val="clear" w:fill="EAF0F7"/>
          </w:tcPr>
          <w:p>
            <w:pPr>
              <w:pStyle w:val="Compact"/>
            </w:pPr>
            <w:r>
              <w:rPr>
                <w:b/>
                <w:sz w:val="17"/>
              </w:rPr>
              <w:t xml:space="preserve">separates</w:t>
            </w:r>
          </w:p>
        </w:tc>
        <w:tc>
          <w:tcPr>
            <w:shd w:val="clear" w:fill="EAF0F7"/>
          </w:tcPr>
          <w:p>
            <w:pPr>
              <w:pStyle w:val="Compact"/>
            </w:pPr>
            <w:r>
              <w:rPr>
                <w:b/>
                <w:sz w:val="17"/>
              </w:rPr>
              <w:t xml:space="preserve">threshold_at_10pct_drug_loss</w:t>
            </w:r>
          </w:p>
        </w:tc>
        <w:tc>
          <w:tcPr>
            <w:shd w:val="clear" w:fill="EAF0F7"/>
          </w:tcPr>
          <w:p>
            <w:pPr>
              <w:pStyle w:val="Compact"/>
            </w:pPr>
            <w:r>
              <w:rPr>
                <w:b/>
                <w:sz w:val="17"/>
              </w:rPr>
              <w:t xml:space="preserve">non_drug_like_caught</w:t>
            </w:r>
          </w:p>
        </w:tc>
      </w:tr>
      <w:tr>
        <w:tc>
          <w:tcPr/>
          <w:p>
            <w:pPr>
              <w:pStyle w:val="Compact"/>
            </w:pPr>
            <w:r>
              <w:rPr>
                <w:sz w:val="15"/>
              </w:rPr>
              <w:t xml:space="preserve">max</w:t>
            </w:r>
          </w:p>
        </w:tc>
        <w:tc>
          <w:tcPr/>
          <w:p>
            <w:pPr>
              <w:pStyle w:val="Compact"/>
            </w:pPr>
            <w:r>
              <w:rPr>
                <w:sz w:val="15"/>
              </w:rPr>
              <w:t xml:space="preserve">0.5909</w:t>
            </w:r>
          </w:p>
        </w:tc>
        <w:tc>
          <w:tcPr/>
          <w:p>
            <w:pPr>
              <w:pStyle w:val="Compact"/>
            </w:pPr>
            <w:r>
              <w:rPr>
                <w:sz w:val="15"/>
              </w:rPr>
              <w:t xml:space="preserve">0.4606</w:t>
            </w:r>
          </w:p>
        </w:tc>
        <w:tc>
          <w:tcPr/>
          <w:p>
            <w:pPr>
              <w:pStyle w:val="Compact"/>
            </w:pPr>
            <w:r>
              <w:rPr>
                <w:sz w:val="15"/>
              </w:rPr>
              <w:t xml:space="preserve">0.00717</w:t>
            </w:r>
          </w:p>
        </w:tc>
        <w:tc>
          <w:tcPr/>
          <w:p>
            <w:pPr>
              <w:pStyle w:val="Compact"/>
            </w:pPr>
            <w:r>
              <w:rPr>
                <w:sz w:val="15"/>
              </w:rPr>
              <w:t xml:space="preserve">True</w:t>
            </w:r>
          </w:p>
        </w:tc>
        <w:tc>
          <w:tcPr/>
          <w:p>
            <w:pPr>
              <w:pStyle w:val="Compact"/>
            </w:pPr>
            <w:r>
              <w:rPr>
                <w:sz w:val="15"/>
              </w:rPr>
              <w:t xml:space="preserve">0.3462</w:t>
            </w:r>
          </w:p>
        </w:tc>
        <w:tc>
          <w:tcPr/>
          <w:p>
            <w:pPr>
              <w:pStyle w:val="Compact"/>
            </w:pPr>
            <w:r>
              <w:rPr>
                <w:sz w:val="15"/>
              </w:rPr>
              <w:t xml:space="preserve">0.375</w:t>
            </w:r>
          </w:p>
        </w:tc>
      </w:tr>
      <w:tr>
        <w:tc>
          <w:tcPr/>
          <w:p>
            <w:pPr>
              <w:pStyle w:val="Compact"/>
            </w:pPr>
            <w:r>
              <w:rPr>
                <w:sz w:val="15"/>
              </w:rPr>
              <w:t xml:space="preserve">mean_top5</w:t>
            </w:r>
          </w:p>
        </w:tc>
        <w:tc>
          <w:tcPr/>
          <w:p>
            <w:pPr>
              <w:pStyle w:val="Compact"/>
            </w:pPr>
            <w:r>
              <w:rPr>
                <w:sz w:val="15"/>
              </w:rPr>
              <w:t xml:space="preserve">0.5224</w:t>
            </w:r>
          </w:p>
        </w:tc>
        <w:tc>
          <w:tcPr/>
          <w:p>
            <w:pPr>
              <w:pStyle w:val="Compact"/>
            </w:pPr>
            <w:r>
              <w:rPr>
                <w:sz w:val="15"/>
              </w:rPr>
              <w:t xml:space="preserve">0.3781</w:t>
            </w:r>
          </w:p>
        </w:tc>
        <w:tc>
          <w:tcPr/>
          <w:p>
            <w:pPr>
              <w:pStyle w:val="Compact"/>
            </w:pPr>
            <w:r>
              <w:rPr>
                <w:sz w:val="15"/>
              </w:rPr>
              <w:t xml:space="preserve">0.00746</w:t>
            </w:r>
          </w:p>
        </w:tc>
        <w:tc>
          <w:tcPr/>
          <w:p>
            <w:pPr>
              <w:pStyle w:val="Compact"/>
            </w:pPr>
            <w:r>
              <w:rPr>
                <w:sz w:val="15"/>
              </w:rPr>
              <w:t xml:space="preserve">True</w:t>
            </w:r>
          </w:p>
        </w:tc>
        <w:tc>
          <w:tcPr/>
          <w:p>
            <w:pPr>
              <w:pStyle w:val="Compact"/>
            </w:pPr>
            <w:r>
              <w:rPr>
                <w:sz w:val="15"/>
              </w:rPr>
              <w:t xml:space="preserve">0.3179</w:t>
            </w:r>
          </w:p>
        </w:tc>
        <w:tc>
          <w:tcPr/>
          <w:p>
            <w:pPr>
              <w:pStyle w:val="Compact"/>
            </w:pPr>
            <w:r>
              <w:rPr>
                <w:sz w:val="15"/>
              </w:rPr>
              <w:t xml:space="preserve">0.375</w:t>
            </w:r>
          </w:p>
        </w:tc>
      </w:tr>
      <w:tr>
        <w:tc>
          <w:tcPr/>
          <w:p>
            <w:pPr>
              <w:pStyle w:val="Compact"/>
            </w:pPr>
            <w:r>
              <w:rPr>
                <w:sz w:val="15"/>
              </w:rPr>
              <w:t xml:space="preserve">kth_5</w:t>
            </w:r>
          </w:p>
        </w:tc>
        <w:tc>
          <w:tcPr/>
          <w:p>
            <w:pPr>
              <w:pStyle w:val="Compact"/>
            </w:pPr>
            <w:r>
              <w:rPr>
                <w:sz w:val="15"/>
              </w:rPr>
              <w:t xml:space="preserve">0.4444</w:t>
            </w:r>
          </w:p>
        </w:tc>
        <w:tc>
          <w:tcPr/>
          <w:p>
            <w:pPr>
              <w:pStyle w:val="Compact"/>
            </w:pPr>
            <w:r>
              <w:rPr>
                <w:sz w:val="15"/>
              </w:rPr>
              <w:t xml:space="preserve">0.3287</w:t>
            </w:r>
          </w:p>
        </w:tc>
        <w:tc>
          <w:tcPr/>
          <w:p>
            <w:pPr>
              <w:pStyle w:val="Compact"/>
            </w:pPr>
            <w:r>
              <w:rPr>
                <w:sz w:val="15"/>
              </w:rPr>
              <w:t xml:space="preserve">0.0171</w:t>
            </w:r>
          </w:p>
        </w:tc>
        <w:tc>
          <w:tcPr/>
          <w:p>
            <w:pPr>
              <w:pStyle w:val="Compact"/>
            </w:pPr>
            <w:r>
              <w:rPr>
                <w:sz w:val="15"/>
              </w:rPr>
              <w:t xml:space="preserve">False</w:t>
            </w:r>
          </w:p>
        </w:tc>
        <w:tc>
          <w:tcPr/>
          <w:p>
            <w:pPr>
              <w:pStyle w:val="Compact"/>
            </w:pPr>
            <w:r>
              <w:rPr>
                <w:sz w:val="15"/>
              </w:rPr>
              <w:t xml:space="preserve">0.2921</w:t>
            </w:r>
          </w:p>
        </w:tc>
        <w:tc>
          <w:tcPr/>
          <w:p>
            <w:pPr>
              <w:pStyle w:val="Compact"/>
            </w:pPr>
            <w:r>
              <w:rPr>
                <w:sz w:val="15"/>
              </w:rPr>
              <w:t xml:space="preserve">0.5</w:t>
            </w:r>
          </w:p>
        </w:tc>
      </w:tr>
      <w:tr>
        <w:tc>
          <w:tcPr/>
          <w:p>
            <w:pPr>
              <w:pStyle w:val="Compact"/>
            </w:pPr>
            <w:r>
              <w:rPr>
                <w:sz w:val="15"/>
              </w:rPr>
              <w:t xml:space="preserve">density_0.4</w:t>
            </w:r>
          </w:p>
        </w:tc>
        <w:tc>
          <w:tcPr/>
          <w:p>
            <w:pPr>
              <w:pStyle w:val="Compact"/>
            </w:pPr>
            <w:r>
              <w:rPr>
                <w:sz w:val="15"/>
              </w:rPr>
              <w:t xml:space="preserve">8.0</w:t>
            </w:r>
          </w:p>
        </w:tc>
        <w:tc>
          <w:tcPr/>
          <w:p>
            <w:pPr>
              <w:pStyle w:val="Compact"/>
            </w:pPr>
            <w:r>
              <w:rPr>
                <w:sz w:val="15"/>
              </w:rPr>
              <w:t xml:space="preserve">1.5</w:t>
            </w:r>
          </w:p>
        </w:tc>
        <w:tc>
          <w:tcPr/>
          <w:p>
            <w:pPr>
              <w:pStyle w:val="Compact"/>
            </w:pPr>
            <w:r>
              <w:rPr>
                <w:sz w:val="15"/>
              </w:rPr>
              <w:t xml:space="preserve">0.0536</w:t>
            </w:r>
          </w:p>
        </w:tc>
        <w:tc>
          <w:tcPr/>
          <w:p>
            <w:pPr>
              <w:pStyle w:val="Compact"/>
            </w:pPr>
            <w:r>
              <w:rPr>
                <w:sz w:val="15"/>
              </w:rPr>
              <w:t xml:space="preserve">False</w:t>
            </w:r>
          </w:p>
        </w:tc>
        <w:tc>
          <w:tcPr/>
          <w:p>
            <w:pPr>
              <w:pStyle w:val="Compact"/>
            </w:pPr>
            <w:r>
              <w:rPr>
                <w:sz w:val="15"/>
              </w:rPr>
              <w:t xml:space="preserve">0.0</w:t>
            </w:r>
          </w:p>
        </w:tc>
        <w:tc>
          <w:tcPr/>
          <w:p>
            <w:pPr>
              <w:pStyle w:val="Compact"/>
            </w:pPr>
            <w:r>
              <w:rPr>
                <w:sz w:val="15"/>
              </w:rPr>
              <w:t xml:space="preserve">0.375</w:t>
            </w:r>
          </w:p>
        </w:tc>
      </w:tr>
    </w:tbl>
    <w:p>
      <w:pPr>
        <w:pStyle w:val="BodyText"/>
      </w:pPr>
      <w:r>
        <w:t xml:space="preserve">The deployed measure separates: median 0.46</w:t>
      </w:r>
      <w:r>
        <w:t xml:space="preserve"> </w:t>
      </w:r>
      <w:r>
        <w:t xml:space="preserve">for distant chemistry against 0.59</w:t>
      </w:r>
      <w:r>
        <w:t xml:space="preserve"> </w:t>
      </w:r>
      <w:r>
        <w:t xml:space="preserve">for unseen drugs, one-sided Mann-Whitney</w:t>
      </w:r>
      <w:r>
        <w:t xml:space="preserve"> </w:t>
      </w:r>
      <w:r>
        <w:t xml:space="preserve">p = 0.00717. 2 of the four candidates</w:t>
      </w:r>
      <w:r>
        <w:t xml:space="preserve"> </w:t>
      </w:r>
      <w:r>
        <w:t xml:space="preserve">separate, and no alternative beats the deployed one.</w:t>
      </w:r>
    </w:p>
    <w:p>
      <w:pPr>
        <w:pStyle w:val="BodyText"/>
      </w:pPr>
      <w:r>
        <w:t xml:space="preserve">With the corrected control set the check passes: median maximum similarity 0.47 for genuinely</w:t>
      </w:r>
      <w:r>
        <w:t xml:space="preserve"> </w:t>
      </w:r>
      <w:r>
        <w:t xml:space="preserve">distant chemistry against 0.59 for unseen drugs, one-sided Mann-Whitney p = 1.1e-03 over 25</w:t>
      </w:r>
      <w:r>
        <w:t xml:space="preserve"> </w:t>
      </w:r>
      <w:r>
        <w:t xml:space="preserve">controls. The suite therefore now reports</w:t>
      </w:r>
      <w:r>
        <w:t xml:space="preserve"> </w:t>
      </w:r>
      <w:r>
        <w:rPr>
          <w:b/>
          <w:bCs/>
        </w:rPr>
        <w:t xml:space="preserve">6 of 6 passing</w:t>
      </w:r>
      <w:r>
        <w:t xml:space="preserve"> </w:t>
      </w:r>
      <w:r>
        <w:t xml:space="preserve">where it previously reported 5 of 6.</w:t>
      </w:r>
    </w:p>
    <w:p>
      <w:pPr>
        <w:pStyle w:val="BodyText"/>
      </w:pPr>
      <w:r>
        <w:t xml:space="preserve">Three things are worth stating about that change, so a reader can judge it rather than take it:</w:t>
      </w:r>
    </w:p>
    <w:p>
      <w:pPr>
        <w:pStyle w:val="Compact"/>
        <w:numPr>
          <w:ilvl w:val="0"/>
          <w:numId w:val="1011"/>
        </w:numPr>
      </w:pPr>
      <w:r>
        <w:rPr>
          <w:b/>
          <w:bCs/>
        </w:rPr>
        <w:t xml:space="preserve">The threshold for passing was not moved.</w:t>
      </w:r>
      <w:r>
        <w:t xml:space="preserve"> </w:t>
      </w:r>
      <w:r>
        <w:t xml:space="preserve">It is still p &lt; 0.01 with the aliens scoring below</w:t>
      </w:r>
      <w:r>
        <w:t xml:space="preserve"> </w:t>
      </w:r>
      <w:r>
        <w:t xml:space="preserve">the drugs. Only the controls changed, and only by removing compounds that are in the reference</w:t>
      </w:r>
      <w:r>
        <w:t xml:space="preserve"> </w:t>
      </w:r>
      <w:r>
        <w:t xml:space="preserve">library and adding chemistry that is not.</w:t>
      </w:r>
    </w:p>
    <w:p>
      <w:pPr>
        <w:pStyle w:val="Compact"/>
        <w:numPr>
          <w:ilvl w:val="0"/>
          <w:numId w:val="1011"/>
        </w:numPr>
      </w:pPr>
      <w:r>
        <w:rPr>
          <w:b/>
          <w:bCs/>
        </w:rPr>
        <w:t xml:space="preserve">The direction was already correct before the panel was enlarged.</w:t>
      </w:r>
      <w:r>
        <w:t xml:space="preserve"> </w:t>
      </w:r>
      <w:r>
        <w:t xml:space="preserve">With eleven valid controls</w:t>
      </w:r>
      <w:r>
        <w:t xml:space="preserve"> </w:t>
      </w:r>
      <w:r>
        <w:t xml:space="preserve">the flag scored distant chemistry at 0.47 against 0.59 for drugs, which is the right ordering; it</w:t>
      </w:r>
      <w:r>
        <w:t xml:space="preserve"> </w:t>
      </w:r>
      <w:r>
        <w:t xml:space="preserve">simply could not reach p &lt; 0.01 at that sample size. Enlarging the panel bought power, not the</w:t>
      </w:r>
      <w:r>
        <w:t xml:space="preserve"> </w:t>
      </w:r>
      <w:r>
        <w:t xml:space="preserve">result.</w:t>
      </w:r>
    </w:p>
    <w:p>
      <w:pPr>
        <w:pStyle w:val="Compact"/>
        <w:numPr>
          <w:ilvl w:val="0"/>
          <w:numId w:val="1011"/>
        </w:numPr>
      </w:pPr>
      <w:r>
        <w:rPr>
          <w:b/>
          <w:bCs/>
        </w:rPr>
        <w:t xml:space="preserve">The residual weakness is real and is not repaired by this.</w:t>
      </w:r>
      <w:r>
        <w:t xml:space="preserve"> </w:t>
      </w:r>
      <w:r>
        <w:t xml:space="preserve">At a threshold that rejects a</w:t>
      </w:r>
      <w:r>
        <w:t xml:space="preserve"> </w:t>
      </w:r>
      <w:r>
        <w:t xml:space="preserve">tenth of genuine drugs the flag still catches under half of genuinely distant chemistry. It is a</w:t>
      </w:r>
      <w:r>
        <w:t xml:space="preserve"> </w:t>
      </w:r>
      <w:r>
        <w:t xml:space="preserve">weak signal, not a broken one, and the conformal interval and the nearest-analogue distance</w:t>
      </w:r>
      <w:r>
        <w:t xml:space="preserve"> </w:t>
      </w:r>
      <w:r>
        <w:t xml:space="preserve">remain the stronger statements of confidence. The interface says so.</w:t>
      </w:r>
    </w:p>
    <w:p>
      <w:pPr>
        <w:pStyle w:val="FirstParagraph"/>
      </w:pPr>
      <w:r>
        <w:t xml:space="preserve">A check that cannot fail for the right reason is worse than no check, and one that fails for the</w:t>
      </w:r>
      <w:r>
        <w:t xml:space="preserve"> </w:t>
      </w:r>
      <w:r>
        <w:t xml:space="preserve">wrong reason is not much better: it spends the credibility that a real failure would need.</w:t>
      </w:r>
    </w:p>
    <w:bookmarkEnd w:id="60"/>
    <w:bookmarkStart w:id="61" w:name="X5aa5453ddddb69da85c65cbfafdf42e562a4289"/>
    <w:p>
      <w:pPr>
        <w:pStyle w:val="Heading3"/>
      </w:pPr>
      <w:r>
        <w:t xml:space="preserve">External validation is thin outside the barrier model</w:t>
      </w:r>
    </w:p>
    <w:p>
      <w:pPr>
        <w:pStyle w:val="FirstParagraph"/>
      </w:pPr>
      <w:r>
        <w:rPr>
          <w:b/>
          <w:bCs/>
        </w:rPr>
        <w:t xml:space="preserve">Right, and it is the clearest remaining gap.</w:t>
      </w:r>
      <w:r>
        <w:t xml:space="preserve"> </w:t>
      </w:r>
      <w:r>
        <w:t xml:space="preserve">The barrier model is tested on 306 FDA-curated</w:t>
      </w:r>
      <w:r>
        <w:t xml:space="preserve"> </w:t>
      </w:r>
      <w:r>
        <w:t xml:space="preserve">approved drugs absent from B3DB by InChIKey, and on the 241 of those that are also distinguishable</w:t>
      </w:r>
      <w:r>
        <w:t xml:space="preserve"> </w:t>
      </w:r>
      <w:r>
        <w:t xml:space="preserve">from training in feature space, which is the figure that supports an external claim. That is a</w:t>
      </w:r>
      <w:r>
        <w:t xml:space="preserve"> </w:t>
      </w:r>
      <w:r>
        <w:t xml:space="preserve">reasonable external test.</w:t>
      </w:r>
    </w:p>
    <w:p>
      <w:pPr>
        <w:pStyle w:val="BodyText"/>
      </w:pPr>
      <w:r>
        <w:t xml:space="preserve">Nothing else has one of comparable size. The external CNS reference set is 13 compounds once those</w:t>
      </w:r>
      <w:r>
        <w:t xml:space="preserve"> </w:t>
      </w:r>
      <w:r>
        <w:t xml:space="preserve">already present in training are removed, with 5 non-CNS controls, and no conclusion should rest on</w:t>
      </w:r>
      <w:r>
        <w:t xml:space="preserve"> </w:t>
      </w:r>
      <w:r>
        <w:t xml:space="preserve">it. The natural-product external test retained only three endpoints with enough genuinely external</w:t>
      </w:r>
      <w:r>
        <w:t xml:space="preserve"> </w:t>
      </w:r>
      <w:r>
        <w:t xml:space="preserve">data to score, with two to five actives each.</w:t>
      </w:r>
    </w:p>
    <w:p>
      <w:pPr>
        <w:pStyle w:val="BodyText"/>
      </w:pPr>
      <w:r>
        <w:t xml:space="preserve">The reason is structural rather than neglect: an external set must be measured chemistry absent from</w:t>
      </w:r>
      <w:r>
        <w:t xml:space="preserve"> </w:t>
      </w:r>
      <w:r>
        <w:t xml:space="preserve">training, and for most of these targets the public measured chemistry</w:t>
      </w:r>
      <w:r>
        <w:t xml:space="preserve"> </w:t>
      </w:r>
      <w:r>
        <w:rPr>
          <w:i/>
          <w:iCs/>
        </w:rPr>
        <w:t xml:space="preserve">is</w:t>
      </w:r>
      <w:r>
        <w:t xml:space="preserve"> </w:t>
      </w:r>
      <w:r>
        <w:t xml:space="preserve">the training set. The</w:t>
      </w:r>
      <w:r>
        <w:t xml:space="preserve"> </w:t>
      </w:r>
      <w:r>
        <w:t xml:space="preserve">scaffold-grouped split and the temporal split exist to answer the same question from inside the data</w:t>
      </w:r>
      <w:r>
        <w:t xml:space="preserve"> </w:t>
      </w:r>
      <w:r>
        <w:t xml:space="preserve">when no outside set is available, and the temporal split in particular is the closest available</w:t>
      </w:r>
      <w:r>
        <w:t xml:space="preserve"> </w:t>
      </w:r>
      <w:r>
        <w:t xml:space="preserve">proxy for prospective use. They are not a substitute for an external set and are not presented as</w:t>
      </w:r>
      <w:r>
        <w:t xml:space="preserve"> </w:t>
      </w:r>
      <w:r>
        <w:t xml:space="preserve">one.</w:t>
      </w:r>
    </w:p>
    <w:p>
      <w:pPr>
        <w:pStyle w:val="BodyText"/>
      </w:pPr>
      <w:r>
        <w:t xml:space="preserve">reinstated while GluA2 began failing and was withdrawn.</w:t>
      </w:r>
    </w:p>
    <w:p>
      <w:r>
        <w:pict>
          <v:rect style="width:0;height:1.5pt" o:hralign="center" o:hrstd="t" o:hr="t"/>
        </w:pict>
      </w:r>
    </w:p>
    <w:bookmarkEnd w:id="61"/>
    <w:bookmarkEnd w:id="62"/>
    <w:bookmarkStart w:id="65" w:name="glossary"/>
    <w:p>
      <w:pPr>
        <w:pStyle w:val="Heading2"/>
      </w:pPr>
      <w:r>
        <w:t xml:space="preserve">9. Glossary</w:t>
      </w:r>
    </w:p>
    <w:bookmarkStart w:id="63"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63"/>
    <w:bookmarkStart w:id="64"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64"/>
    <w:bookmarkEnd w:id="65"/>
    <w:bookmarkStart w:id="67"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66"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66"/>
    <w:bookmarkEnd w:id="67"/>
    <w:bookmarkStart w:id="68"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68"/>
    <w:bookmarkStart w:id="87"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70" name="Picture"/>
            <a:graphic>
              <a:graphicData uri="http://schemas.openxmlformats.org/drawingml/2006/picture">
                <pic:pic>
                  <pic:nvPicPr>
                    <pic:cNvPr descr="D:/BRAINSAFE_AI/manuscript/figures/Figure10_endpoint_selection.png" id="71" name="Picture"/>
                    <pic:cNvPicPr>
                      <a:picLocks noChangeArrowheads="1" noChangeAspect="1"/>
                    </pic:cNvPicPr>
                  </pic:nvPicPr>
                  <pic:blipFill>
                    <a:blip r:embed="rId69"/>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73" name="Picture"/>
            <a:graphic>
              <a:graphicData uri="http://schemas.openxmlformats.org/drawingml/2006/picture">
                <pic:pic>
                  <pic:nvPicPr>
                    <pic:cNvPr descr="D:/BRAINSAFE_AI/manuscript/figures/Figure1_architecture.png" id="74" name="Picture"/>
                    <pic:cNvPicPr>
                      <a:picLocks noChangeArrowheads="1" noChangeAspect="1"/>
                    </pic:cNvPicPr>
                  </pic:nvPicPr>
                  <pic:blipFill>
                    <a:blip r:embed="rId72"/>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76" name="Picture"/>
            <a:graphic>
              <a:graphicData uri="http://schemas.openxmlformats.org/drawingml/2006/picture">
                <pic:pic>
                  <pic:nvPicPr>
                    <pic:cNvPr descr="D:/BRAINSAFE_AI/manuscript/figures/Figure9_model_atlas.png" id="77" name="Picture"/>
                    <pic:cNvPicPr>
                      <a:picLocks noChangeArrowheads="1" noChangeAspect="1"/>
                    </pic:cNvPicPr>
                  </pic:nvPicPr>
                  <pic:blipFill>
                    <a:blip r:embed="rId75"/>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including the check that fails.</w:t>
      </w:r>
    </w:p>
    <w:p>
      <w:pPr>
        <w:pStyle w:val="CaptionedFigure"/>
      </w:pPr>
      <w:r>
        <w:drawing>
          <wp:inline>
            <wp:extent cx="5969000" cy="4428392"/>
            <wp:effectExtent b="0" l="0" r="0" t="0"/>
            <wp:docPr descr="Figure A4" title="" id="79" name="Picture"/>
            <a:graphic>
              <a:graphicData uri="http://schemas.openxmlformats.org/drawingml/2006/picture">
                <pic:pic>
                  <pic:nvPicPr>
                    <pic:cNvPr descr="D:/BRAINSAFE_AI/manuscript/figures/Figure6_validation.png" id="80" name="Picture"/>
                    <pic:cNvPicPr>
                      <a:picLocks noChangeArrowheads="1" noChangeAspect="1"/>
                    </pic:cNvPicPr>
                  </pic:nvPicPr>
                  <pic:blipFill>
                    <a:blip r:embed="rId78"/>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5" title="" id="82" name="Picture"/>
            <a:graphic>
              <a:graphicData uri="http://schemas.openxmlformats.org/drawingml/2006/picture">
                <pic:pic>
                  <pic:nvPicPr>
                    <pic:cNvPr descr="D:/BRAINSAFE_AI/manuscript/figures/Figure7_binder_panel.png" id="83" name="Picture"/>
                    <pic:cNvPicPr>
                      <a:picLocks noChangeArrowheads="1" noChangeAspect="1"/>
                    </pic:cNvPicPr>
                  </pic:nvPicPr>
                  <pic:blipFill>
                    <a:blip r:embed="rId81"/>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6" title="" id="85" name="Picture"/>
            <a:graphic>
              <a:graphicData uri="http://schemas.openxmlformats.org/drawingml/2006/picture">
                <pic:pic>
                  <pic:nvPicPr>
                    <pic:cNvPr descr="D:/BRAINSAFE_AI/manuscript/figures/Figure5_negative_class.png" id="86" name="Picture"/>
                    <pic:cNvPicPr>
                      <a:picLocks noChangeArrowheads="1" noChangeAspect="1"/>
                    </pic:cNvPicPr>
                  </pic:nvPicPr>
                  <pic:blipFill>
                    <a:blip r:embed="rId84"/>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A6</w:t>
      </w:r>
    </w:p>
    <w:bookmarkEnd w:id="87"/>
    <w:bookmarkEnd w:id="88"/>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png"/><Relationship Id="rId72" Type="http://schemas.openxmlformats.org/officeDocument/2006/relationships/image" Target="media/rId72.png"/><Relationship Id="rId84" Type="http://schemas.openxmlformats.org/officeDocument/2006/relationships/image" Target="media/rId84.png"/><Relationship Id="rId78" Type="http://schemas.openxmlformats.org/officeDocument/2006/relationships/image" Target="media/rId78.png"/><Relationship Id="rId81" Type="http://schemas.openxmlformats.org/officeDocument/2006/relationships/image" Target="media/rId81.png"/><Relationship Id="rId75" Type="http://schemas.openxmlformats.org/officeDocument/2006/relationships/image" Target="media/rId75.png"/><Relationship Id="rId17" Type="http://schemas.openxmlformats.org/officeDocument/2006/relationships/image" Target="media/rId17.png"/><Relationship Id="rId20" Type="http://schemas.openxmlformats.org/officeDocument/2006/relationships/image" Target="media/rId20.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2026-08-22T07:04:33Z</dcterms:created>
  <dcterms:modified xsi:type="dcterms:W3CDTF">2026-08-22T07:04:33Z</dcterms:modified>
</cp:coreProperties>
</file>

<file path=docProps/custom.xml><?xml version="1.0" encoding="utf-8"?>
<Properties xmlns="http://schemas.openxmlformats.org/officeDocument/2006/custom-properties" xmlns:vt="http://schemas.openxmlformats.org/officeDocument/2006/docPropsVTypes"/>
</file>