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.-data"/>
    <w:p>
      <w:pPr>
        <w:pStyle w:val="Heading1"/>
      </w:pPr>
      <w:r>
        <w:t xml:space="preserve">Chapter 2. Data</w:t>
      </w:r>
    </w:p>
    <w:p>
      <w:r>
        <w:pict>
          <v:rect style="width:0;height:1.5pt" o:hralign="center" o:hrstd="t" o:hr="t"/>
        </w:pict>
      </w:r>
    </w:p>
    <w:bookmarkStart w:id="9" w:name="what-counts-as-a-label"/>
    <w:p>
      <w:pPr>
        <w:pStyle w:val="Heading2"/>
      </w:pPr>
      <w:r>
        <w:t xml:space="preserve">2.1 What counts as a label</w:t>
      </w:r>
    </w:p>
    <w:p>
      <w:pPr>
        <w:pStyle w:val="FirstParagraph"/>
      </w:pPr>
      <w:r>
        <w:t xml:space="preserve">The single decision that shapes everything in this chapter is that a label must be a measurement.</w:t>
      </w:r>
    </w:p>
    <w:p>
      <w:pPr>
        <w:pStyle w:val="BodyText"/>
      </w:pPr>
      <w:r>
        <w:t xml:space="preserve">This is not the obvious choice, and it is expensive. ChEMBL [30] carries curator-assigned activity</w:t>
      </w:r>
      <w:r>
        <w:t xml:space="preserve"> </w:t>
      </w:r>
      <w:r>
        <w:t xml:space="preserve">comments alongside its numeric potency values, and using them would multiply the available training</w:t>
      </w:r>
      <w:r>
        <w:t xml:space="preserve"> </w:t>
      </w:r>
      <w:r>
        <w:t xml:space="preserve">data several times over. The reason for refusing them is recorded 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 </w:t>
      </w:r>
      <w:r>
        <w:t xml:space="preserve">and it</w:t>
      </w:r>
      <w:r>
        <w:t xml:space="preserve"> </w:t>
      </w:r>
      <w:r>
        <w:t xml:space="preserve">is a lesson learned rather than a principle asserted. An earlier prototype of this system did train</w:t>
      </w:r>
      <w:r>
        <w:t xml:space="preserve"> </w:t>
      </w:r>
      <w:r>
        <w:t xml:space="preserve">on curated annotation, and a feature ablation showed it was reading the answer back out of</w:t>
      </w:r>
      <w:r>
        <w:t xml:space="preserve"> </w:t>
      </w:r>
      <w:r>
        <w:t xml:space="preserve">disease-association features derived from the same body of knowledge that produced the annotation.</w:t>
      </w:r>
      <w:r>
        <w:t xml:space="preserve"> </w:t>
      </w:r>
      <w:r>
        <w:t xml:space="preserve">With those features removed, structure-only performance collapsed to near chance. The model had</w:t>
      </w:r>
      <w:r>
        <w:t xml:space="preserve"> </w:t>
      </w:r>
      <w:r>
        <w:t xml:space="preserve">learned to restate a curator’s opinion, and it had learned nothing about chemistry.</w:t>
      </w:r>
    </w:p>
    <w:p>
      <w:pPr>
        <w:pStyle w:val="BodyText"/>
      </w:pPr>
      <w:r>
        <w:t xml:space="preserve">A measured label cannot fail in that particular way. It can fail in others, and section 2.9 sets out</w:t>
      </w:r>
      <w:r>
        <w:t xml:space="preserve"> </w:t>
      </w:r>
      <w:r>
        <w:t xml:space="preserve">which. But the circularity is closed, and closing it is what makes the rest of the validation in this</w:t>
      </w:r>
      <w:r>
        <w:t xml:space="preserve"> </w:t>
      </w:r>
      <w:r>
        <w:t xml:space="preserve">thesis meaningful rather than self-confirming.</w:t>
      </w:r>
    </w:p>
    <w:p>
      <w:pPr>
        <w:pStyle w:val="BodyText"/>
      </w:pPr>
      <w:r>
        <w:t xml:space="preserve">Concretely, an endpoint table holds five columns,</w:t>
      </w:r>
      <w:r>
        <w:t xml:space="preserve"> </w:t>
      </w:r>
      <w:r>
        <w:rPr>
          <w:rStyle w:val="VerbatimChar"/>
        </w:rPr>
        <w:t xml:space="preserve">smiles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pchembl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t xml:space="preserve">and every row is one compound measured at one endpoint. The classification cut is pChEMBL 7, which is</w:t>
      </w:r>
      <w:r>
        <w:t xml:space="preserve"> </w:t>
      </w:r>
      <w:r>
        <w:t xml:space="preserve">100 nM: a compound is active at or above it and inactive at or below pChEMBL 5, which is 10 µM. The</w:t>
      </w:r>
      <w:r>
        <w:t xml:space="preserve"> </w:t>
      </w:r>
      <w:r>
        <w:t xml:space="preserve">interval between the two is discarded rather than assigned, because a measurement that lands there</w:t>
      </w:r>
      <w:r>
        <w:t xml:space="preserve"> </w:t>
      </w:r>
      <w:r>
        <w:t xml:space="preserve">does not settle the question the label is asking.</w:t>
      </w:r>
    </w:p>
    <w:bookmarkEnd w:id="9"/>
    <w:bookmarkStart w:id="10" w:name="the-sources-and-what-each-contributes"/>
    <w:p>
      <w:pPr>
        <w:pStyle w:val="Heading2"/>
      </w:pPr>
      <w:r>
        <w:t xml:space="preserve">2.2 The sources, and what each contributes</w:t>
      </w:r>
    </w:p>
    <w:p>
      <w:pPr>
        <w:pStyle w:val="FirstParagraph"/>
      </w:pPr>
      <w:r>
        <w:t xml:space="preserve">Across the 63 endpoint tables the panel holds</w:t>
      </w:r>
      <w:r>
        <w:t xml:space="preserve"> </w:t>
      </w:r>
      <w:r>
        <w:rPr>
          <w:b/>
          <w:bCs/>
        </w:rPr>
        <w:t xml:space="preserve">228,200 measured compound-endpoint records</w:t>
      </w:r>
      <w:r>
        <w:t xml:space="preserve">. Counted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field, they divide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ChEMBL, exact potency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ChEMBL, censored bounds recovered as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BindingDB and ChEMBL, the same compound in both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barrier set, B3DB with FDA-curated approved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BindingDB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NPASS 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PubChem high-throughput screening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</w:tr>
    </w:tbl>
    <w:p>
      <w:pPr>
        <w:pStyle w:val="BodyText"/>
      </w:pPr>
      <w:r>
        <w:t xml:space="preserve">Three observations follow from that table, and none is visible in the aggregate figure of 228,200.</w:t>
      </w:r>
    </w:p>
    <w:p>
      <w:pPr>
        <w:pStyle w:val="BodyText"/>
      </w:pPr>
      <w:r>
        <w:rPr>
          <w:b/>
          <w:bCs/>
        </w:rPr>
        <w:t xml:space="preserve">The panel is a ChEMBL panel.</w:t>
      </w:r>
      <w:r>
        <w:t xml:space="preserve"> </w:t>
      </w:r>
      <w:r>
        <w:t xml:space="preserve">Taking the exact values, the recovered bounds and the shared rows</w:t>
      </w:r>
      <w:r>
        <w:t xml:space="preserve"> </w:t>
      </w:r>
      <w:r>
        <w:t xml:space="preserve">together, 94.7 per cent of the data passes through one curation pipeline. Section 2.6 describes what</w:t>
      </w:r>
      <w:r>
        <w:t xml:space="preserve"> </w:t>
      </w:r>
      <w:r>
        <w:t xml:space="preserve">was done to test whether that dependence matters, and Chapter 8 reports the result.</w:t>
      </w:r>
    </w:p>
    <w:p>
      <w:pPr>
        <w:pStyle w:val="BodyText"/>
      </w:pPr>
      <w:r>
        <w:rPr>
          <w:b/>
          <w:bCs/>
        </w:rPr>
        <w:t xml:space="preserve">The second-largest single contribution is the recovered negative class</w:t>
      </w:r>
      <w:r>
        <w:t xml:space="preserve">, at 29,751 rows. That is</w:t>
      </w:r>
      <w:r>
        <w:t xml:space="preserve"> </w:t>
      </w:r>
      <w:r>
        <w:t xml:space="preserve">larger than every non-ChEMBL source combined. Section 2.3 is therefore the methodological centre of</w:t>
      </w:r>
      <w:r>
        <w:t xml:space="preserve"> </w:t>
      </w:r>
      <w:r>
        <w:t xml:space="preserve">this chapter rather than a detail within it.</w:t>
      </w:r>
    </w:p>
    <w:p>
      <w:pPr>
        <w:pStyle w:val="BodyText"/>
      </w:pPr>
      <w:r>
        <w:rPr>
          <w:b/>
          <w:bCs/>
        </w:rPr>
        <w:t xml:space="preserve">Every row that NPASS 3.0 contributed went into an endpoint that was later withdrawn.</w:t>
      </w:r>
      <w:r>
        <w:t xml:space="preserve"> </w:t>
      </w:r>
      <w:r>
        <w:t xml:space="preserve">NPASS</w:t>
      </w:r>
      <w:r>
        <w:t xml:space="preserve"> </w:t>
      </w:r>
      <w:r>
        <w:t xml:space="preserve">supplied NFKB1 (263 rows), NR3C1 (140) and NRF2 (651), which sum exactly to the 1,054 in the table,</w:t>
      </w:r>
      <w:r>
        <w:t xml:space="preserve"> </w:t>
      </w:r>
      <w:r>
        <w:t xml:space="preserve">and all three failed the deployment gate described in Chapter 6. The natural-product source was added</w:t>
      </w:r>
      <w:r>
        <w:t xml:space="preserve"> </w:t>
      </w:r>
      <w:r>
        <w:t xml:space="preserve">to extend coverage into chemistry the panel handles badly, and the honest summary is that the attempt</w:t>
      </w:r>
      <w:r>
        <w:t xml:space="preserve"> </w:t>
      </w:r>
      <w:r>
        <w:t xml:space="preserve">was made, measured and abandoned. It is reported here rather than quietly dropped, because a source</w:t>
      </w:r>
      <w:r>
        <w:t xml:space="preserve"> </w:t>
      </w:r>
      <w:r>
        <w:t xml:space="preserve">table that lists only the sources that worked would misrepresent the effort.</w:t>
      </w:r>
    </w:p>
    <w:p>
      <w:pPr>
        <w:pStyle w:val="BodyText"/>
      </w:pPr>
      <w:r>
        <w:t xml:space="preserve">The PubChem contribution of 37 rows is similarly a residue rather than a policy, and section 2.5</w:t>
      </w:r>
      <w:r>
        <w:t xml:space="preserve"> </w:t>
      </w:r>
      <w:r>
        <w:t xml:space="preserve">explains why it is not larger.</w:t>
      </w:r>
    </w:p>
    <w:bookmarkEnd w:id="10"/>
    <w:bookmarkStart w:id="11" w:name="X0f47c4c11908a69484c8f817b4235c4ce9984b9"/>
    <w:p>
      <w:pPr>
        <w:pStyle w:val="Heading2"/>
      </w:pPr>
      <w:r>
        <w:t xml:space="preserve">2.3 Recovering the negative class from censored bounds</w:t>
      </w:r>
    </w:p>
    <w:p>
      <w:pPr>
        <w:pStyle w:val="FirstParagraph"/>
      </w:pPr>
      <w:r>
        <w:t xml:space="preserve">A bioactivity database is a record of what people found when they looked. It is not a balanced</w:t>
      </w:r>
      <w:r>
        <w:t xml:space="preserve"> </w:t>
      </w:r>
      <w:r>
        <w:t xml:space="preserve">sample, and the imbalance is not random.</w:t>
      </w:r>
    </w:p>
    <w:p>
      <w:pPr>
        <w:pStyle w:val="BodyText"/>
      </w:pPr>
      <w:r>
        <w:t xml:space="preserve">The conventional query for building a QSAR training set filters on the pChEMBL field, because that is</w:t>
      </w:r>
      <w:r>
        <w:t xml:space="preserve"> </w:t>
      </w:r>
      <w:r>
        <w:t xml:space="preserve">where the potency lives. A compound that was assayed and found</w:t>
      </w:r>
      <w:r>
        <w:t xml:space="preserve"> </w:t>
      </w:r>
      <w:r>
        <w:rPr>
          <w:b/>
          <w:bCs/>
        </w:rPr>
        <w:t xml:space="preserve">inactive</w:t>
      </w:r>
      <w:r>
        <w:t xml:space="preserve"> </w:t>
      </w:r>
      <w:r>
        <w:t xml:space="preserve">frequently has no</w:t>
      </w:r>
      <w:r>
        <w:t xml:space="preserve"> </w:t>
      </w:r>
      <w:r>
        <w:t xml:space="preserve">pChEMBL value at all. It is deposited as a censored bound:</w:t>
      </w:r>
      <w:r>
        <w:t xml:space="preserve"> </w:t>
      </w:r>
      <w:r>
        <w:rPr>
          <w:rStyle w:val="VerbatimChar"/>
        </w:rPr>
        <w:t xml:space="preserve">standard_relation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with a</w:t>
      </w:r>
      <w:r>
        <w:t xml:space="preserve"> </w:t>
      </w:r>
      <w:r>
        <w:t xml:space="preserve">concentration, meaning the assay ran to its highest tested concentration without reaching an effect.</w:t>
      </w:r>
      <w:r>
        <w:t xml:space="preserve"> </w:t>
      </w:r>
      <w:r>
        <w:t xml:space="preserve">Filtering on pChEMBL discards exactly those rows. The result is a training set whose positives came</w:t>
      </w:r>
      <w:r>
        <w:t xml:space="preserve"> </w:t>
      </w:r>
      <w:r>
        <w:t xml:space="preserve">from measurement and whose negatives have to be invented, usually as property-matched decoys [12].</w:t>
      </w:r>
    </w:p>
    <w:p>
      <w:pPr>
        <w:pStyle w:val="BodyText"/>
      </w:pPr>
      <w:r>
        <w:t xml:space="preserve">The recovery rule is a piece of interval arithmetic, and its whole content is knowing when to refuse</w:t>
      </w:r>
      <w:r>
        <w:t xml:space="preserve"> </w:t>
      </w:r>
      <w:r>
        <w:t xml:space="preserve">to answer. A censored bound defines an interval of possible true potencies. It settles a label if and</w:t>
      </w:r>
      <w:r>
        <w:t xml:space="preserve"> </w:t>
      </w:r>
      <w:r>
        <w:t xml:space="preserve">only if that entire interval falls on one side of the activity cut.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IC50 &gt; 10 µM</w:t>
      </w:r>
      <w:r>
        <w:t xml:space="preserve"> </w:t>
      </w:r>
      <w:r>
        <w:t xml:space="preserve">places the true potency strictly below pChEMBL 5.0. The whole interval is inactive,</w:t>
      </w:r>
      <w:r>
        <w:t xml:space="preserve"> </w:t>
      </w:r>
      <w:r>
        <w:t xml:space="preserve">so the compound is a</w:t>
      </w:r>
      <w:r>
        <w:t xml:space="preserve"> </w:t>
      </w:r>
      <w:r>
        <w:rPr>
          <w:b/>
          <w:bCs/>
        </w:rPr>
        <w:t xml:space="preserve">measured non-binder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IC50 &gt; 100 nM</w:t>
      </w:r>
      <w:r>
        <w:t xml:space="preserve"> </w:t>
      </w:r>
      <w:r>
        <w:t xml:space="preserve">places the true potency below pChEMBL 7.0, which spans both classes. The compound</w:t>
      </w:r>
      <w:r>
        <w:t xml:space="preserve"> </w:t>
      </w:r>
      <w:r>
        <w:t xml:space="preserve">might be a weak binder or might be inert, and the record does not say. It is</w:t>
      </w:r>
      <w:r>
        <w:t xml:space="preserve"> </w:t>
      </w:r>
      <w:r>
        <w:rPr>
          <w:b/>
          <w:bCs/>
        </w:rPr>
        <w:t xml:space="preserve">discarded as</w:t>
      </w:r>
      <w:r>
        <w:rPr>
          <w:b/>
          <w:bCs/>
        </w:rPr>
        <w:t xml:space="preserve"> </w:t>
      </w:r>
      <w:r>
        <w:rPr>
          <w:b/>
          <w:bCs/>
        </w:rPr>
        <w:t xml:space="preserve">undecidable</w:t>
      </w:r>
      <w:r>
        <w:t xml:space="preserve"> </w:t>
      </w:r>
      <w:r>
        <w:t xml:space="preserve">rather than guessed at.</w:t>
      </w:r>
    </w:p>
    <w:p>
      <w:pPr>
        <w:pStyle w:val="FirstParagraph"/>
      </w:pPr>
      <w:r>
        <w:t xml:space="preserve">Applying that rule recovers</w:t>
      </w:r>
      <w:r>
        <w:t xml:space="preserve"> </w:t>
      </w:r>
      <w:r>
        <w:rPr>
          <w:b/>
          <w:bCs/>
        </w:rPr>
        <w:t xml:space="preserve">29,751 measured non-binders across 57 of the 63 endpoints</w:t>
      </w:r>
      <w:r>
        <w:t xml:space="preserve">. These are</w:t>
      </w:r>
      <w:r>
        <w:t xml:space="preserve"> </w:t>
      </w:r>
      <w:r>
        <w:t xml:space="preserve">compounds somebody put in an assay and observed not to bind, which is a categorically different</w:t>
      </w:r>
      <w:r>
        <w:t xml:space="preserve"> </w:t>
      </w:r>
      <w:r>
        <w:t xml:space="preserve">object from a compound assumed inactive because it resembles nothing active.</w:t>
      </w:r>
    </w:p>
    <w:p>
      <w:pPr>
        <w:pStyle w:val="BodyText"/>
      </w:pPr>
      <w:r>
        <w:t xml:space="preserve">The distinction matters most where it is easiest to overlook. A model validated against decoys is</w:t>
      </w:r>
      <w:r>
        <w:t xml:space="preserve"> </w:t>
      </w:r>
      <w:r>
        <w:t xml:space="preserve">being asked to separate real ligands from chemistry that was selected to be dissimilar to them, and</w:t>
      </w:r>
      <w:r>
        <w:t xml:space="preserve"> </w:t>
      </w:r>
      <w:r>
        <w:t xml:space="preserve">it will do so easily. A model validated against measured non-binders is being asked to separate</w:t>
      </w:r>
      <w:r>
        <w:t xml:space="preserve"> </w:t>
      </w:r>
      <w:r>
        <w:t xml:space="preserve">compounds that a medicinal chemist thought worth testing at that target from those that turned out</w:t>
      </w:r>
      <w:r>
        <w:t xml:space="preserve"> </w:t>
      </w:r>
      <w:r>
        <w:t xml:space="preserve">not to work, which is the discrimination a user actually needs. Chapter 6 reports the binder panel</w:t>
      </w:r>
      <w:r>
        <w:t xml:space="preserve"> </w:t>
      </w:r>
      <w:r>
        <w:t xml:space="preserve">against measured inactives for exactly this reason, and the resulting mean AUROC of 0.9174 should be</w:t>
      </w:r>
      <w:r>
        <w:t xml:space="preserve"> </w:t>
      </w:r>
      <w:r>
        <w:t xml:space="preserve">read as a harder number than a decoy-validated figure of the same size.</w:t>
      </w:r>
    </w:p>
    <w:p>
      <w:pPr>
        <w:pStyle w:val="BodyText"/>
      </w:pPr>
      <w:r>
        <w:t xml:space="preserve">Six endpoints have no recovered inactives. They are the ones whose deposited record contains no</w:t>
      </w:r>
      <w:r>
        <w:t xml:space="preserve"> </w:t>
      </w:r>
      <w:r>
        <w:t xml:space="preserve">usable bounds, and their negative class remains what section 2.4 describes.</w:t>
      </w:r>
    </w:p>
    <w:bookmarkEnd w:id="11"/>
    <w:bookmarkStart w:id="12" w:name="X958a915a5e26effd61c37f98712ebb40884968a"/>
    <w:p>
      <w:pPr>
        <w:pStyle w:val="Heading2"/>
      </w:pPr>
      <w:r>
        <w:t xml:space="preserve">2.4 Where the negative class is still an assumption</w:t>
      </w:r>
    </w:p>
    <w:p>
      <w:pPr>
        <w:pStyle w:val="FirstParagraph"/>
      </w:pPr>
      <w:r>
        <w:t xml:space="preserve">Recovery is partial, and the chapter would be dishonest if it stopped at the previous section.</w:t>
      </w:r>
    </w:p>
    <w:p>
      <w:pPr>
        <w:pStyle w:val="BodyText"/>
      </w:pPr>
      <w:r>
        <w:t xml:space="preserve">Where an endpoint has enough recovered inactives, its negatives are measurements. Where it does not,</w:t>
      </w:r>
      <w:r>
        <w:t xml:space="preserve"> </w:t>
      </w:r>
      <w:r>
        <w:t xml:space="preserve">the shortfall is made up with property-matched decoys drawn from the background library: compounds</w:t>
      </w:r>
      <w:r>
        <w:t xml:space="preserve"> </w:t>
      </w:r>
      <w:r>
        <w:t xml:space="preserve">matched on the physicochemical properties of the actives but with a Tanimoto similarity below 0.35 to</w:t>
      </w:r>
      <w:r>
        <w:t xml:space="preserve"> </w:t>
      </w:r>
      <w:r>
        <w:t xml:space="preserve">any of them. A decoy is an assumption wearing the clothes of a data point. It asserts that a compound</w:t>
      </w:r>
      <w:r>
        <w:t xml:space="preserve"> </w:t>
      </w:r>
      <w:r>
        <w:t xml:space="preserve">nobody has tested at this target would be inactive if they did, and that assertion is usually but not</w:t>
      </w:r>
      <w:r>
        <w:t xml:space="preserve"> </w:t>
      </w:r>
      <w:r>
        <w:t xml:space="preserve">always right.</w:t>
      </w:r>
    </w:p>
    <w:p>
      <w:pPr>
        <w:pStyle w:val="BodyText"/>
      </w:pPr>
      <w:r>
        <w:t xml:space="preserve">This has two consequences that are carried forward rather than resolved.</w:t>
      </w:r>
    </w:p>
    <w:p>
      <w:pPr>
        <w:pStyle w:val="BodyText"/>
      </w:pPr>
      <w:r>
        <w:t xml:space="preserve">First, the negative class means different things at different endpoints, which is one of the four</w:t>
      </w:r>
      <w:r>
        <w:t xml:space="preserve"> </w:t>
      </w:r>
      <w:r>
        <w:t xml:space="preserve">reasons Chapter 3 gives for fitting each endpoint independently rather than as one multi-task model.</w:t>
      </w:r>
      <w:r>
        <w:t xml:space="preserve"> </w:t>
      </w:r>
      <w:r>
        <w:t xml:space="preserve">Pooling a measured non-binder and an assumed one into a single loss silently averages a measurement</w:t>
      </w:r>
      <w:r>
        <w:t xml:space="preserve"> </w:t>
      </w:r>
      <w:r>
        <w:t xml:space="preserve">with a guess.</w:t>
      </w:r>
    </w:p>
    <w:p>
      <w:pPr>
        <w:pStyle w:val="BodyText"/>
      </w:pPr>
      <w:r>
        <w:t xml:space="preserve">Second, any metric computed against decoys is easier than the same metric computed against measured</w:t>
      </w:r>
      <w:r>
        <w:t xml:space="preserve"> </w:t>
      </w:r>
      <w:r>
        <w:t xml:space="preserve">inactives. The panel registry records both quantities per endpoint, and this thesis quotes the</w:t>
      </w:r>
      <w:r>
        <w:t xml:space="preserve"> </w:t>
      </w:r>
      <w:r>
        <w:t xml:space="preserve">measured-inactive figure wherever one exists.</w:t>
      </w:r>
    </w:p>
    <w:bookmarkEnd w:id="12"/>
    <w:bookmarkStart w:id="13" w:name="an-experiment-that-was-run-and-reverted"/>
    <w:p>
      <w:pPr>
        <w:pStyle w:val="Heading2"/>
      </w:pPr>
      <w:r>
        <w:t xml:space="preserve">2.5 An experiment that was run and reverted</w:t>
      </w:r>
    </w:p>
    <w:p>
      <w:pPr>
        <w:pStyle w:val="FirstParagraph"/>
      </w:pPr>
      <w:r>
        <w:t xml:space="preserve">The obvious way to enlarge the negative class further is to add bulk high-throughput screening</w:t>
      </w:r>
      <w:r>
        <w:t xml:space="preserve"> </w:t>
      </w:r>
      <w:r>
        <w:t xml:space="preserve">inactives from PubChem. It was tried, on GSK-3β, the worst-skewed endpoint in the panel, and the</w:t>
      </w:r>
      <w:r>
        <w:t xml:space="preserve"> </w:t>
      </w:r>
      <w:r>
        <w:t xml:space="preserve">result is instructive enough to belong in the main text rather than an appendix.</w:t>
      </w:r>
    </w:p>
    <w:p>
      <w:pPr>
        <w:pStyle w:val="BodyText"/>
      </w:pPr>
      <w:r>
        <w:t xml:space="preserve">Adding 4,276 measured PubChem inactives did two things at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results/tables/inactives_audit.csv</w:t>
      </w:r>
      <w:r>
        <w:t xml:space="preserve">).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corrected a real problem</w:t>
      </w:r>
      <w:r>
        <w:t xml:space="preserve">. The GSK-3β model had been predicting 71.6 per cent of the 11,723</w:t>
      </w:r>
      <w:r>
        <w:t xml:space="preserve"> </w:t>
      </w:r>
      <w:r>
        <w:t xml:space="preserve">DrugBank drugs as active, which is not a possible state of the world. After the addition, that fell</w:t>
      </w:r>
      <w:r>
        <w:t xml:space="preserve"> </w:t>
      </w:r>
      <w:r>
        <w:t xml:space="preserve">to 16.4 per cent (</w:t>
      </w:r>
      <w:r>
        <w:rPr>
          <w:rStyle w:val="VerbatimChar"/>
        </w:rPr>
        <w:t xml:space="preserve">docs/INACTIVES_EXPERIMENT.md</w:t>
      </w:r>
      <w:r>
        <w:t xml:space="preserve">).</w:t>
      </w:r>
    </w:p>
    <w:p>
      <w:pPr>
        <w:pStyle w:val="BodyText"/>
      </w:pPr>
      <w:r>
        <w:t xml:space="preserve">It also</w:t>
      </w:r>
      <w:r>
        <w:t xml:space="preserve"> </w:t>
      </w:r>
      <w:r>
        <w:rPr>
          <w:b/>
          <w:bCs/>
        </w:rPr>
        <w:t xml:space="preserve">manufactured an apparent improvement that was not one</w:t>
      </w:r>
      <w:r>
        <w:t xml:space="preserve">. Scaffold-split AUROC rose from</w:t>
      </w:r>
      <w:r>
        <w:t xml:space="preserve"> </w:t>
      </w:r>
      <w:r>
        <w:t xml:space="preserve">0.9369 to 0.9891, and the Matthews correlation from 0.5593 to 0.9013. Those are enormous gains, and</w:t>
      </w:r>
      <w:r>
        <w:t xml:space="preserve"> </w:t>
      </w:r>
      <w:r>
        <w:t xml:space="preserve">they are an artefact. The added negatives have a median Tanimoto similarity to the actives of 0.288,</w:t>
      </w:r>
      <w:r>
        <w:t xml:space="preserve"> </w:t>
      </w:r>
      <w:r>
        <w:t xml:space="preserve">and only 1.7 per cent of them reach 0.5. They are chemically unlike inhibitors, so separating them</w:t>
      </w:r>
      <w:r>
        <w:t xml:space="preserve"> </w:t>
      </w:r>
      <w:r>
        <w:t xml:space="preserve">from inhibitors is an easy problem the model was not previously being asked to solve. The audit</w:t>
      </w:r>
      <w:r>
        <w:t xml:space="preserve"> </w:t>
      </w:r>
      <w:r>
        <w:t xml:space="preserve">labelled the result</w:t>
      </w:r>
      <w:r>
        <w:t xml:space="preserve"> </w:t>
      </w:r>
      <w:r>
        <w:rPr>
          <w:i/>
          <w:iCs/>
        </w:rPr>
        <w:t xml:space="preserve">interpret with care, some easy negatives</w:t>
      </w:r>
      <w:r>
        <w:t xml:space="preserve">, and it was correct to.</w:t>
      </w:r>
    </w:p>
    <w:p>
      <w:pPr>
        <w:pStyle w:val="BodyText"/>
      </w:pPr>
      <w:r>
        <w:t xml:space="preserve">The decision was to revert. The honest discrimination estimate for GSK-3β remains 0.9369, and the</w:t>
      </w:r>
      <w:r>
        <w:t xml:space="preserve"> </w:t>
      </w:r>
      <w:r>
        <w:t xml:space="preserve">base-rate skew is handled instead by calibration and by the applicability-domain flag, and disclosed</w:t>
      </w:r>
      <w:r>
        <w:t xml:space="preserve"> </w:t>
      </w:r>
      <w:r>
        <w:t xml:space="preserve">as a data limitation. The correct version of this work is similarity-matched hard negatives, which</w:t>
      </w:r>
      <w:r>
        <w:t xml:space="preserve"> </w:t>
      </w:r>
      <w:r>
        <w:t xml:space="preserve">would fix the base rate without inflating the metric, and it has not been done.</w:t>
      </w:r>
    </w:p>
    <w:p>
      <w:pPr>
        <w:pStyle w:val="BodyText"/>
      </w:pPr>
      <w:r>
        <w:t xml:space="preserve">That episode is the clearest illustration in this thesis of why a rising number is not evidence. Had</w:t>
      </w:r>
      <w:r>
        <w:t xml:space="preserve"> </w:t>
      </w:r>
      <w:r>
        <w:t xml:space="preserve">the experiment been kept, the panel would report a better AUROC at GSK-3β and would be worse at the</w:t>
      </w:r>
      <w:r>
        <w:t xml:space="preserve"> </w:t>
      </w:r>
      <w:r>
        <w:t xml:space="preserve">job it exists to do.</w:t>
      </w:r>
    </w:p>
    <w:bookmarkEnd w:id="13"/>
    <w:bookmarkStart w:id="14" w:name="pooling-a-second-curator"/>
    <w:p>
      <w:pPr>
        <w:pStyle w:val="Heading2"/>
      </w:pPr>
      <w:r>
        <w:t xml:space="preserve">2.6 Pooling a second curator</w:t>
      </w:r>
    </w:p>
    <w:p>
      <w:pPr>
        <w:pStyle w:val="FirstParagraph"/>
      </w:pPr>
      <w:r>
        <w:t xml:space="preserve">For eleven protein targets a second independent source, BindingDB [19], was pooled with ChEMBL at</w:t>
      </w:r>
      <w:r>
        <w:t xml:space="preserve"> </w:t>
      </w:r>
      <w:r>
        <w:t xml:space="preserve">compound level. The reason was that the review asked for more data and ChEMBL had been verified as</w:t>
      </w:r>
      <w:r>
        <w:t xml:space="preserve"> </w:t>
      </w:r>
      <w:r>
        <w:t xml:space="preserve">near-complete for these targets, so genuine growth required a different curator rather than a deeper</w:t>
      </w:r>
      <w:r>
        <w:t xml:space="preserve"> </w:t>
      </w:r>
      <w:r>
        <w:t xml:space="preserve">query of the same one.</w:t>
      </w:r>
    </w:p>
    <w:p>
      <w:pPr>
        <w:pStyle w:val="BodyText"/>
      </w:pPr>
      <w:r>
        <w:t xml:space="preserve">Because BindingDB’s affinity export returns actives, the addition could only move the class balance</w:t>
      </w:r>
      <w:r>
        <w:t xml:space="preserve"> </w:t>
      </w:r>
      <w:r>
        <w:t xml:space="preserve">in one direction, and it was therefore audited against the ChEMBL-only baseline before being adopted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results/tables/expansion_audit.csv</w:t>
      </w:r>
      <w:r>
        <w:t xml:space="preserve">). Over thirteen endpoints under the scaffold-grouped split the</w:t>
      </w:r>
      <w:r>
        <w:t xml:space="preserve"> </w:t>
      </w:r>
      <w:r>
        <w:t xml:space="preserve">headline metric moved by a</w:t>
      </w:r>
      <w:r>
        <w:t xml:space="preserve"> </w:t>
      </w:r>
      <w:r>
        <w:rPr>
          <w:b/>
          <w:bCs/>
        </w:rPr>
        <w:t xml:space="preserve">mean of -0.0002, ranging from -0.0151 at 5-HT2A to +0.0129 at A2A</w:t>
      </w:r>
      <w:r>
        <w:t xml:space="preserve">. The</w:t>
      </w:r>
      <w:r>
        <w:t xml:space="preserve"> </w:t>
      </w:r>
      <w:r>
        <w:t xml:space="preserve">addition neither inflates nor degrades performance. A2A gained the most, +0.0129 in R², on the</w:t>
      </w:r>
      <w:r>
        <w:t xml:space="preserve"> </w:t>
      </w:r>
      <w:r>
        <w:t xml:space="preserve">largest single addition of 1,238 compounds; BBB and the antioxidant endpoint gained nothing because</w:t>
      </w:r>
      <w:r>
        <w:t xml:space="preserve"> </w:t>
      </w:r>
      <w:r>
        <w:t xml:space="preserve">nothing was added to them.</w:t>
      </w:r>
    </w:p>
    <w:p>
      <w:pPr>
        <w:pStyle w:val="BodyText"/>
      </w:pPr>
      <w:r>
        <w:t xml:space="preserve">A change that moves the mean by two ten-thousandths is a change worth making only if the reason is</w:t>
      </w:r>
      <w:r>
        <w:t xml:space="preserve"> </w:t>
      </w:r>
      <w:r>
        <w:t xml:space="preserve">something other than performance, and it is: pooling a second curator is what makes the</w:t>
      </w:r>
      <w:r>
        <w:t xml:space="preserve"> </w:t>
      </w:r>
      <w:r>
        <w:t xml:space="preserve">cross-provenance validation of Chapter 8 possible at all. Compounds deposited in BindingDB and absent</w:t>
      </w:r>
      <w:r>
        <w:t xml:space="preserve"> </w:t>
      </w:r>
      <w:r>
        <w:t xml:space="preserve">from ChEMBL become a test set curated by different people from different papers.</w:t>
      </w:r>
    </w:p>
    <w:bookmarkEnd w:id="14"/>
    <w:bookmarkStart w:id="15" w:name="Xf291bec4ca2c79bc7e9ee67508d92827df4cac5"/>
    <w:p>
      <w:pPr>
        <w:pStyle w:val="Heading2"/>
      </w:pPr>
      <w:r>
        <w:t xml:space="preserve">2.7 Deduplication, and the leak it exists to prevent</w:t>
      </w:r>
    </w:p>
    <w:p>
      <w:pPr>
        <w:pStyle w:val="FirstParagraph"/>
      </w:pPr>
      <w:r>
        <w:t xml:space="preserve">The featuriser described in Chapter 3 excludes stereochemistry, so two enantiomers produce</w:t>
      </w:r>
      <w:r>
        <w:t xml:space="preserve"> </w:t>
      </w:r>
      <w:r>
        <w:t xml:space="preserve">byte-identical feature vectors. This is a limitation, bounded in Chapter 10. It is also a hazard, and</w:t>
      </w:r>
      <w:r>
        <w:t xml:space="preserve"> </w:t>
      </w:r>
      <w:r>
        <w:t xml:space="preserve">the hazard is more immediate than the limitation.</w:t>
      </w:r>
    </w:p>
    <w:p>
      <w:pPr>
        <w:pStyle w:val="BodyText"/>
      </w:pPr>
      <w:r>
        <w:t xml:space="preserve">If two rows are identical in feature space and land on opposite sides of a cross-validation fold, the</w:t>
      </w:r>
      <w:r>
        <w:t xml:space="preserve"> </w:t>
      </w:r>
      <w:r>
        <w:t xml:space="preserve">model is tested on a compound it was trained on. The measured AUROC then includes a component of</w:t>
      </w:r>
      <w:r>
        <w:t xml:space="preserve"> </w:t>
      </w:r>
      <w:r>
        <w:t xml:space="preserve">memorisation, and no amount of scaffold grouping removes it, because the scaffold split groups by</w:t>
      </w:r>
      <w:r>
        <w:t xml:space="preserve"> </w:t>
      </w:r>
      <w:r>
        <w:t xml:space="preserve">Bemis-Murcko skeleton [2] and these rows share a skeleton by construction.</w:t>
      </w:r>
    </w:p>
    <w:p>
      <w:pPr>
        <w:pStyle w:val="BodyText"/>
      </w:pPr>
      <w:r>
        <w:t xml:space="preserve">Rows identical in the 1,036-column representation are therefore collapsed before any split is drawn,</w:t>
      </w:r>
      <w:r>
        <w:t xml:space="preserve"> </w:t>
      </w:r>
      <w:r>
        <w:t xml:space="preserve">and a collapsed group whose labels disagree is dropped entirely rather than resolved by majority</w:t>
      </w:r>
      <w:r>
        <w:t xml:space="preserve"> </w:t>
      </w:r>
      <w:r>
        <w:t xml:space="preserve">vote, because the featuriser cannot tell its members apart and a vote would be inventing an answer.</w:t>
      </w:r>
    </w:p>
    <w:p>
      <w:pPr>
        <w:pStyle w:val="BodyText"/>
      </w:pPr>
      <w:r>
        <w:t xml:space="preserve">The scale is not trivial.</w:t>
      </w:r>
      <w:r>
        <w:t xml:space="preserve"> </w:t>
      </w:r>
      <w:r>
        <w:rPr>
          <w:b/>
          <w:bCs/>
        </w:rPr>
        <w:t xml:space="preserve">15,104 duplicate rows exist in the tables before deduplication</w:t>
      </w:r>
      <w:r>
        <w:t xml:space="preserve">, the</w:t>
      </w:r>
      <w:r>
        <w:t xml:space="preserve"> </w:t>
      </w:r>
      <w:r>
        <w:t xml:space="preserve">worst single endpoint being the barrier set at 3,773, and</w:t>
      </w:r>
      <w:r>
        <w:t xml:space="preserve"> </w:t>
      </w:r>
      <w:r>
        <w:rPr>
          <w:b/>
          <w:bCs/>
        </w:rPr>
        <w:t xml:space="preserve">zero reach 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Those 15,104 rows are correct chemistry: stereoisomers</w:t>
      </w:r>
      <w:r>
        <w:t xml:space="preserve"> </w:t>
      </w:r>
      <w:r>
        <w:t xml:space="preserve">are genuinely distinct compounds, deposited separately and measured separately. They are duplicates</w:t>
      </w:r>
      <w:r>
        <w:t xml:space="preserve"> </w:t>
      </w:r>
      <w:r>
        <w:t xml:space="preserve">only from the point of view of a stereo-blind representation, which is precisely why the collapse</w:t>
      </w:r>
      <w:r>
        <w:t xml:space="preserve"> </w:t>
      </w:r>
      <w:r>
        <w:t xml:space="preserve">happens at the featurisation boundary and not in the source tables.</w:t>
      </w:r>
    </w:p>
    <w:p>
      <w:pPr>
        <w:pStyle w:val="BodyText"/>
      </w:pPr>
      <w:r>
        <w:t xml:space="preserve">Three checks confirm the boundary holds. On the deduplicated matrix the pipeline actually fits, no</w:t>
      </w:r>
      <w:r>
        <w:t xml:space="preserve"> </w:t>
      </w:r>
      <w:r>
        <w:t xml:space="preserve">InChIKey, no feature vector and no scaffold appears on both sides of any fold. On the raw table the</w:t>
      </w:r>
      <w:r>
        <w:t xml:space="preserve"> </w:t>
      </w:r>
      <w:r>
        <w:t xml:space="preserve">feature-vector overlap reaches 544. And across the panel, 52 targets were checked for scaffold</w:t>
      </w:r>
      <w:r>
        <w:t xml:space="preserve"> </w:t>
      </w:r>
      <w:r>
        <w:t xml:space="preserve">overlap between training and test and</w:t>
      </w:r>
      <w:r>
        <w:t xml:space="preserve"> </w:t>
      </w:r>
      <w:r>
        <w:rPr>
          <w:b/>
          <w:bCs/>
        </w:rPr>
        <w:t xml:space="preserve">none shares a scaffold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results/tables/integrity_audit.csv</w:t>
      </w:r>
      <w:r>
        <w:t xml:space="preserve">).</w:t>
      </w:r>
    </w:p>
    <w:bookmarkEnd w:id="15"/>
    <w:bookmarkStart w:id="16" w:name="the-panel-endpoint-by-endpoint"/>
    <w:p>
      <w:pPr>
        <w:pStyle w:val="Heading2"/>
      </w:pPr>
      <w:r>
        <w:t xml:space="preserve">2.8 The panel endpoint by endpoint</w:t>
      </w:r>
    </w:p>
    <w:p>
      <w:pPr>
        <w:pStyle w:val="FirstParagraph"/>
      </w:pPr>
      <w:r>
        <w:t xml:space="preserve">An aggregate of 228,200 records describes no endpoint. The quantity that governs what any single</w:t>
      </w:r>
      <w:r>
        <w:t xml:space="preserve"> </w:t>
      </w:r>
      <w:r>
        <w:t xml:space="preserve">prediction is worth is the size of the set behind it, and those sizes span more than an order of</w:t>
      </w:r>
      <w:r>
        <w:t xml:space="preserve"> </w:t>
      </w:r>
      <w:r>
        <w:t xml:space="preserve">magnitude.</w:t>
      </w:r>
    </w:p>
    <w:p>
      <w:pPr>
        <w:pStyle w:val="BodyText"/>
      </w:pPr>
      <w:r>
        <w:t xml:space="preserve">Across the</w:t>
      </w:r>
      <w:r>
        <w:t xml:space="preserve"> </w:t>
      </w:r>
      <w:r>
        <w:rPr>
          <w:b/>
          <w:bCs/>
        </w:rPr>
        <w:t xml:space="preserve">55 deployed endpoints that own a table</w:t>
      </w:r>
      <w:r>
        <w:t xml:space="preserve">, the median is</w:t>
      </w:r>
      <w:r>
        <w:t xml:space="preserve"> </w:t>
      </w:r>
      <w:r>
        <w:rPr>
          <w:b/>
          <w:bCs/>
        </w:rPr>
        <w:t xml:space="preserve">3,789 rows</w:t>
      </w:r>
      <w:r>
        <w:t xml:space="preserve">, from</w:t>
      </w:r>
      <w:r>
        <w:t xml:space="preserve"> </w:t>
      </w:r>
      <w:r>
        <w:rPr>
          <w:b/>
          <w:bCs/>
        </w:rPr>
        <w:t xml:space="preserve">387 for</w:t>
      </w:r>
      <w:r>
        <w:rPr>
          <w:b/>
          <w:bCs/>
        </w:rPr>
        <w:t xml:space="preserve"> </w:t>
      </w:r>
      <w:r>
        <w:rPr>
          <w:b/>
          <w:bCs/>
        </w:rPr>
        <w:t xml:space="preserve">KEAP1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10,276 for hERG</w:t>
      </w:r>
      <w:r>
        <w:t xml:space="preserve">.</w:t>
      </w:r>
    </w:p>
    <w:p>
      <w:pPr>
        <w:pStyle w:val="BodyText"/>
      </w:pPr>
      <w:r>
        <w:t xml:space="preserve">That set requires naming, because the phrase</w:t>
      </w:r>
      <w:r>
        <w:t xml:space="preserve"> </w:t>
      </w:r>
      <w:r>
        <w:t xml:space="preserve">“the deployed panel”</w:t>
      </w:r>
      <w:r>
        <w:t xml:space="preserve"> </w:t>
      </w:r>
      <w:r>
        <w:t xml:space="preserve">admits two readings that differ.</w:t>
      </w:r>
      <w:r>
        <w:t xml:space="preserve"> </w:t>
      </w:r>
      <w:r>
        <w:t xml:space="preserve">The set above is every deployed model owning a table in the endpoints directory, the barrier model</w:t>
      </w:r>
      <w:r>
        <w:t xml:space="preserve"> </w:t>
      </w:r>
      <w:r>
        <w:t xml:space="preserve">included. Excluding the barrier model, on the grounds that it is an exposure rather than a target</w:t>
      </w:r>
      <w:r>
        <w:t xml:space="preserve"> </w:t>
      </w:r>
      <w:r>
        <w:t xml:space="preserve">endpoint, gives 54 tables and a median of</w:t>
      </w:r>
      <w:r>
        <w:t xml:space="preserve"> </w:t>
      </w:r>
      <w:r>
        <w:rPr>
          <w:b/>
          <w:bCs/>
        </w:rPr>
        <w:t xml:space="preserve">3,587.5</w:t>
      </w:r>
      <w:r>
        <w:t xml:space="preserve">. The difference is one endpoint: BBB holds</w:t>
      </w:r>
      <w:r>
        <w:t xml:space="preserve"> </w:t>
      </w:r>
      <w:r>
        <w:t xml:space="preserve">7,807 rows, sits above the median, and moves it. Neither reading is wrong and the figure quoted</w:t>
      </w:r>
      <w:r>
        <w:t xml:space="preserve"> </w:t>
      </w:r>
      <w:r>
        <w:t xml:space="preserve">throughout this thesis is 3,789, but a reader cannot check it without knowing which set is meant, so</w:t>
      </w:r>
      <w:r>
        <w:t xml:space="preserve"> </w:t>
      </w:r>
      <w:r>
        <w:t xml:space="preserve">the set is named wherever the number appears.</w:t>
      </w:r>
    </w:p>
    <w:p>
      <w:pPr>
        <w:pStyle w:val="BodyText"/>
      </w:pPr>
      <w:r>
        <w:t xml:space="preserve">The practical consequence of the range is that a prediction at KEAP1 and a prediction at hERG are not</w:t>
      </w:r>
      <w:r>
        <w:t xml:space="preserve"> </w:t>
      </w:r>
      <w:r>
        <w:t xml:space="preserve">comparable statements of confidence, even when both return the same probability. KEAP1 has 387</w:t>
      </w:r>
      <w:r>
        <w:t xml:space="preserve"> </w:t>
      </w:r>
      <w:r>
        <w:t xml:space="preserve">measured compounds behind it. The uncertainty machinery of Chapter 4 exists so that this difference</w:t>
      </w:r>
      <w:r>
        <w:t xml:space="preserve"> </w:t>
      </w:r>
      <w:r>
        <w:t xml:space="preserve">reaches the user rather than being averaged away, and the model atlas figure plots every estimator</w:t>
      </w:r>
      <w:r>
        <w:t xml:space="preserve"> </w:t>
      </w:r>
      <w:r>
        <w:t xml:space="preserve">against its training-set size for the same reason.</w:t>
      </w:r>
    </w:p>
    <w:bookmarkEnd w:id="16"/>
    <w:bookmarkStart w:id="17" w:name="X0bba622ee4b5a0396f024b4c817aecc8f5815fb"/>
    <w:p>
      <w:pPr>
        <w:pStyle w:val="Heading2"/>
      </w:pPr>
      <w:r>
        <w:t xml:space="preserve">2.9 Class balance, and what the deposition process does to it</w:t>
      </w:r>
    </w:p>
    <w:p>
      <w:pPr>
        <w:pStyle w:val="FirstParagraph"/>
      </w:pPr>
      <w:r>
        <w:t xml:space="preserve">Of the 228,200 rows,</w:t>
      </w:r>
      <w:r>
        <w:t xml:space="preserve"> </w:t>
      </w:r>
      <w:r>
        <w:rPr>
          <w:b/>
          <w:bCs/>
        </w:rPr>
        <w:t xml:space="preserve">176,123 are active and 52,077 inactive</w:t>
      </w:r>
      <w:r>
        <w:t xml:space="preserve">, an overall active fraction of 0.772.</w:t>
      </w:r>
      <w:r>
        <w:t xml:space="preserve"> </w:t>
      </w:r>
      <w:r>
        <w:t xml:space="preserve">Across the 55 deployed endpoints the median active fraction is</w:t>
      </w:r>
      <w:r>
        <w:t xml:space="preserve"> </w:t>
      </w:r>
      <w:r>
        <w:rPr>
          <w:b/>
          <w:bCs/>
        </w:rPr>
        <w:t xml:space="preserve">0.825</w:t>
      </w:r>
      <w:r>
        <w:t xml:space="preserve">, running from</w:t>
      </w:r>
      <w:r>
        <w:t xml:space="preserve"> </w:t>
      </w:r>
      <w:r>
        <w:rPr>
          <w:b/>
          <w:bCs/>
        </w:rPr>
        <w:t xml:space="preserve">0.122 at</w:t>
      </w:r>
      <w:r>
        <w:rPr>
          <w:b/>
          <w:bCs/>
        </w:rPr>
        <w:t xml:space="preserve"> </w:t>
      </w:r>
      <w:r>
        <w:rPr>
          <w:b/>
          <w:bCs/>
        </w:rPr>
        <w:t xml:space="preserve">Nav1.5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0.962 at P2X7</w:t>
      </w:r>
      <w:r>
        <w:t xml:space="preserve">. Fourteen of the 55 are above 90 per cent active and 32 are above 80</w:t>
      </w:r>
      <w:r>
        <w:t xml:space="preserve"> </w:t>
      </w:r>
      <w:r>
        <w:t xml:space="preserve">per cent; only five sit below 50 per cent, the most balanced being MAO-B at 0.505, BChE at 0.543 and</w:t>
      </w:r>
      <w:r>
        <w:t xml:space="preserve"> </w:t>
      </w:r>
      <w:r>
        <w:t xml:space="preserve">KEAP1 at 0.558.</w:t>
      </w:r>
    </w:p>
    <w:p>
      <w:pPr>
        <w:pStyle w:val="BodyText"/>
      </w:pPr>
      <w:r>
        <w:t xml:space="preserve">This skew is a property of the deposition process and not of the chemistry. People publish what</w:t>
      </w:r>
      <w:r>
        <w:t xml:space="preserve"> </w:t>
      </w:r>
      <w:r>
        <w:t xml:space="preserve">binds. A target whose set is 96 per cent active is not a target at which most compounds are active;</w:t>
      </w:r>
      <w:r>
        <w:t xml:space="preserve"> </w:t>
      </w:r>
      <w:r>
        <w:t xml:space="preserve">it is a target whose non-binders were never written down, or were written down as the censored bounds</w:t>
      </w:r>
      <w:r>
        <w:t xml:space="preserve"> </w:t>
      </w:r>
      <w:r>
        <w:t xml:space="preserve">section 2.3 recovers.</w:t>
      </w:r>
    </w:p>
    <w:p>
      <w:pPr>
        <w:pStyle w:val="BodyText"/>
      </w:pPr>
      <w:r>
        <w:t xml:space="preserve">Three consequences run through the rest of the thesis.</w:t>
      </w:r>
    </w:p>
    <w:p>
      <w:pPr>
        <w:pStyle w:val="BodyText"/>
      </w:pPr>
      <w:r>
        <w:rPr>
          <w:b/>
          <w:bCs/>
        </w:rPr>
        <w:t xml:space="preserve">A high probability may say more about the endpoint than about the compound.</w:t>
      </w:r>
      <w:r>
        <w:t xml:space="preserve"> </w:t>
      </w:r>
      <w:r>
        <w:t xml:space="preserve">This is why the</w:t>
      </w:r>
      <w:r>
        <w:t xml:space="preserve"> </w:t>
      </w:r>
      <w:r>
        <w:t xml:space="preserve">engagement signal of Chapter 7 is a base-rate enrichment rather than a raw probability, and why a</w:t>
      </w:r>
      <w:r>
        <w:t xml:space="preserve"> </w:t>
      </w:r>
      <w:r>
        <w:t xml:space="preserve">prediction below an endpoint’s own base rate is treated as evidence of inactivity rather than as weak</w:t>
      </w:r>
      <w:r>
        <w:t xml:space="preserve"> </w:t>
      </w:r>
      <w:r>
        <w:t xml:space="preserve">evidence of activity.</w:t>
      </w:r>
    </w:p>
    <w:p>
      <w:pPr>
        <w:pStyle w:val="BodyText"/>
      </w:pPr>
      <w:r>
        <w:rPr>
          <w:b/>
          <w:bCs/>
        </w:rPr>
        <w:t xml:space="preserve">Accuracy is uninformative here</w:t>
      </w:r>
      <w:r>
        <w:t xml:space="preserve"> </w:t>
      </w:r>
      <w:r>
        <w:t xml:space="preserve">and is not reported. A model that answers</w:t>
      </w:r>
      <w:r>
        <w:t xml:space="preserve"> </w:t>
      </w:r>
      <w:r>
        <w:t xml:space="preserve">“active”</w:t>
      </w:r>
      <w:r>
        <w:t xml:space="preserve"> </w:t>
      </w:r>
      <w:r>
        <w:t xml:space="preserve">at P2X7 scores</w:t>
      </w:r>
      <w:r>
        <w:t xml:space="preserve"> </w:t>
      </w:r>
      <w:r>
        <w:t xml:space="preserve">0.962. Every classifier is fitted with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for the same reason.</w:t>
      </w:r>
    </w:p>
    <w:p>
      <w:pPr>
        <w:pStyle w:val="BodyText"/>
      </w:pPr>
      <w:r>
        <w:rPr>
          <w:b/>
          <w:bCs/>
        </w:rPr>
        <w:t xml:space="preserve">Four receptor endpoints are not classification problems at all.</w:t>
      </w:r>
      <w:r>
        <w:t xml:space="preserve"> </w:t>
      </w:r>
      <w:r>
        <w:t xml:space="preserve">D2, A2A, 5-HT2A and SERT have</w:t>
      </w:r>
      <w:r>
        <w:t xml:space="preserve"> </w:t>
      </w:r>
      <w:r>
        <w:t xml:space="preserve">ChEMBL sets that are 96 to 98 per cent active, because only binders are reported, and a binary task</w:t>
      </w:r>
      <w:r>
        <w:t xml:space="preserve"> </w:t>
      </w:r>
      <w:r>
        <w:t xml:space="preserve">on such a set is ill-posed: Matthews correlations of 0.21 to 0.44 failed the deployment quality gate.</w:t>
      </w:r>
      <w:r>
        <w:t xml:space="preserve"> </w:t>
      </w:r>
      <w:r>
        <w:t xml:space="preserve">They are served as potency regressions on pChEMBL instead. That is a case where the right response to</w:t>
      </w:r>
      <w:r>
        <w:t xml:space="preserve"> </w:t>
      </w:r>
      <w:r>
        <w:t xml:space="preserve">a data limitation was to change the question rather than the model.</w:t>
      </w:r>
    </w:p>
    <w:bookmarkEnd w:id="17"/>
    <w:bookmarkStart w:id="18" w:name="the-temporal-structure"/>
    <w:p>
      <w:pPr>
        <w:pStyle w:val="Heading2"/>
      </w:pPr>
      <w:r>
        <w:t xml:space="preserve">2.10 The temporal structure</w:t>
      </w:r>
    </w:p>
    <w:p>
      <w:pPr>
        <w:pStyle w:val="FirstParagraph"/>
      </w:pPr>
      <w:r>
        <w:t xml:space="preserve">Every row carries the year of the document it came from, and 212,227 of the 228,200 are dated. They</w:t>
      </w:r>
      <w:r>
        <w:t xml:space="preserve"> </w:t>
      </w:r>
      <w:r>
        <w:t xml:space="preserve">span</w:t>
      </w:r>
      <w:r>
        <w:t xml:space="preserve"> </w:t>
      </w:r>
      <w:r>
        <w:rPr>
          <w:b/>
          <w:bCs/>
        </w:rPr>
        <w:t xml:space="preserve">1976 to 2025</w:t>
      </w:r>
      <w:r>
        <w:t xml:space="preserve"> </w:t>
      </w:r>
      <w:r>
        <w:t xml:space="preserve">with a median of</w:t>
      </w:r>
      <w:r>
        <w:t xml:space="preserve"> </w:t>
      </w:r>
      <w:r>
        <w:rPr>
          <w:b/>
          <w:bCs/>
        </w:rPr>
        <w:t xml:space="preserve">2016</w:t>
      </w:r>
      <w:r>
        <w:t xml:space="preserve">.</w:t>
      </w:r>
    </w:p>
    <w:p>
      <w:pPr>
        <w:pStyle w:val="BodyText"/>
      </w:pPr>
      <w:r>
        <w:t xml:space="preserve">This field does no work at training time. It exists so that Chapter 8 can freeze the panel at a</w:t>
      </w:r>
      <w:r>
        <w:t xml:space="preserve"> </w:t>
      </w:r>
      <w:r>
        <w:t xml:space="preserve">cutoff year, refit on what was known then, and test on compounds first published afterwards. That is</w:t>
      </w:r>
      <w:r>
        <w:t xml:space="preserve"> </w:t>
      </w:r>
      <w:r>
        <w:t xml:space="preserve">the closest this thesis comes to a prospective test, and section 8.6 states plainly why it is not</w:t>
      </w:r>
      <w:r>
        <w:t xml:space="preserve"> </w:t>
      </w:r>
      <w:r>
        <w:t xml:space="preserve">one: the dates are real, but the analysis is retrospective, because no compound here was predicted</w:t>
      </w:r>
      <w:r>
        <w:t xml:space="preserve"> </w:t>
      </w:r>
      <w:r>
        <w:t xml:space="preserve">before it was measured.</w:t>
      </w:r>
    </w:p>
    <w:p>
      <w:pPr>
        <w:pStyle w:val="BodyText"/>
      </w:pPr>
      <w:r>
        <w:t xml:space="preserve">The median of 2016 is worth noting for a different reason. It means roughly half the panel’s evidence</w:t>
      </w:r>
      <w:r>
        <w:t xml:space="preserve"> </w:t>
      </w:r>
      <w:r>
        <w:t xml:space="preserve">postdates the deep-learning turn in cheminformatics and roughly half precedes it, and the</w:t>
      </w:r>
      <w:r>
        <w:t xml:space="preserve"> </w:t>
      </w:r>
      <w:r>
        <w:t xml:space="preserve">distribution is not uniform across endpoints. An endpoint whose chemistry appeared in a single burst</w:t>
      </w:r>
      <w:r>
        <w:t xml:space="preserve"> </w:t>
      </w:r>
      <w:r>
        <w:t xml:space="preserve">of publications has nothing on the far side of any wall that could be drawn, which is why 8 of the 47</w:t>
      </w:r>
      <w:r>
        <w:t xml:space="preserve"> </w:t>
      </w:r>
      <w:r>
        <w:t xml:space="preserve">deployed endpoints are excluded from the prospective arm.</w:t>
      </w:r>
    </w:p>
    <w:bookmarkEnd w:id="18"/>
    <w:bookmarkStart w:id="19" w:name="what-this-data-cannot-support"/>
    <w:p>
      <w:pPr>
        <w:pStyle w:val="Heading2"/>
      </w:pPr>
      <w:r>
        <w:t xml:space="preserve">2.11 What this data cannot support</w:t>
      </w:r>
    </w:p>
    <w:p>
      <w:pPr>
        <w:pStyle w:val="FirstParagraph"/>
      </w:pPr>
      <w:r>
        <w:t xml:space="preserve">Four claims are unavailable from this data whatever is done downstream, and they are stated here</w:t>
      </w:r>
      <w:r>
        <w:t xml:space="preserve"> </w:t>
      </w:r>
      <w:r>
        <w:t xml:space="preserve">because a modelling chapter that begins with an honest inventory of its inputs cannot be surprised</w:t>
      </w:r>
      <w:r>
        <w:t xml:space="preserve"> </w:t>
      </w:r>
      <w:r>
        <w:t xml:space="preserve">later.</w:t>
      </w:r>
    </w:p>
    <w:p>
      <w:pPr>
        <w:pStyle w:val="BodyText"/>
      </w:pPr>
      <w:r>
        <w:rPr>
          <w:b/>
          <w:bCs/>
        </w:rPr>
        <w:t xml:space="preserve">Direction of effect.</w:t>
      </w:r>
      <w:r>
        <w:t xml:space="preserve"> </w:t>
      </w:r>
      <w:r>
        <w:t xml:space="preserve">The label is a potency value, IC50, Ki, Kd or EC50. Those measure affinity,</w:t>
      </w:r>
      <w:r>
        <w:t xml:space="preserve"> </w:t>
      </w:r>
      <w:r>
        <w:t xml:space="preserve">which an agonist and an antagonist at the same receptor can share. ChEMBL’s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field</w:t>
      </w:r>
      <w:r>
        <w:t xml:space="preserve"> </w:t>
      </w:r>
      <w:r>
        <w:t xml:space="preserve">carries direction, is sparsely populated, and was never pulled: it appears nowhere in these tables,</w:t>
      </w:r>
      <w:r>
        <w:t xml:space="preserve"> </w:t>
      </w:r>
      <w:r>
        <w:t xml:space="preserve">which retain only structure, label, potency, year and source. No modelling choice recovers what was</w:t>
      </w:r>
      <w:r>
        <w:t xml:space="preserve"> </w:t>
      </w:r>
      <w:r>
        <w:t xml:space="preserve">not collected.</w:t>
      </w:r>
    </w:p>
    <w:p>
      <w:pPr>
        <w:pStyle w:val="BodyText"/>
      </w:pPr>
      <w:r>
        <w:rPr>
          <w:b/>
          <w:bCs/>
        </w:rPr>
        <w:t xml:space="preserve">Stereochemistry.</w:t>
      </w:r>
      <w:r>
        <w:t xml:space="preserve"> </w:t>
      </w:r>
      <w:r>
        <w:t xml:space="preserve">Held out of the representation, for reasons given in Chapter 3 and bounded in</w:t>
      </w:r>
      <w:r>
        <w:t xml:space="preserve"> </w:t>
      </w:r>
      <w:r>
        <w:t xml:space="preserve">Chapter 10.</w:t>
      </w:r>
    </w:p>
    <w:p>
      <w:pPr>
        <w:pStyle w:val="BodyText"/>
      </w:pPr>
      <w:r>
        <w:rPr>
          <w:b/>
          <w:bCs/>
        </w:rPr>
        <w:t xml:space="preserve">Absolute potency below the cut.</w:t>
      </w:r>
      <w:r>
        <w:t xml:space="preserve"> </w:t>
      </w:r>
      <w:r>
        <w:t xml:space="preserve">A compound discarded as undecidable is genuinely unknown, not</w:t>
      </w:r>
      <w:r>
        <w:t xml:space="preserve"> </w:t>
      </w:r>
      <w:r>
        <w:t xml:space="preserve">weakly active. The panel has no opinion about it.</w:t>
      </w:r>
    </w:p>
    <w:p>
      <w:pPr>
        <w:pStyle w:val="BodyText"/>
      </w:pPr>
      <w:r>
        <w:rPr>
          <w:b/>
          <w:bCs/>
        </w:rPr>
        <w:t xml:space="preserve">Coverage of natural-product chemistry.</w:t>
      </w:r>
      <w:r>
        <w:t xml:space="preserve"> </w:t>
      </w:r>
      <w:r>
        <w:t xml:space="preserve">The training library has a median fraction-sp3 of 0.34,</w:t>
      </w:r>
      <w:r>
        <w:t xml:space="preserve"> </w:t>
      </w:r>
      <w:r>
        <w:t xml:space="preserve">and only 9.2 per cent of it is both sp3-rich and free of aromatic rings. The three endpoints added</w:t>
      </w:r>
      <w:r>
        <w:t xml:space="preserve"> </w:t>
      </w:r>
      <w:r>
        <w:t xml:space="preserve">specifically to address this, drawn from NPASS, all failed. This is a gap in the data that a better</w:t>
      </w:r>
      <w:r>
        <w:t xml:space="preserve"> </w:t>
      </w:r>
      <w:r>
        <w:t xml:space="preserve">model cannot close.</w:t>
      </w:r>
    </w:p>
    <w:bookmarkEnd w:id="19"/>
    <w:bookmarkEnd w:id="2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2026-09-04T06:42:11Z</dcterms:created>
  <dcterms:modified xsi:type="dcterms:W3CDTF">2026-09-04T06:42:11Z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