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chapter-3.-representation-and-models"/>
    <w:p>
      <w:pPr>
        <w:pStyle w:val="Heading1"/>
      </w:pPr>
      <w:r>
        <w:t xml:space="preserve">Chapter 3. Representation and models</w:t>
      </w:r>
    </w:p>
    <w:p>
      <w:r>
        <w:pict>
          <v:rect style="width:0;height:1.5pt" o:hralign="center" o:hrstd="t" o:hr="t"/>
        </w:pict>
      </w:r>
    </w:p>
    <w:bookmarkStart w:id="9" w:name="one-representation-for-every-endpoint"/>
    <w:p>
      <w:pPr>
        <w:pStyle w:val="Heading2"/>
      </w:pPr>
      <w:r>
        <w:t xml:space="preserve">3.1 One representation for every endpoint</w:t>
      </w:r>
    </w:p>
    <w:p>
      <w:pPr>
        <w:pStyle w:val="FirstParagraph"/>
      </w:pPr>
      <w:r>
        <w:t xml:space="preserve">A compound enters this system once and leaves as a fixed vector of</w:t>
      </w:r>
      <w:r>
        <w:t xml:space="preserve"> </w:t>
      </w:r>
      <w:r>
        <w:rPr>
          <w:b/>
          <w:bCs/>
        </w:rPr>
        <w:t xml:space="preserve">1,036 columns</w:t>
      </w:r>
      <w:r>
        <w:t xml:space="preserve">, verified</w:t>
      </w:r>
      <w:r>
        <w:t xml:space="preserve"> </w:t>
      </w:r>
      <w:r>
        <w:t xml:space="preserve">directly from</w:t>
      </w:r>
      <w:r>
        <w:t xml:space="preserve"> </w:t>
      </w:r>
      <w:r>
        <w:rPr>
          <w:rStyle w:val="VerbatimChar"/>
        </w:rPr>
        <w:t xml:space="preserve">src/brainsafe/features/featurize.py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1,024 bits</w:t>
      </w:r>
      <w:r>
        <w:t xml:space="preserve"> </w:t>
      </w:r>
      <w:r>
        <w:t xml:space="preserve">of a folded ECFP-4 fingerprint [10], Morgan radius 2. Bit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is set when some atom</w:t>
      </w:r>
      <w:r>
        <w:t xml:space="preserve"> </w:t>
      </w:r>
      <w:r>
        <w:t xml:space="preserve">environment of radius at most 2 hashes to</w:t>
      </w:r>
      <w:r>
        <w:t xml:space="preserve"> </w:t>
      </w:r>
      <w:r>
        <w:rPr>
          <w:i/>
          <w:iCs/>
        </w:rPr>
        <w:t xml:space="preserve">j</w:t>
      </w:r>
      <w:r>
        <w:t xml:space="preserve"> </w:t>
      </w:r>
      <w:r>
        <w:t xml:space="preserve">modulo 1,024. Folding is not injective, so a set bit</w:t>
      </w:r>
      <w:r>
        <w:t xml:space="preserve"> </w:t>
      </w:r>
      <w:r>
        <w:t xml:space="preserve">says that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environment hashing there is present, not which one.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12 descriptors</w:t>
      </w:r>
      <w:r>
        <w:t xml:space="preserve">, in this order: molecular weight, cLogP, topological polar surface area,</w:t>
      </w:r>
      <w:r>
        <w:t xml:space="preserve"> </w:t>
      </w:r>
      <w:r>
        <w:t xml:space="preserve">hydrogen-bond donors, hydrogen-bond acceptors, rotatable bonds, aromatic rings, fraction sp³, ring</w:t>
      </w:r>
      <w:r>
        <w:t xml:space="preserve"> </w:t>
      </w:r>
      <w:r>
        <w:t xml:space="preserve">count, heavy atoms, formal charge, and QED.</w:t>
      </w:r>
    </w:p>
    <w:p>
      <w:pPr>
        <w:pStyle w:val="FirstParagraph"/>
      </w:pPr>
      <w:r>
        <w:t xml:space="preserve">Nothing is shared between endpoints except this map. Two models that disagree about a compound</w:t>
      </w:r>
      <w:r>
        <w:t xml:space="preserve"> </w:t>
      </w:r>
      <w:r>
        <w:t xml:space="preserve">disagree about the same 1,036 numbers, which is what makes the panel comparable at all, and it is why</w:t>
      </w:r>
      <w:r>
        <w:t xml:space="preserve"> </w:t>
      </w:r>
      <w:r>
        <w:t xml:space="preserve">a defect in the featuriser would be a defect in seventy models at once.</w:t>
      </w:r>
    </w:p>
    <w:p>
      <w:pPr>
        <w:pStyle w:val="BodyText"/>
      </w:pPr>
      <w:r>
        <w:t xml:space="preserve">The choice of a fingerprint plus a handful of physicochemical descriptors, rather than a learned</w:t>
      </w:r>
      <w:r>
        <w:t xml:space="preserve"> </w:t>
      </w:r>
      <w:r>
        <w:t xml:space="preserve">representation, is defended in section 3.9 by measurement rather than by preference.</w:t>
      </w:r>
    </w:p>
    <w:bookmarkEnd w:id="9"/>
    <w:bookmarkStart w:id="10" w:name="X17924ef139da68e9db3abcb97a0b725d1c2f6af"/>
    <w:p>
      <w:pPr>
        <w:pStyle w:val="Heading2"/>
      </w:pPr>
      <w:r>
        <w:t xml:space="preserve">3.2 Standardisation, and why neutralisation belongs in the representation</w:t>
      </w:r>
    </w:p>
    <w:p>
      <w:pPr>
        <w:pStyle w:val="FirstParagraph"/>
      </w:pPr>
      <w:r>
        <w:t xml:space="preserve">Before featurisation a structure is reduced to its largest organic fragment, sanitised, and</w:t>
      </w:r>
      <w:r>
        <w:t xml:space="preserve"> </w:t>
      </w:r>
      <w:r>
        <w:t xml:space="preserve">neutralised. The third step is the one that needs arguing, because it looks like housekeeping and is</w:t>
      </w:r>
      <w:r>
        <w:t xml:space="preserve"> </w:t>
      </w:r>
      <w:r>
        <w:t xml:space="preserve">not.</w:t>
      </w:r>
    </w:p>
    <w:p>
      <w:pPr>
        <w:pStyle w:val="BodyText"/>
      </w:pPr>
      <w:r>
        <w:t xml:space="preserve">A drug and its salt must give the same answer. A user who pastes haloperidol hydrochloride and a user</w:t>
      </w:r>
      <w:r>
        <w:t xml:space="preserve"> </w:t>
      </w:r>
      <w:r>
        <w:t xml:space="preserve">who pastes haloperidol are asking one question. Stripping the counter-ion alone does not achieve</w:t>
      </w:r>
      <w:r>
        <w:t xml:space="preserve"> </w:t>
      </w:r>
      <w:r>
        <w:t xml:space="preserve">this: it leaves the parent carrying the charge the salt gave it, so the two forms differ in the</w:t>
      </w:r>
      <w:r>
        <w:t xml:space="preserve"> </w:t>
      </w:r>
      <w:r>
        <w:rPr>
          <w:rStyle w:val="VerbatimChar"/>
        </w:rPr>
        <w:t xml:space="preserve">formal_charge</w:t>
      </w:r>
      <w:r>
        <w:t xml:space="preserve"> </w:t>
      </w:r>
      <w:r>
        <w:t xml:space="preserve">descriptor and, through the hashed environments around the protonated nitrogen, in</w:t>
      </w:r>
      <w:r>
        <w:t xml:space="preserve"> </w:t>
      </w:r>
      <w:r>
        <w:t xml:space="preserve">the fingerprint as well.</w:t>
      </w:r>
    </w:p>
    <w:p>
      <w:pPr>
        <w:pStyle w:val="BodyText"/>
      </w:pPr>
      <w:r>
        <w:t xml:space="preserve">I verified the current pipeline directly rather than taking this on trust. Submitting both forms of</w:t>
      </w:r>
      <w:r>
        <w:t xml:space="preserve"> </w:t>
      </w:r>
      <w:r>
        <w:t xml:space="preserve">haloperidol gives</w:t>
      </w:r>
      <w:r>
        <w:t xml:space="preserve"> </w:t>
      </w:r>
      <w:r>
        <w:rPr>
          <w:b/>
          <w:bCs/>
        </w:rPr>
        <w:t xml:space="preserve">byte-identical feature vectors</w:t>
      </w:r>
      <w:r>
        <w:t xml:space="preserve">, and the deployed models return</w:t>
      </w:r>
      <w:r>
        <w:t xml:space="preserve"> </w:t>
      </w:r>
      <w:r>
        <w:rPr>
          <w:b/>
          <w:bCs/>
        </w:rPr>
        <w:t xml:space="preserve">identical</w:t>
      </w:r>
      <w:r>
        <w:rPr>
          <w:b/>
          <w:bCs/>
        </w:rPr>
        <w:t xml:space="preserve"> </w:t>
      </w:r>
      <w:r>
        <w:rPr>
          <w:b/>
          <w:bCs/>
        </w:rPr>
        <w:t xml:space="preserve">probabilities: 0.9888 at the barrier and 0.8216 at hERG for both</w:t>
      </w:r>
      <w:r>
        <w:t xml:space="preserve">. The standardiser does what it</w:t>
      </w:r>
      <w:r>
        <w:t xml:space="preserve"> </w:t>
      </w:r>
      <w:r>
        <w:t xml:space="preserve">claims.</w:t>
      </w:r>
    </w:p>
    <w:p>
      <w:pPr>
        <w:pStyle w:val="BodyText"/>
      </w:pPr>
      <w:r>
        <w:t xml:space="preserve">The distinction the rule has to preserve is between a protonation state and a permanent charge. A</w:t>
      </w:r>
      <w:r>
        <w:t xml:space="preserve"> </w:t>
      </w:r>
      <w:r>
        <w:t xml:space="preserve">protonated amine deposited as a hydrochloride is an artefact of how the compound was crystallised and</w:t>
      </w:r>
      <w:r>
        <w:t xml:space="preserve"> </w:t>
      </w:r>
      <w:r>
        <w:t xml:space="preserve">is undone. A quaternary ammonium’s charge is a property of the molecule and is precisely what stops</w:t>
      </w:r>
      <w:r>
        <w:t xml:space="preserve"> </w:t>
      </w:r>
      <w:r>
        <w:t xml:space="preserve">it crossing the barrier, so it is kept. Both behaviours were confirmed: neostigmine retains a formal</w:t>
      </w:r>
      <w:r>
        <w:t xml:space="preserve"> </w:t>
      </w:r>
      <w:r>
        <w:t xml:space="preserve">charge of +1 through standardisation, while a protonated trialkylamine salt is returned neutral.</w:t>
      </w:r>
    </w:p>
    <w:p>
      <w:pPr>
        <w:pStyle w:val="BodyText"/>
      </w:pPr>
      <w:r>
        <w:t xml:space="preserve">The rule fires rarely and matters when it does. Across the 228,198 parseable training structures,</w:t>
      </w:r>
      <w:r>
        <w:t xml:space="preserve"> </w:t>
      </w:r>
      <w:r>
        <w:t xml:space="preserve">neutralisation changes</w:t>
      </w:r>
      <w:r>
        <w:t xml:space="preserve"> </w:t>
      </w:r>
      <w:r>
        <w:rPr>
          <w:b/>
          <w:bCs/>
        </w:rPr>
        <w:t xml:space="preserve">207 rows, 0.091 per cent</w:t>
      </w:r>
      <w:r>
        <w:t xml:space="preserve">, touching 28 of the 63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results/tables/uncharging_impact_by_endpoint.csv</w:t>
      </w:r>
      <w:r>
        <w:t xml:space="preserve">). DHODH is the most affected at 65 of 2,079 rows,</w:t>
      </w:r>
      <w:r>
        <w:t xml:space="preserve"> </w:t>
      </w:r>
      <w:r>
        <w:t xml:space="preserve">3.13 per cent. A rule that alters one row in a thousand is easy to dismiss, and the reason it is not</w:t>
      </w:r>
      <w:r>
        <w:t xml:space="preserve"> </w:t>
      </w:r>
      <w:r>
        <w:t xml:space="preserve">dismissed here is that its failures are concentrated exactly where a user is most likely to submit a</w:t>
      </w:r>
      <w:r>
        <w:t xml:space="preserve"> </w:t>
      </w:r>
      <w:r>
        <w:t xml:space="preserve">salt form, which is an approved drug.</w:t>
      </w:r>
    </w:p>
    <w:p>
      <w:pPr>
        <w:pStyle w:val="BodyText"/>
      </w:pPr>
      <w:r>
        <w:rPr>
          <w:b/>
          <w:bCs/>
        </w:rPr>
        <w:t xml:space="preserve">One correction to the project’s own documents.</w:t>
      </w:r>
      <w:r>
        <w:t xml:space="preserve"> </w:t>
      </w:r>
      <w:r>
        <w:t xml:space="preserve">The technical report and the manuscript both</w:t>
      </w:r>
      <w:r>
        <w:t xml:space="preserve"> </w:t>
      </w:r>
      <w:r>
        <w:t xml:space="preserve">motivate this rule with the figures 0.613 against 0.993 for the barrier and 0.295 against 0.914 for</w:t>
      </w:r>
      <w:r>
        <w:t xml:space="preserve"> </w:t>
      </w:r>
      <w:r>
        <w:t xml:space="preserve">hERG. Those numbers describe the behaviour of an</w:t>
      </w:r>
      <w:r>
        <w:t xml:space="preserve"> </w:t>
      </w:r>
      <w:r>
        <w:rPr>
          <w:b/>
          <w:bCs/>
        </w:rPr>
        <w:t xml:space="preserve">earlier engine, before neutralisation was part of</w:t>
      </w:r>
      <w:r>
        <w:rPr>
          <w:b/>
          <w:bCs/>
        </w:rPr>
        <w:t xml:space="preserve"> </w:t>
      </w:r>
      <w:r>
        <w:rPr>
          <w:b/>
          <w:bCs/>
        </w:rPr>
        <w:t xml:space="preserve">the representation</w:t>
      </w:r>
      <w:r>
        <w:t xml:space="preserve">. The technical report says so; the manuscript does not, and reads as though the</w:t>
      </w:r>
      <w:r>
        <w:t xml:space="preserve"> </w:t>
      </w:r>
      <w:r>
        <w:t xml:space="preserve">deployed server still behaves that way. It does not. The honest form of the claim is that the defect</w:t>
      </w:r>
      <w:r>
        <w:t xml:space="preserve"> </w:t>
      </w:r>
      <w:r>
        <w:t xml:space="preserve">was real, was measured at those values on the models then deployed, and is now absent, with the</w:t>
      </w:r>
      <w:r>
        <w:t xml:space="preserve"> </w:t>
      </w:r>
      <w:r>
        <w:t xml:space="preserve">current pipeline returning identical vectors and identical probabilities for both forms.</w:t>
      </w:r>
    </w:p>
    <w:bookmarkEnd w:id="10"/>
    <w:bookmarkStart w:id="11" w:name="X8557406236b385a1db76f4863cd035524287a5c"/>
    <w:p>
      <w:pPr>
        <w:pStyle w:val="Heading2"/>
      </w:pPr>
      <w:r>
        <w:t xml:space="preserve">3.3 What the representation deliberately discards</w:t>
      </w:r>
    </w:p>
    <w:p>
      <w:pPr>
        <w:pStyle w:val="FirstParagraph"/>
      </w:pPr>
      <w:r>
        <w:t xml:space="preserve">Chirality is excluded from the hash, so two enantiomers produce identical rows. This is the sharpest</w:t>
      </w:r>
      <w:r>
        <w:t xml:space="preserve"> </w:t>
      </w:r>
      <w:r>
        <w:t xml:space="preserve">criticism available against a CNS panel and Chapter 10 bounds what it costs, at 0.19 per cent of the</w:t>
      </w:r>
      <w:r>
        <w:t xml:space="preserve"> </w:t>
      </w:r>
      <w:r>
        <w:t xml:space="preserve">panel where a stereochemical distinction could change a class call.</w:t>
      </w:r>
    </w:p>
    <w:p>
      <w:pPr>
        <w:pStyle w:val="BodyText"/>
      </w:pPr>
      <w:r>
        <w:t xml:space="preserve">It has an immediate structural consequence that belongs here rather than in the limitations. Because</w:t>
      </w:r>
      <w:r>
        <w:t xml:space="preserve"> </w:t>
      </w:r>
      <w:r>
        <w:t xml:space="preserve">enantiomers collide, rows identical in feature space must be collapsed before any split is drawn, or</w:t>
      </w:r>
      <w:r>
        <w:t xml:space="preserve"> </w:t>
      </w:r>
      <w:r>
        <w:t xml:space="preserve">a model is tested on a compound it was trained on. The scale is visible in the model metadata: the</w:t>
      </w:r>
      <w:r>
        <w:t xml:space="preserve"> </w:t>
      </w:r>
      <w:r>
        <w:t xml:space="preserve">barrier endpoint enters with 7,805 rows, sheds</w:t>
      </w:r>
      <w:r>
        <w:t xml:space="preserve"> </w:t>
      </w:r>
      <w:r>
        <w:rPr>
          <w:b/>
          <w:bCs/>
        </w:rPr>
        <w:t xml:space="preserve">3,773 duplicate rows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131 conflicting groups</w:t>
      </w:r>
      <w:r>
        <w:t xml:space="preserve"> </w:t>
      </w:r>
      <w:r>
        <w:t xml:space="preserve">whose members disagree about the label, and leaves with</w:t>
      </w:r>
      <w:r>
        <w:t xml:space="preserve"> </w:t>
      </w:r>
      <w:r>
        <w:rPr>
          <w:b/>
          <w:bCs/>
        </w:rPr>
        <w:t xml:space="preserve">3,901</w:t>
      </w:r>
      <w:r>
        <w:t xml:space="preserve"> </w:t>
      </w:r>
      <w:r>
        <w:t xml:space="preserve">(</w:t>
      </w:r>
      <w:r>
        <w:rPr>
          <w:rStyle w:val="VerbatimChar"/>
        </w:rPr>
        <w:t xml:space="preserve">models_rf/BBB_meta.json</w:t>
      </w:r>
      <w:r>
        <w:t xml:space="preserve">).</w:t>
      </w:r>
      <w:r>
        <w:t xml:space="preserve"> </w:t>
      </w:r>
      <w:r>
        <w:t xml:space="preserve">Conflicting groups are dropped rather than resolved by vote, because the featuriser cannot tell their</w:t>
      </w:r>
      <w:r>
        <w:t xml:space="preserve"> </w:t>
      </w:r>
      <w:r>
        <w:t xml:space="preserve">members apart and a vote would be inventing an answer. Chapter 2 gives the panel-wide figures.</w:t>
      </w:r>
    </w:p>
    <w:p>
      <w:pPr>
        <w:pStyle w:val="BodyText"/>
      </w:pPr>
      <w:r>
        <w:t xml:space="preserve">The barrier endpoint loses nearly half its rows to this. That is not a defect in the data; it is the</w:t>
      </w:r>
      <w:r>
        <w:t xml:space="preserve"> </w:t>
      </w:r>
      <w:r>
        <w:t xml:space="preserve">price of a stereo-blind representation, paid openly at the featurisation boundary rather than</w:t>
      </w:r>
      <w:r>
        <w:t xml:space="preserve"> </w:t>
      </w:r>
      <w:r>
        <w:t xml:space="preserve">concealed inside an inflated cross-validation score.</w:t>
      </w:r>
    </w:p>
    <w:bookmarkEnd w:id="11"/>
    <w:bookmarkStart w:id="12" w:name="do-both-blocks-earn-their-place"/>
    <w:p>
      <w:pPr>
        <w:pStyle w:val="Heading2"/>
      </w:pPr>
      <w:r>
        <w:t xml:space="preserve">3.4 Do both blocks earn their place?</w:t>
      </w:r>
    </w:p>
    <w:p>
      <w:pPr>
        <w:pStyle w:val="FirstParagraph"/>
      </w:pPr>
      <w:r>
        <w:t xml:space="preserve">The 1,036 columns are two blocks of very different character, and each was tested alone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results/tables/feature_block_ablation.csv</w:t>
      </w:r>
      <w:r>
        <w:t xml:space="preserve">).</w:t>
      </w:r>
    </w:p>
    <w:p>
      <w:pPr>
        <w:pStyle w:val="BodyText"/>
      </w:pPr>
      <w:r>
        <w:t xml:space="preserve">Across the thirteen endpoints, the combination is best on</w:t>
      </w:r>
      <w:r>
        <w:t xml:space="preserve"> </w:t>
      </w:r>
      <w:r>
        <w:rPr>
          <w:b/>
          <w:bCs/>
        </w:rPr>
        <w:t xml:space="preserve">9</w:t>
      </w:r>
      <w:r>
        <w:t xml:space="preserve">, the fingerprint alone on</w:t>
      </w:r>
      <w:r>
        <w:t xml:space="preserve"> </w:t>
      </w:r>
      <w:r>
        <w:rPr>
          <w:b/>
          <w:bCs/>
        </w:rPr>
        <w:t xml:space="preserve">4</w:t>
      </w:r>
      <w:r>
        <w:t xml:space="preserve">, and</w:t>
      </w:r>
      <w:r>
        <w:t xml:space="preserve"> </w:t>
      </w:r>
      <w:r>
        <w:t xml:space="preserve">the descriptors alone on</w:t>
      </w:r>
      <w:r>
        <w:t xml:space="preserve"> </w:t>
      </w:r>
      <w:r>
        <w:rPr>
          <w:b/>
          <w:bCs/>
        </w:rPr>
        <w:t xml:space="preserve">none</w:t>
      </w:r>
      <w:r>
        <w:t xml:space="preserve">. But the margin is thin. Over the eight classification endpoints</w:t>
      </w:r>
      <w:r>
        <w:t xml:space="preserve"> </w:t>
      </w:r>
      <w:r>
        <w:t xml:space="preserve">the combined representation beats the fingerprint alone by a mean of</w:t>
      </w:r>
      <w:r>
        <w:t xml:space="preserve"> </w:t>
      </w:r>
      <w:r>
        <w:rPr>
          <w:b/>
          <w:bCs/>
        </w:rPr>
        <w:t xml:space="preserve">+0.0026</w:t>
      </w:r>
      <w:r>
        <w:t xml:space="preserve"> </w:t>
      </w:r>
      <w:r>
        <w:t xml:space="preserve">AUROC. Over the five</w:t>
      </w:r>
      <w:r>
        <w:t xml:space="preserve"> </w:t>
      </w:r>
      <w:r>
        <w:t xml:space="preserve">regressions it is</w:t>
      </w:r>
      <w:r>
        <w:t xml:space="preserve"> </w:t>
      </w:r>
      <w:r>
        <w:rPr>
          <w:b/>
          <w:bCs/>
        </w:rPr>
        <w:t xml:space="preserve">worse</w:t>
      </w:r>
      <w:r>
        <w:t xml:space="preserve"> </w:t>
      </w:r>
      <w:r>
        <w:t xml:space="preserve">by a mean of</w:t>
      </w:r>
      <w:r>
        <w:t xml:space="preserve"> </w:t>
      </w:r>
      <w:r>
        <w:rPr>
          <w:b/>
          <w:bCs/>
        </w:rPr>
        <w:t xml:space="preserve">-0.0004</w:t>
      </w:r>
      <w:r>
        <w:t xml:space="preserve">.</w:t>
      </w:r>
    </w:p>
    <w:p>
      <w:pPr>
        <w:pStyle w:val="BodyText"/>
      </w:pPr>
      <w:r>
        <w:t xml:space="preserve">The fingerprint carries almost all of the signal. The descriptors are close to free and are retained,</w:t>
      </w:r>
      <w:r>
        <w:t xml:space="preserve"> </w:t>
      </w:r>
      <w:r>
        <w:t xml:space="preserve">but a reader should not be told they are doing heavy work.</w:t>
      </w:r>
    </w:p>
    <w:p>
      <w:pPr>
        <w:pStyle w:val="BodyText"/>
      </w:pPr>
      <w:r>
        <w:t xml:space="preserve">Where they do earn their place is more specific than the project’s documents currently say. The</w:t>
      </w:r>
      <w:r>
        <w:t xml:space="preserve"> </w:t>
      </w:r>
      <w:r>
        <w:t xml:space="preserve">useful comparison is not how much the descriptors add to the fingerprint but how close they come to</w:t>
      </w:r>
      <w:r>
        <w:t xml:space="preserve"> </w:t>
      </w:r>
      <w:r>
        <w:t xml:space="preserve">it alone, because that measures whether physicochemistry is the mechanism. At the barrier endpoint</w:t>
      </w:r>
      <w:r>
        <w:t xml:space="preserve"> </w:t>
      </w:r>
      <w:r>
        <w:t xml:space="preserve">the descriptors alone reach 0.9498 against 0.9556 for the fingerprint, a gap of</w:t>
      </w:r>
      <w:r>
        <w:t xml:space="preserve"> </w:t>
      </w:r>
      <w:r>
        <w:rPr>
          <w:b/>
          <w:bCs/>
        </w:rPr>
        <w:t xml:space="preserve">0.006</w:t>
      </w:r>
      <w:r>
        <w:t xml:space="preserve">. At GSK-3β</w:t>
      </w:r>
      <w:r>
        <w:t xml:space="preserve"> </w:t>
      </w:r>
      <w:r>
        <w:t xml:space="preserve">the same comparison is 0.8779 against 0.9644, a gap of</w:t>
      </w:r>
      <w:r>
        <w:t xml:space="preserve"> </w:t>
      </w:r>
      <w:r>
        <w:rPr>
          <w:b/>
          <w:bCs/>
        </w:rPr>
        <w:t xml:space="preserve">0.087</w:t>
      </w:r>
      <w:r>
        <w:t xml:space="preserve">. Twelve numbers nearly suffice to</w:t>
      </w:r>
      <w:r>
        <w:t xml:space="preserve"> </w:t>
      </w:r>
      <w:r>
        <w:t xml:space="preserve">predict whether a compound crosses the blood-brain barrier, and come nowhere near predicting whether</w:t>
      </w:r>
      <w:r>
        <w:t xml:space="preserve"> </w:t>
      </w:r>
      <w:r>
        <w:t xml:space="preserve">it inhibits a kinase. That is the expected result if barrier penetration is governed by</w:t>
      </w:r>
      <w:r>
        <w:t xml:space="preserve"> </w:t>
      </w:r>
      <w:r>
        <w:t xml:space="preserve">physicochemistry and target binding by substructure, and it is a cleaner statement of the same</w:t>
      </w:r>
      <w:r>
        <w:t xml:space="preserve"> </w:t>
      </w:r>
      <w:r>
        <w:t xml:space="preserve">intuition.</w:t>
      </w:r>
    </w:p>
    <w:p>
      <w:pPr>
        <w:pStyle w:val="BodyText"/>
      </w:pPr>
      <w:r>
        <w:rPr>
          <w:b/>
          <w:bCs/>
        </w:rPr>
        <w:t xml:space="preserve">A correction.</w:t>
      </w:r>
      <w:r>
        <w:t xml:space="preserve"> </w:t>
      </w:r>
      <w:r>
        <w:t xml:space="preserve">The technical report says the descriptors</w:t>
      </w:r>
      <w:r>
        <w:t xml:space="preserve"> </w:t>
      </w:r>
      <w:r>
        <w:t xml:space="preserve">“earn their place mainly on the exposure</w:t>
      </w:r>
      <w:r>
        <w:t xml:space="preserve"> </w:t>
      </w:r>
      <w:r>
        <w:t xml:space="preserve">endpoints”</w:t>
      </w:r>
      <w:r>
        <w:t xml:space="preserve">. Under the reading above, that is right. Under the more natural reading, how much the</w:t>
      </w:r>
      <w:r>
        <w:t xml:space="preserve"> </w:t>
      </w:r>
      <w:r>
        <w:t xml:space="preserve">descriptors add to the fingerprint, it is not: the largest gain is at hERG, at +0.0072, ahead of</w:t>
      </w:r>
      <w:r>
        <w:t xml:space="preserve"> </w:t>
      </w:r>
      <w:r>
        <w:t xml:space="preserve">MAO-B at +0.0037 and the barrier model at +0.0030. The sentence should say which quantity it means.</w:t>
      </w:r>
    </w:p>
    <w:p>
      <w:pPr>
        <w:pStyle w:val="BodyText"/>
      </w:pPr>
      <w:r>
        <w:t xml:space="preserve">Two caveats travel with this table and both are already recorded in the technical report. It uses</w:t>
      </w:r>
      <w:r>
        <w:t xml:space="preserve"> </w:t>
      </w:r>
      <w:r>
        <w:t xml:space="preserve">five-fold random cross-validation, not the ten-fold random and scaffold-grouped regimes of the</w:t>
      </w:r>
      <w:r>
        <w:t xml:space="preserve"> </w:t>
      </w:r>
      <w:r>
        <w:t xml:space="preserve">headline figures, so its absolute values are not comparable with Chapter 8. And it predates</w:t>
      </w:r>
      <w:r>
        <w:t xml:space="preserve"> </w:t>
      </w:r>
      <w:r>
        <w:t xml:space="preserve">deduplication, which inflates the barrier endpoint specifically: measured against the deployed panel,</w:t>
      </w:r>
      <w:r>
        <w:t xml:space="preserve"> </w:t>
      </w:r>
      <w:r>
        <w:t xml:space="preserve">seven of the eight classifiers agree to within 0.011 AUROC while the barrier model reads 0.060 high,</w:t>
      </w:r>
      <w:r>
        <w:t xml:space="preserve"> </w:t>
      </w:r>
      <w:r>
        <w:t xml:space="preserve">that endpoint being where the feature-identical duplicates concentrate. The comparison the table</w:t>
      </w:r>
      <w:r>
        <w:t xml:space="preserve"> </w:t>
      </w:r>
      <w:r>
        <w:t xml:space="preserve">exists to make, between blocks on identical data, is unaffected, because whatever inflates one block</w:t>
      </w:r>
      <w:r>
        <w:t xml:space="preserve"> </w:t>
      </w:r>
      <w:r>
        <w:t xml:space="preserve">inflates all three.</w:t>
      </w:r>
    </w:p>
    <w:p>
      <w:pPr>
        <w:pStyle w:val="BodyText"/>
      </w:pPr>
      <w:r>
        <w:t xml:space="preserve">Per-descriptor permutation importance across thirteen endpoints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results/tables/feature_descriptor_importance.csv</w:t>
      </w:r>
      <w:r>
        <w:t xml:space="preserve">) puts topological polar surface area at the top,</w:t>
      </w:r>
      <w:r>
        <w:t xml:space="preserve"> </w:t>
      </w:r>
      <w:r>
        <w:t xml:space="preserve">informative at 12 of the 13, followed by cLogP and hydrogen-bond donors at 11 each. Formal charge is</w:t>
      </w:r>
      <w:r>
        <w:t xml:space="preserve"> </w:t>
      </w:r>
      <w:r>
        <w:t xml:space="preserve">informative at only 3, which is consistent with section 3.2: it matters intensely for the few</w:t>
      </w:r>
      <w:r>
        <w:t xml:space="preserve"> </w:t>
      </w:r>
      <w:r>
        <w:t xml:space="preserve">compounds that carry a permanent charge and not at all for the rest. No descriptor is uninformative</w:t>
      </w:r>
      <w:r>
        <w:t xml:space="preserve"> </w:t>
      </w:r>
      <w:r>
        <w:t xml:space="preserve">everywhere, which is the weak justification for keeping all twelve.</w:t>
      </w:r>
    </w:p>
    <w:bookmarkEnd w:id="12"/>
    <w:bookmarkStart w:id="13" w:name="the-estimator"/>
    <w:p>
      <w:pPr>
        <w:pStyle w:val="Heading2"/>
      </w:pPr>
      <w:r>
        <w:t xml:space="preserve">3.5 The estimator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random forest</w:t>
      </w:r>
      <w:r>
        <w:t xml:space="preserve"> </w:t>
      </w:r>
      <w:r>
        <w:t xml:space="preserve">[4] is fitted per endpoint, with hyperparameters read from the model metadata</w:t>
      </w:r>
      <w:r>
        <w:t xml:space="preserve"> </w:t>
      </w:r>
      <w:r>
        <w:t xml:space="preserve">rather than from the prose:</w:t>
      </w:r>
      <w:r>
        <w:t xml:space="preserve"> </w:t>
      </w:r>
      <w:r>
        <w:rPr>
          <w:b/>
          <w:bCs/>
        </w:rPr>
        <w:t xml:space="preserve">300 trees</w:t>
      </w:r>
      <w:r>
        <w:t xml:space="preserve">,</w:t>
      </w:r>
      <w:r>
        <w:t xml:space="preserve"> </w:t>
      </w:r>
      <w:r>
        <w:rPr>
          <w:rStyle w:val="VerbatimChar"/>
        </w:rPr>
        <w:t xml:space="preserve">min_samples_leaf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for the core classifiers and 4 for</w:t>
      </w:r>
      <w:r>
        <w:t xml:space="preserve"> </w:t>
      </w:r>
      <w:r>
        <w:t xml:space="preserve">the binder panel,</w:t>
      </w:r>
      <w:r>
        <w:t xml:space="preserve"> </w:t>
      </w:r>
      <w:r>
        <w:rPr>
          <w:rStyle w:val="VerbatimChar"/>
        </w:rPr>
        <w:t xml:space="preserve">class_weight="balanced"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random_state=42</w:t>
      </w:r>
      <w:r>
        <w:t xml:space="preserve">. Trees are grown on bootstrap</w:t>
      </w:r>
      <w:r>
        <w:t xml:space="preserve"> </w:t>
      </w:r>
      <w:r>
        <w:t xml:space="preserve">resamples considering ⌊√1036⌋ = 32 features per split.</w:t>
      </w:r>
    </w:p>
    <w:p>
      <w:pPr>
        <w:pStyle w:val="BodyText"/>
      </w:pPr>
      <w:r>
        <w:t xml:space="preserve">A forest averages the votes of many decision trees, each grown on a resample of the rows and each</w:t>
      </w:r>
      <w:r>
        <w:t xml:space="preserve"> </w:t>
      </w:r>
      <w:r>
        <w:t xml:space="preserve">choosing among a random subset of features at every split. The variance a single deep tree would have</w:t>
      </w:r>
      <w:r>
        <w:t xml:space="preserve"> </w:t>
      </w:r>
      <w:r>
        <w:t xml:space="preserve">is averaged away. Three properties suit this problem, and only the first is about accuracy.</w:t>
      </w:r>
    </w:p>
    <w:p>
      <w:pPr>
        <w:pStyle w:val="BodyText"/>
      </w:pPr>
      <w:r>
        <w:rPr>
          <w:b/>
          <w:bCs/>
        </w:rPr>
        <w:t xml:space="preserve">It handles the representation as it is.</w:t>
      </w:r>
      <w:r>
        <w:t xml:space="preserve"> </w:t>
      </w:r>
      <w:r>
        <w:t xml:space="preserve">A sparse binary fingerprint sits beside twelve continuous</w:t>
      </w:r>
      <w:r>
        <w:t xml:space="preserve"> </w:t>
      </w:r>
      <w:r>
        <w:t xml:space="preserve">descriptors on wildly different scales, and a tree ensemble needs no scaling, no imputation and no</w:t>
      </w:r>
      <w:r>
        <w:t xml:space="preserve"> </w:t>
      </w:r>
      <w:r>
        <w:t xml:space="preserve">encoding to use both.</w:t>
      </w:r>
    </w:p>
    <w:p>
      <w:pPr>
        <w:pStyle w:val="BodyText"/>
      </w:pPr>
      <w:r>
        <w:rPr>
          <w:b/>
          <w:bCs/>
        </w:rPr>
        <w:t xml:space="preserve">It does not extrapolate.</w:t>
      </w:r>
      <w:r>
        <w:t xml:space="preserve"> </w:t>
      </w:r>
      <w:r>
        <w:t xml:space="preserve">A forest’s prediction is an average of training labels, so it cannot</w:t>
      </w:r>
      <w:r>
        <w:t xml:space="preserve"> </w:t>
      </w:r>
      <w:r>
        <w:t xml:space="preserve">return a value outside the range it has seen. For a system whose central honest claim is that it</w:t>
      </w:r>
      <w:r>
        <w:t xml:space="preserve"> </w:t>
      </w:r>
      <w:r>
        <w:t xml:space="preserve">behaves predictably at the edge of its applicability domain, refusing to extrapolate is the correct</w:t>
      </w:r>
      <w:r>
        <w:t xml:space="preserve"> </w:t>
      </w:r>
      <w:r>
        <w:t xml:space="preserve">behaviour rather than a weakness. A boosted model with a linear leaf, or a neural network, will</w:t>
      </w:r>
      <w:r>
        <w:t xml:space="preserve"> </w:t>
      </w:r>
      <w:r>
        <w:t xml:space="preserve">happily produce confident nonsense off the manifold.</w:t>
      </w:r>
    </w:p>
    <w:p>
      <w:pPr>
        <w:pStyle w:val="BodyText"/>
      </w:pPr>
      <w:r>
        <w:rPr>
          <w:b/>
          <w:bCs/>
        </w:rPr>
        <w:t xml:space="preserve">It is exactly explainable.</w:t>
      </w:r>
      <w:r>
        <w:t xml:space="preserve"> </w:t>
      </w:r>
      <w:r>
        <w:t xml:space="preserve">TreeSHAP [24] computes exact Shapley values for a tree ensemble in</w:t>
      </w:r>
      <w:r>
        <w:t xml:space="preserve"> </w:t>
      </w:r>
      <w:r>
        <w:t xml:space="preserve">polynomial time. For most other model families the same explanation is an approximation, and an</w:t>
      </w:r>
      <w:r>
        <w:t xml:space="preserve"> </w:t>
      </w:r>
      <w:r>
        <w:t xml:space="preserve">explanation a user cannot check is a liability in a tool of this kind.</w:t>
      </w:r>
    </w:p>
    <w:p>
      <w:pPr>
        <w:pStyle w:val="BodyText"/>
      </w:pPr>
      <w:r>
        <w:t xml:space="preserve">Class weighting is not decorative. Chapter 2 records a median active fraction of 0.825 across the</w:t>
      </w:r>
      <w:r>
        <w:t xml:space="preserve"> </w:t>
      </w:r>
      <w:r>
        <w:t xml:space="preserve">deployed endpoints, reaching 0.962 at P2X7. Without weighting, answering</w:t>
      </w:r>
      <w:r>
        <w:t xml:space="preserve"> </w:t>
      </w:r>
      <w:r>
        <w:t xml:space="preserve">“active”</w:t>
      </w:r>
      <w:r>
        <w:t xml:space="preserve"> </w:t>
      </w:r>
      <w:r>
        <w:t xml:space="preserve">at P2X7 scores</w:t>
      </w:r>
      <w:r>
        <w:t xml:space="preserve"> </w:t>
      </w:r>
      <w:r>
        <w:t xml:space="preserve">0.962 accuracy, and the forest would have every incentive to do so.</w:t>
      </w:r>
    </w:p>
    <w:bookmarkEnd w:id="13"/>
    <w:bookmarkStart w:id="14" w:name="the-model-family-comparison"/>
    <w:p>
      <w:pPr>
        <w:pStyle w:val="Heading2"/>
      </w:pPr>
      <w:r>
        <w:t xml:space="preserve">3.6 The model-family comparison</w:t>
      </w:r>
    </w:p>
    <w:p>
      <w:pPr>
        <w:pStyle w:val="FirstParagraph"/>
      </w:pPr>
      <w:r>
        <w:t xml:space="preserve">Five families were compared under identical five-fold cross-validation on both split regimes, over</w:t>
      </w:r>
      <w:r>
        <w:t xml:space="preserve"> </w:t>
      </w:r>
      <w:r>
        <w:t xml:space="preserve">thirteen endpoints (</w:t>
      </w:r>
      <w:r>
        <w:rPr>
          <w:rStyle w:val="VerbatimChar"/>
        </w:rPr>
        <w:t xml:space="preserve">results/tables/model_comparison.csv</w:t>
      </w:r>
      <w:r>
        <w:t xml:space="preserve">). Two are baselines a reader is entitled to</w:t>
      </w:r>
      <w:r>
        <w:t xml:space="preserve"> </w:t>
      </w:r>
      <w:r>
        <w:t xml:space="preserve">demand: a five-nearest-neighbour Tanimoto read-across, which is what a medicinal chemist does by eye,</w:t>
      </w:r>
      <w:r>
        <w:t xml:space="preserve"> </w:t>
      </w:r>
      <w:r>
        <w:t xml:space="preserve">and L2-regularised logistic regression. Three are ensembles: the random forest, XGBoost [20], and</w:t>
      </w:r>
      <w:r>
        <w:t xml:space="preserve"> </w:t>
      </w:r>
      <w:r>
        <w:t xml:space="preserve">histogram gradient boosting.</w:t>
      </w:r>
    </w:p>
    <w:p>
      <w:pPr>
        <w:pStyle w:val="BodyText"/>
      </w:pPr>
      <w:r>
        <w:t xml:space="preserve">Under the scaffold-grouped split, the family means are: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88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classification endpoints, 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regression endpoints, R²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Random forest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Histogram gradient boosting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0.9149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0.5424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kNN read-across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L2 logistic regression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0.1397</w:t>
            </w:r>
          </w:p>
        </w:tc>
      </w:tr>
    </w:tbl>
    <w:p>
      <w:pPr>
        <w:pStyle w:val="BodyText"/>
      </w:pPr>
      <w:r>
        <w:t xml:space="preserve">The result splits cleanly by task, and saying so is the only honest way to report it.</w:t>
      </w:r>
    </w:p>
    <w:p>
      <w:pPr>
        <w:pStyle w:val="BodyText"/>
      </w:pPr>
      <w:r>
        <w:rPr>
          <w:b/>
          <w:bCs/>
        </w:rPr>
        <w:t xml:space="preserve">On classification the forest leads</w:t>
      </w:r>
      <w:r>
        <w:t xml:space="preserve">, best on 7 of the 8 endpoints. It loses AChE to histogram</w:t>
      </w:r>
      <w:r>
        <w:t xml:space="preserve"> </w:t>
      </w:r>
      <w:r>
        <w:t xml:space="preserve">gradient boosting, 0.9148 against 0.9241.</w:t>
      </w:r>
    </w:p>
    <w:p>
      <w:pPr>
        <w:pStyle w:val="BodyText"/>
      </w:pPr>
      <w:r>
        <w:rPr>
          <w:b/>
          <w:bCs/>
        </w:rPr>
        <w:t xml:space="preserve">On regression the forest leads nothing.</w:t>
      </w:r>
      <w:r>
        <w:t xml:space="preserve"> </w:t>
      </w:r>
      <w:r>
        <w:t xml:space="preserve">It is best on</w:t>
      </w:r>
      <w:r>
        <w:t xml:space="preserve"> </w:t>
      </w:r>
      <w:r>
        <w:rPr>
          <w:b/>
          <w:bCs/>
        </w:rPr>
        <w:t xml:space="preserve">0 of the 5</w:t>
      </w:r>
      <w:r>
        <w:t xml:space="preserve">. Histogram gradient boosting</w:t>
      </w:r>
      <w:r>
        <w:t xml:space="preserve"> </w:t>
      </w:r>
      <w:r>
        <w:t xml:space="preserve">wins three and XGBoost two. The gap in the family mean is 0.023 R².</w:t>
      </w:r>
    </w:p>
    <w:p>
      <w:pPr>
        <w:pStyle w:val="BodyText"/>
      </w:pPr>
      <w:r>
        <w:t xml:space="preserve">The read-across is the baseline that matters most, because a model that cannot beat nearest-neighbour</w:t>
      </w:r>
      <w:r>
        <w:t xml:space="preserve"> </w:t>
      </w:r>
      <w:r>
        <w:t xml:space="preserve">lookup is an expensive lookup table. The forest exceeds it on</w:t>
      </w:r>
      <w:r>
        <w:t xml:space="preserve"> </w:t>
      </w:r>
      <w:r>
        <w:rPr>
          <w:b/>
          <w:bCs/>
        </w:rPr>
        <w:t xml:space="preserve">all thirteen endpoints</w:t>
      </w:r>
      <w:r>
        <w:t xml:space="preserve">, by margins</w:t>
      </w:r>
      <w:r>
        <w:t xml:space="preserve"> </w:t>
      </w:r>
      <w:r>
        <w:t xml:space="preserve">running from +0.0095 at D2 to +0.1099 on the antioxidant assay. That it wins everywhere, but by a</w:t>
      </w:r>
      <w:r>
        <w:t xml:space="preserve"> </w:t>
      </w:r>
      <w:r>
        <w:t xml:space="preserve">margin of only about 0.038 in the classification mean, is itself informative: much of the signal in</w:t>
      </w:r>
      <w:r>
        <w:t xml:space="preserve"> </w:t>
      </w:r>
      <w:r>
        <w:t xml:space="preserve">this problem genuinely is similarity, and the forest’s contribution is the part that is not.</w:t>
      </w:r>
    </w:p>
    <w:bookmarkEnd w:id="14"/>
    <w:bookmarkStart w:id="15" w:name="is-the-margin-real"/>
    <w:p>
      <w:pPr>
        <w:pStyle w:val="Heading2"/>
      </w:pPr>
      <w:r>
        <w:t xml:space="preserve">3.7 Is the margin real?</w:t>
      </w:r>
    </w:p>
    <w:p>
      <w:pPr>
        <w:pStyle w:val="FirstParagraph"/>
      </w:pPr>
      <w:r>
        <w:t xml:space="preserve">Every document in this project has quoted those deltas as point estimates. The decisions log makes</w:t>
      </w:r>
      <w:r>
        <w:t xml:space="preserve"> </w:t>
      </w:r>
      <w:r>
        <w:t xml:space="preserve">precisely the right criticism of an earlier comparison, that</w:t>
      </w:r>
      <w:r>
        <w:t xml:space="preserve"> </w:t>
      </w:r>
      <w:r>
        <w:t xml:space="preserve">“point deltas alone do not establish</w:t>
      </w:r>
      <w:r>
        <w:t xml:space="preserve"> </w:t>
      </w:r>
      <w:r>
        <w:t xml:space="preserve">significance”</w:t>
      </w:r>
      <w:r>
        <w:t xml:space="preserve">, and answers it with DeLong tests, but</w:t>
      </w:r>
      <w:r>
        <w:t xml:space="preserve"> </w:t>
      </w:r>
      <w:r>
        <w:rPr>
          <w:b/>
          <w:bCs/>
        </w:rPr>
        <w:t xml:space="preserve">those tests were run on the superseded</w:t>
      </w:r>
      <w:r>
        <w:rPr>
          <w:b/>
          <w:bCs/>
        </w:rPr>
        <w:t xml:space="preserve"> </w:t>
      </w:r>
      <w:r>
        <w:rPr>
          <w:b/>
          <w:bCs/>
        </w:rPr>
        <w:t xml:space="preserve">ensemble and were never re-run for the deployed forests</w:t>
      </w:r>
      <w:r>
        <w:t xml:space="preserve">. The significance table they cite reports</w:t>
      </w:r>
      <w:r>
        <w:t xml:space="preserve"> </w:t>
      </w:r>
      <w:r>
        <w:t xml:space="preserve">ensemble AUROCs of 0.921 at the barrier and 0.867 at MAO-A, which are not this panel’s numbers.</w:t>
      </w:r>
    </w:p>
    <w:p>
      <w:pPr>
        <w:pStyle w:val="BodyText"/>
      </w:pPr>
      <w:r>
        <w:t xml:space="preserve">The gap is now closed, at least partly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results/tables/model_family_significance.csv</w:t>
      </w:r>
      <w:r>
        <w:t xml:space="preserve">, generated by</w:t>
      </w:r>
      <w:r>
        <w:t xml:space="preserve"> </w:t>
      </w:r>
      <w:r>
        <w:rPr>
          <w:rStyle w:val="VerbatimChar"/>
        </w:rPr>
        <w:t xml:space="preserve">src/brainsafe/evaluation/model_family_significance.py</w:t>
      </w:r>
      <w:r>
        <w:t xml:space="preserve">). Pairing the families by endpoint and</w:t>
      </w:r>
      <w:r>
        <w:t xml:space="preserve"> </w:t>
      </w:r>
      <w:r>
        <w:t xml:space="preserve">applying a Wilcoxon signed-rank test to the per-endpoint means under the scaffold split gives: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Comparison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Forest higher 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Median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Mean Δ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kNN read-across, all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of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+0.0407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distinguishable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L2 logistic regression, all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 of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+0.1030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+0.1988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0.0002</w:t>
            </w:r>
          </w:p>
        </w:tc>
        <w:tc>
          <w:tcPr/>
          <w:p>
            <w:pPr>
              <w:pStyle w:val="Compact"/>
            </w:pPr>
            <w:r>
              <w:t xml:space="preserve">distinguishable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XGBoost, all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-0.0051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distinguishable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histogram gradient boosting, all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+0.0031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-0.0051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distinguishable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XGBoost, 8 classification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0.0078</w:t>
            </w:r>
          </w:p>
        </w:tc>
        <w:tc>
          <w:tcPr/>
          <w:p>
            <w:pPr>
              <w:pStyle w:val="Compact"/>
            </w:pPr>
            <w:r>
              <w:t xml:space="preserve">distinguishable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histogram gradient boosting, 8 classification only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of 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0.078</w:t>
            </w:r>
          </w:p>
        </w:tc>
        <w:tc>
          <w:tcPr/>
          <w:p>
            <w:pPr>
              <w:pStyle w:val="Compact"/>
            </w:pPr>
            <w:r>
              <w:t xml:space="preserve">not distinguishable</w:t>
            </w:r>
          </w:p>
        </w:tc>
      </w:tr>
    </w:tbl>
    <w:p>
      <w:pPr>
        <w:pStyle w:val="BodyText"/>
      </w:pPr>
      <w:r>
        <w:t xml:space="preserve">Both columns are given because against the boosting methods they disagree in sign, and the</w:t>
      </w:r>
      <w:r>
        <w:t xml:space="preserve"> </w:t>
      </w:r>
      <w:r>
        <w:t xml:space="preserve">disagreement is the result. The forest sits marginally above them on 8 of the 13 endpoints, which is</w:t>
      </w:r>
      <w:r>
        <w:t xml:space="preserve"> </w:t>
      </w:r>
      <w:r>
        <w:t xml:space="preserve">what the positive median reports, and below them by larger amounts on the five regressions, which is</w:t>
      </w:r>
      <w:r>
        <w:t xml:space="preserve"> </w:t>
      </w:r>
      <w:r>
        <w:t xml:space="preserve">what drags the mean to -0.0051. A summary that quoted only the median would say the forest is</w:t>
      </w:r>
      <w:r>
        <w:t xml:space="preserve"> </w:t>
      </w:r>
      <w:r>
        <w:t xml:space="preserve">narrowly ahead; one that quoted only the mean would say it is narrowly behind. Neither is a real</w:t>
      </w:r>
      <w:r>
        <w:t xml:space="preserve"> </w:t>
      </w:r>
      <w:r>
        <w:t xml:space="preserve">difference, which is what the p-values say.</w:t>
      </w:r>
    </w:p>
    <w:p>
      <w:pPr>
        <w:pStyle w:val="BodyText"/>
      </w:pPr>
      <w:r>
        <w:t xml:space="preserve">The picture that emerges is sharper than any point estimate. Against the two baselines the forest is</w:t>
      </w:r>
      <w:r>
        <w:t xml:space="preserve"> </w:t>
      </w:r>
      <w:r>
        <w:t xml:space="preserve">decisively better and the result is not close. Against the two boosting methods, pooled over all</w:t>
      </w:r>
      <w:r>
        <w:t xml:space="preserve"> </w:t>
      </w:r>
      <w:r>
        <w:t xml:space="preserve">thirteen endpoints,</w:t>
      </w:r>
      <w:r>
        <w:t xml:space="preserve"> </w:t>
      </w:r>
      <w:r>
        <w:rPr>
          <w:b/>
          <w:bCs/>
        </w:rPr>
        <w:t xml:space="preserve">it is statistically indistinguishable</w:t>
      </w:r>
      <w:r>
        <w:t xml:space="preserve">, because the classification wins and</w:t>
      </w:r>
      <w:r>
        <w:t xml:space="preserve"> </w:t>
      </w:r>
      <w:r>
        <w:t xml:space="preserve">the regression losses cancel. Restricted to classification it beats XGBoost on all eight endpoints</w:t>
      </w:r>
      <w:r>
        <w:t xml:space="preserve"> </w:t>
      </w:r>
      <w:r>
        <w:t xml:space="preserve">significantly, and its lead over histogram gradient boosting does not reach the 0.05 level.</w:t>
      </w:r>
    </w:p>
    <w:p>
      <w:pPr>
        <w:pStyle w:val="BodyText"/>
      </w:pPr>
      <w:r>
        <w:t xml:space="preserve">Two limitations of this test must travel with it. It is</w:t>
      </w:r>
      <w:r>
        <w:t xml:space="preserve"> </w:t>
      </w:r>
      <w:r>
        <w:rPr>
          <w:b/>
          <w:bCs/>
        </w:rPr>
        <w:t xml:space="preserve">not a DeLong test</w:t>
      </w:r>
      <w:r>
        <w:t xml:space="preserve">: DeLong compares two</w:t>
      </w:r>
      <w:r>
        <w:t xml:space="preserve"> </w:t>
      </w:r>
      <w:r>
        <w:t xml:space="preserve">ROC curves on identical compounds and accounts for their correlation, which is the stronger</w:t>
      </w:r>
      <w:r>
        <w:t xml:space="preserve"> </w:t>
      </w:r>
      <w:r>
        <w:t xml:space="preserve">instrument, but it applies per endpoint on classification only and needs fold-level predictions</w:t>
      </w:r>
      <w:r>
        <w:t xml:space="preserve"> </w:t>
      </w:r>
      <w:r>
        <w:t xml:space="preserve">rather than the summary table. That remains the better analysis and has not been done for this panel.</w:t>
      </w:r>
      <w:r>
        <w:t xml:space="preserve"> </w:t>
      </w:r>
      <w:r>
        <w:t xml:space="preserve">And the regression subset is</w:t>
      </w:r>
      <w:r>
        <w:t xml:space="preserve"> </w:t>
      </w:r>
      <w:r>
        <w:rPr>
          <w:b/>
          <w:bCs/>
        </w:rPr>
        <w:t xml:space="preserve">underpowered</w:t>
      </w:r>
      <w:r>
        <w:t xml:space="preserve">: with five endpoints, the smallest attainable Wilcoxon</w:t>
      </w:r>
      <w:r>
        <w:t xml:space="preserve"> </w:t>
      </w:r>
      <w:r>
        <w:t xml:space="preserve">p-value is 0.0625, so</w:t>
      </w:r>
      <w:r>
        <w:t xml:space="preserve"> </w:t>
      </w:r>
      <w:r>
        <w:t xml:space="preserve">“the forest loses all five”</w:t>
      </w:r>
      <w:r>
        <w:t xml:space="preserve"> </w:t>
      </w:r>
      <w:r>
        <w:t xml:space="preserve">is a clean count and not a significant result by</w:t>
      </w:r>
      <w:r>
        <w:t xml:space="preserve"> </w:t>
      </w:r>
      <w:r>
        <w:t xml:space="preserve">this instrument.</w:t>
      </w:r>
    </w:p>
    <w:p>
      <w:pPr>
        <w:pStyle w:val="BodyText"/>
      </w:pPr>
      <w:r>
        <w:t xml:space="preserve">The correct summary is therefore that the forest was</w:t>
      </w:r>
      <w:r>
        <w:t xml:space="preserve"> </w:t>
      </w:r>
      <w:r>
        <w:rPr>
          <w:b/>
          <w:bCs/>
        </w:rPr>
        <w:t xml:space="preserve">not selected because it is more accurate than</w:t>
      </w:r>
      <w:r>
        <w:rPr>
          <w:b/>
          <w:bCs/>
        </w:rPr>
        <w:t xml:space="preserve"> </w:t>
      </w:r>
      <w:r>
        <w:rPr>
          <w:b/>
          <w:bCs/>
        </w:rPr>
        <w:t xml:space="preserve">boosting</w:t>
      </w:r>
      <w:r>
        <w:t xml:space="preserve">, since on this evidence it is not. It was selected on three grounds that are not about the</w:t>
      </w:r>
      <w:r>
        <w:t xml:space="preserve"> </w:t>
      </w:r>
      <w:r>
        <w:t xml:space="preserve">mean: it does not extrapolate, TreeSHAP is exact for it, and it is the most stable of the three under</w:t>
      </w:r>
      <w:r>
        <w:t xml:space="preserve"> </w:t>
      </w:r>
      <w:r>
        <w:t xml:space="preserve">hyperparameter choice. A reader is entitled to say that boosting would have served about as well on</w:t>
      </w:r>
      <w:r>
        <w:t xml:space="preserve"> </w:t>
      </w:r>
      <w:r>
        <w:t xml:space="preserve">classification and rather better on the receptor regressions, and the cost of the uniformity is</w:t>
      </w:r>
      <w:r>
        <w:t xml:space="preserve"> </w:t>
      </w:r>
      <w:r>
        <w:t xml:space="preserve">stated at 0.023 R² rather than left to be discovered.</w:t>
      </w:r>
    </w:p>
    <w:bookmarkEnd w:id="15"/>
    <w:bookmarkStart w:id="16" w:name="a-learned-representation-tested"/>
    <w:p>
      <w:pPr>
        <w:pStyle w:val="Heading2"/>
      </w:pPr>
      <w:r>
        <w:t xml:space="preserve">3.8 A learned representation, tested</w:t>
      </w:r>
    </w:p>
    <w:p>
      <w:pPr>
        <w:pStyle w:val="FirstParagraph"/>
      </w:pPr>
      <w:r>
        <w:t xml:space="preserve">A graph isomorphism network was trained on the raw molecular graph and compared against the forest on</w:t>
      </w:r>
      <w:r>
        <w:t xml:space="preserve"> </w:t>
      </w:r>
      <w:r>
        <w:t xml:space="preserve">an identical scaffold hold-out, over four endpoints (</w:t>
      </w:r>
      <w:r>
        <w:rPr>
          <w:rStyle w:val="VerbatimChar"/>
        </w:rPr>
        <w:t xml:space="preserve">results/gnn/gnn_vs_rf.csv</w:t>
      </w:r>
      <w:r>
        <w:t xml:space="preserve">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Random forest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0.8868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0.9235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0.9243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0.9571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0.7363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0.8100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0.4673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0.5485</w:t>
            </w:r>
          </w:p>
        </w:tc>
      </w:tr>
    </w:tbl>
    <w:p>
      <w:pPr>
        <w:pStyle w:val="BodyText"/>
      </w:pPr>
      <w:r>
        <w:t xml:space="preserve">The forest wins all four, and the margin is not marginal: 0.074 at MAO-A and 0.081 R² at A2A. This is</w:t>
      </w:r>
      <w:r>
        <w:t xml:space="preserve"> </w:t>
      </w:r>
      <w:r>
        <w:t xml:space="preserve">consistent with the literature on data scale, since graph networks generally need far more data per</w:t>
      </w:r>
      <w:r>
        <w:t xml:space="preserve"> </w:t>
      </w:r>
      <w:r>
        <w:t xml:space="preserve">task, or pretraining, to overtake fingerprints. It is four endpoints and not thirteen, so it bounds</w:t>
      </w:r>
      <w:r>
        <w:t xml:space="preserve"> </w:t>
      </w:r>
      <w:r>
        <w:t xml:space="preserve">rather than settles the question, and fine-tuning a pretrained chemical language model remains the</w:t>
      </w:r>
      <w:r>
        <w:t xml:space="preserve"> </w:t>
      </w:r>
      <w:r>
        <w:t xml:space="preserve">most defensible thing an unconvinced reader could ask for next. It has not been tried.</w:t>
      </w:r>
    </w:p>
    <w:bookmarkEnd w:id="16"/>
    <w:bookmarkStart w:id="17" w:name="would-more-data-have-helped"/>
    <w:p>
      <w:pPr>
        <w:pStyle w:val="Heading2"/>
      </w:pPr>
      <w:r>
        <w:t xml:space="preserve">3.9 Would more data have helped?</w:t>
      </w:r>
    </w:p>
    <w:p>
      <w:pPr>
        <w:pStyle w:val="FirstParagraph"/>
      </w:pPr>
      <w:r>
        <w:rPr>
          <w:rStyle w:val="VerbatimChar"/>
        </w:rPr>
        <w:t xml:space="preserve">results/tables/learning_curve.csv</w:t>
      </w:r>
      <w:r>
        <w:t xml:space="preserve"> </w:t>
      </w:r>
      <w:r>
        <w:t xml:space="preserve">fits four endpoints at 10, 25, 50, 75 and 100 per cent of their</w:t>
      </w:r>
      <w:r>
        <w:t xml:space="preserve"> </w:t>
      </w:r>
      <w:r>
        <w:t xml:space="preserve">training data. The technical report reads this as showing that</w:t>
      </w:r>
      <w:r>
        <w:t xml:space="preserve"> </w:t>
      </w:r>
      <w:r>
        <w:t xml:space="preserve">“the curves flatten well before the</w:t>
      </w:r>
      <w:r>
        <w:t xml:space="preserve"> </w:t>
      </w:r>
      <w:r>
        <w:t xml:space="preserve">full training set”</w:t>
      </w:r>
      <w:r>
        <w:t xml:space="preserve">, and uses that as the argument against gathering more data and for having spent</w:t>
      </w:r>
      <w:r>
        <w:t xml:space="preserve"> </w:t>
      </w:r>
      <w:r>
        <w:t xml:space="preserve">the effort on the negative class instead.</w:t>
      </w:r>
    </w:p>
    <w:p>
      <w:pPr>
        <w:pStyle w:val="BodyText"/>
      </w:pPr>
      <w:r>
        <w:rPr>
          <w:b/>
          <w:bCs/>
        </w:rPr>
        <w:t xml:space="preserve">That reading does not survive the table, and this is the clearest overstatement I have found in the</w:t>
      </w:r>
      <w:r>
        <w:rPr>
          <w:b/>
          <w:bCs/>
        </w:rPr>
        <w:t xml:space="preserve"> </w:t>
      </w:r>
      <w:r>
        <w:rPr>
          <w:b/>
          <w:bCs/>
        </w:rPr>
        <w:t xml:space="preserve">project’s documents.</w:t>
      </w:r>
      <w:r>
        <w:t xml:space="preserve"> </w:t>
      </w:r>
      <w:r>
        <w:t xml:space="preserve">Measuring the gain from half the data to all of it: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Half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 data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BBB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+0.0049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BACE1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+0.0188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MAO-A</w:t>
            </w:r>
          </w:p>
        </w:tc>
        <w:tc>
          <w:tcPr/>
          <w:p>
            <w:pPr>
              <w:pStyle w:val="Compact"/>
            </w:pPr>
            <w:r>
              <w:t xml:space="preserve">AUROC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+0.0354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A2A</w:t>
            </w:r>
          </w:p>
        </w:tc>
        <w:tc>
          <w:tcPr/>
          <w:p>
            <w:pPr>
              <w:pStyle w:val="Compact"/>
            </w:pPr>
            <w:r>
              <w:t xml:space="preserve">R²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0.5369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0.6223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+0.0854</w:t>
            </w:r>
          </w:p>
        </w:tc>
      </w:tr>
    </w:tbl>
    <w:p>
      <w:pPr>
        <w:pStyle w:val="BodyText"/>
      </w:pPr>
      <w:r>
        <w:t xml:space="preserve">Only the barrier model has flattened. MAO-A gains 0.035 AUROC on its final doubling, which is larger</w:t>
      </w:r>
      <w:r>
        <w:t xml:space="preserve"> </w:t>
      </w:r>
      <w:r>
        <w:t xml:space="preserve">than the entire margin separating the forest from the read-across baseline. A2A gains 0.085 R² and</w:t>
      </w:r>
      <w:r>
        <w:t xml:space="preserve"> </w:t>
      </w:r>
      <w:r>
        <w:t xml:space="preserve">shows no sign of saturating: at a quarter of its data it reaches only 75.0 per cent of its full-data</w:t>
      </w:r>
      <w:r>
        <w:t xml:space="preserve"> </w:t>
      </w:r>
      <w:r>
        <w:t xml:space="preserve">score, where the three classifiers reach 92 to 96 per cent.</w:t>
      </w:r>
    </w:p>
    <w:p>
      <w:pPr>
        <w:pStyle w:val="BodyText"/>
      </w:pPr>
      <w:r>
        <w:t xml:space="preserve">The defensible conclusion is the opposite of the one recorded, and it is more useful. The</w:t>
      </w:r>
      <w:r>
        <w:t xml:space="preserve"> </w:t>
      </w:r>
      <w:r>
        <w:rPr>
          <w:b/>
          <w:bCs/>
        </w:rPr>
        <w:t xml:space="preserve">classification</w:t>
      </w:r>
      <w:r>
        <w:t xml:space="preserve"> </w:t>
      </w:r>
      <w:r>
        <w:t xml:space="preserve">endpoints are approaching saturation, so more measured actives would buy little</w:t>
      </w:r>
      <w:r>
        <w:t xml:space="preserve"> </w:t>
      </w:r>
      <w:r>
        <w:t xml:space="preserve">there, and the decision to spend the effort on recovering the negative class instead was right for</w:t>
      </w:r>
      <w:r>
        <w:t xml:space="preserve"> </w:t>
      </w:r>
      <w:r>
        <w:t xml:space="preserve">them. The</w:t>
      </w:r>
      <w:r>
        <w:t xml:space="preserve"> </w:t>
      </w:r>
      <w:r>
        <w:rPr>
          <w:b/>
          <w:bCs/>
        </w:rPr>
        <w:t xml:space="preserve">receptor regressions are data-limited</w:t>
      </w:r>
      <w:r>
        <w:t xml:space="preserve">, and A2A is the endpoint that gained most from</w:t>
      </w:r>
      <w:r>
        <w:t xml:space="preserve"> </w:t>
      </w:r>
      <w:r>
        <w:t xml:space="preserve">the BindingDB expansion in Chapter 2, at +0.0129 R² on 1,238 added compounds. Two independent lines</w:t>
      </w:r>
      <w:r>
        <w:t xml:space="preserve"> </w:t>
      </w:r>
      <w:r>
        <w:t xml:space="preserve">of evidence therefore point the same way: potency regression on these receptors would improve with</w:t>
      </w:r>
      <w:r>
        <w:t xml:space="preserve"> </w:t>
      </w:r>
      <w:r>
        <w:t xml:space="preserve">more data, and that is a specific, costed piece of future work rather than a general wish.</w:t>
      </w:r>
    </w:p>
    <w:bookmarkEnd w:id="17"/>
    <w:bookmarkStart w:id="18" w:name="why-seventy-models-and-not-one"/>
    <w:p>
      <w:pPr>
        <w:pStyle w:val="Heading2"/>
      </w:pPr>
      <w:r>
        <w:t xml:space="preserve">3.10 Why seventy models and not one</w:t>
      </w:r>
    </w:p>
    <w:p>
      <w:pPr>
        <w:pStyle w:val="FirstParagraph"/>
      </w:pPr>
      <w:r>
        <w:t xml:space="preserve">The obvious alternative is a single multi-task network with one output per endpoint. It is rejected</w:t>
      </w:r>
      <w:r>
        <w:t xml:space="preserve"> </w:t>
      </w:r>
      <w:r>
        <w:t xml:space="preserve">for reasons about the data rather than about preference, and three of the four are established in</w:t>
      </w:r>
      <w:r>
        <w:t xml:space="preserve"> </w:t>
      </w:r>
      <w:r>
        <w:t xml:space="preserve">Chapter 2.</w:t>
      </w:r>
    </w:p>
    <w:p>
      <w:pPr>
        <w:pStyle w:val="BodyText"/>
      </w:pPr>
      <w:r>
        <w:rPr>
          <w:b/>
          <w:bCs/>
        </w:rPr>
        <w:t xml:space="preserve">The label matrix is almost entirely missing.</w:t>
      </w:r>
      <w:r>
        <w:t xml:space="preserve"> </w:t>
      </w:r>
      <w:r>
        <w:t xml:space="preserve">228,200 measurements over 63 endpoints and roughly</w:t>
      </w:r>
      <w:r>
        <w:t xml:space="preserve"> </w:t>
      </w:r>
      <w:r>
        <w:t xml:space="preserve">169,000 compounds fill under two per cent of a compound-by-endpoint matrix. A compound measured at</w:t>
      </w:r>
      <w:r>
        <w:t xml:space="preserve"> </w:t>
      </w:r>
      <w:r>
        <w:t xml:space="preserve">AChE has almost never been measured at OX2. Multi-task learning shares strength across tasks; at this</w:t>
      </w:r>
      <w:r>
        <w:t xml:space="preserve"> </w:t>
      </w:r>
      <w:r>
        <w:t xml:space="preserve">sparsity it mostly shares absence, and a missing measurement is not a negative result.</w:t>
      </w:r>
    </w:p>
    <w:p>
      <w:pPr>
        <w:pStyle w:val="BodyText"/>
      </w:pPr>
      <w:r>
        <w:rPr>
          <w:b/>
          <w:bCs/>
        </w:rPr>
        <w:t xml:space="preserve">The negative class means different things per endpoint.</w:t>
      </w:r>
      <w:r>
        <w:t xml:space="preserve"> </w:t>
      </w:r>
      <w:r>
        <w:t xml:space="preserve">Where censored bounds were recovered a</w:t>
      </w:r>
      <w:r>
        <w:t xml:space="preserve"> </w:t>
      </w:r>
      <w:r>
        <w:t xml:space="preserve">negative is a measurement; where they were not it is a property-matched decoy, which is an</w:t>
      </w:r>
      <w:r>
        <w:t xml:space="preserve"> </w:t>
      </w:r>
      <w:r>
        <w:t xml:space="preserve">assumption. One loss over both silently averages the two.</w:t>
      </w:r>
    </w:p>
    <w:p>
      <w:pPr>
        <w:pStyle w:val="BodyText"/>
      </w:pPr>
      <w:r>
        <w:rPr>
          <w:b/>
          <w:bCs/>
        </w:rPr>
        <w:t xml:space="preserve">Base rates are incompatible.</w:t>
      </w:r>
      <w:r>
        <w:t xml:space="preserve"> </w:t>
      </w:r>
      <w:r>
        <w:t xml:space="preserve">A shared output layer propagates the 0.962 active fraction at P2X7</w:t>
      </w:r>
      <w:r>
        <w:t xml:space="preserve"> </w:t>
      </w:r>
      <w:r>
        <w:t xml:space="preserve">into another endpoint’s decision boundary.</w:t>
      </w:r>
    </w:p>
    <w:p>
      <w:pPr>
        <w:pStyle w:val="BodyText"/>
      </w:pPr>
      <w:r>
        <w:rPr>
          <w:b/>
          <w:bCs/>
        </w:rPr>
        <w:t xml:space="preserve">Failure stays local.</w:t>
      </w:r>
      <w:r>
        <w:t xml:space="preserve"> </w:t>
      </w:r>
      <w:r>
        <w:t xml:space="preserve">Five endpoints were trained, tested and withdrawn. In an independent panel a</w:t>
      </w:r>
      <w:r>
        <w:t xml:space="preserve"> </w:t>
      </w:r>
      <w:r>
        <w:t xml:space="preserve">withdrawal removes one output. Under shared weights the same data would have shaped every other</w:t>
      </w:r>
      <w:r>
        <w:t xml:space="preserve"> </w:t>
      </w:r>
      <w:r>
        <w:t xml:space="preserve">endpoint’s representation, and withdrawing it cleanly would not be possible.</w:t>
      </w:r>
    </w:p>
    <w:p>
      <w:pPr>
        <w:pStyle w:val="BodyText"/>
      </w:pPr>
      <w:r>
        <w:t xml:space="preserve">The cost is real and is not hidden: a multi-task model can borrow statistical strength for a small</w:t>
      </w:r>
      <w:r>
        <w:t xml:space="preserve"> </w:t>
      </w:r>
      <w:r>
        <w:t xml:space="preserve">endpoint from a large related one, and the smallest deployed set here has 387 compounds and would</w:t>
      </w:r>
      <w:r>
        <w:t xml:space="preserve"> </w:t>
      </w:r>
      <w:r>
        <w:t xml:space="preserve">plausibly benefit. That benefit is forgone deliberately, because the price is a shared representation</w:t>
      </w:r>
      <w:r>
        <w:t xml:space="preserve"> </w:t>
      </w:r>
      <w:r>
        <w:t xml:space="preserve">in which no endpoint’s threshold, negative class or withdrawal is independently defensible.</w:t>
      </w:r>
    </w:p>
    <w:bookmarkEnd w:id="18"/>
    <w:bookmarkEnd w:id="19"/>
    <w:sectPr w:rsidR="00FC693F" w:rsidRPr="0006063C" w:rsidSect="00034616">
      <w:pgSz w:h="16838" w:w="11906"/>
      <w:pgMar w:bottom="1134" w:footer="720" w:gutter="0" w:header="720" w:left="1247" w:right="124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00" w:before="0" w:line="264" w:lineRule="auto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40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00" w:before="320" w:line="264" w:lineRule="auto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color w:val="0D2137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00" w:before="260" w:line="264" w:lineRule="auto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color w:val="1A3A5C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100" w:before="200" w:line="264" w:lineRule="auto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/>
      <w:iCs/>
      <w:color w:val="1A3A5C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40" w:before="0" w:line="293" w:lineRule="auto"/>
    </w:pPr>
    <w:rPr>
      <w:rFonts w:ascii="Calibri" w:cs="Calibri" w:eastAsia="Calibri" w:hAnsi="Calibri"/>
      <w:b w:val="0"/>
      <w:sz w:val="21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240" w:before="0" w:line="276" w:lineRule="auto"/>
      <w:jc w:val="center"/>
    </w:pPr>
    <w:rPr>
      <w:rFonts w:ascii="Calibri" w:cs="Calibri" w:eastAsia="Calibri" w:hAnsi="Calibri"/>
      <w:b w:val="0"/>
      <w:bCs/>
      <w:color w:val="5A6672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Table" w:type="table">
    <w:name w:val="Table"/>
    <w:pPr>
      <w:spacing w:after="0" w:before="0" w:line="252" w:lineRule="auto"/>
    </w:pPr>
    <w:rPr>
      <w:rFonts w:ascii="Calibri" w:cs="Calibri" w:eastAsia="Calibri" w:hAnsi="Calibri"/>
      <w:b w:val="0"/>
      <w:sz w:val="17"/>
    </w:rPr>
    <w:tblPr>
      <w:tblBorders>
        <w:top w:color="C8D2DF" w:space="0" w:sz="4" w:val="single"/>
        <w:left w:color="C8D2DF" w:space="0" w:sz="4" w:val="single"/>
        <w:bottom w:color="C8D2DF" w:space="0" w:sz="4" w:val="single"/>
        <w:right w:color="C8D2DF" w:space="0" w:sz="4" w:val="single"/>
        <w:insideH w:color="C8D2DF" w:space="0" w:sz="4" w:val="single"/>
        <w:insideV w:color="C8D2DF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2026-09-04T06:42:11Z</dcterms:created>
  <dcterms:modified xsi:type="dcterms:W3CDTF">2026-09-04T06:42:11Z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