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caec5d986e038974780613cb5ec9bd06cddb5e"/>
    <w:p>
      <w:pPr>
        <w:pStyle w:val="Heading1"/>
      </w:pPr>
      <w:r>
        <w:t xml:space="preserve">Chapter 4. Calibration, conformal prediction and the applicability domain</w:t>
      </w:r>
    </w:p>
    <w:p>
      <w:r>
        <w:pict>
          <v:rect style="width:0;height:1.5pt" o:hralign="center" o:hrstd="t" o:hr="t"/>
        </w:pict>
      </w:r>
    </w:p>
    <w:bookmarkStart w:id="9" w:name="X9c333dbe1a512d17292a8454dc0cc570d50ca57"/>
    <w:p>
      <w:pPr>
        <w:pStyle w:val="Heading2"/>
      </w:pPr>
      <w:r>
        <w:t xml:space="preserve">4.1 Three different questions, and why one answer will not do</w:t>
      </w:r>
    </w:p>
    <w:p>
      <w:pPr>
        <w:pStyle w:val="FirstParagraph"/>
      </w:pPr>
      <w:r>
        <w:t xml:space="preserve">A prediction of 0.84 is not yet useful. Three separate questions stand between it and a decision, and</w:t>
      </w:r>
      <w:r>
        <w:t xml:space="preserve"> </w:t>
      </w:r>
      <w:r>
        <w:t xml:space="preserve">this chapter exists because they are genuinely different questions with genuinely different answers.</w:t>
      </w:r>
    </w:p>
    <w:p>
      <w:pPr>
        <w:pStyle w:val="BodyText"/>
      </w:pPr>
      <w:r>
        <w:rPr>
          <w:b/>
          <w:bCs/>
        </w:rPr>
        <w:t xml:space="preserve">Is 0.84 a probability?</w:t>
      </w:r>
      <w:r>
        <w:t xml:space="preserve"> </w:t>
      </w:r>
      <w:r>
        <w:t xml:space="preserve">A random forest returns a vote share, not a probability. Averaging the</w:t>
      </w:r>
      <w:r>
        <w:t xml:space="preserve"> </w:t>
      </w:r>
      <w:r>
        <w:t xml:space="preserve">votes of 300 trees produces a number that behaves like a probability, clusters toward the middle, and</w:t>
      </w:r>
      <w:r>
        <w:t xml:space="preserve"> </w:t>
      </w:r>
      <w:r>
        <w:t xml:space="preserve">is not one. Calibration is the map that makes a stated 0.84 correspond to being right 84 per cent of</w:t>
      </w:r>
      <w:r>
        <w:t xml:space="preserve"> </w:t>
      </w:r>
      <w:r>
        <w:t xml:space="preserve">the time. It is a statement about a population of predictions, not about this compound.</w:t>
      </w:r>
    </w:p>
    <w:p>
      <w:pPr>
        <w:pStyle w:val="BodyText"/>
      </w:pPr>
      <w:r>
        <w:rPr>
          <w:b/>
          <w:bCs/>
        </w:rPr>
        <w:t xml:space="preserve">How confident is the model about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compound?</w:t>
      </w:r>
      <w:r>
        <w:t xml:space="preserve"> </w:t>
      </w:r>
      <w:r>
        <w:t xml:space="preserve">Calibration cannot answer this. A well</w:t>
      </w:r>
      <w:r>
        <w:t xml:space="preserve"> </w:t>
      </w:r>
      <w:r>
        <w:t xml:space="preserve">calibrated model can be well calibrated and uniformly uncertain. Conformal prediction converts the</w:t>
      </w:r>
      <w:r>
        <w:t xml:space="preserve"> </w:t>
      </w:r>
      <w:r>
        <w:t xml:space="preserve">question into a coverage guarantee that is measured rather than assumed.</w:t>
      </w:r>
    </w:p>
    <w:p>
      <w:pPr>
        <w:pStyle w:val="BodyText"/>
      </w:pPr>
      <w:r>
        <w:rPr>
          <w:b/>
          <w:bCs/>
        </w:rPr>
        <w:t xml:space="preserve">Has the model seen anything like this compound?</w:t>
      </w:r>
      <w:r>
        <w:t xml:space="preserve"> </w:t>
      </w:r>
      <w:r>
        <w:t xml:space="preserve">Neither of the above answers this either. Both</w:t>
      </w:r>
      <w:r>
        <w:t xml:space="preserve"> </w:t>
      </w:r>
      <w:r>
        <w:t xml:space="preserve">are computed on held-out chemistry drawn from the same distribution as the training set. A compound</w:t>
      </w:r>
      <w:r>
        <w:t xml:space="preserve"> </w:t>
      </w:r>
      <w:r>
        <w:t xml:space="preserve">from outside that distribution can receive a confident, well-calibrated, tightly-covered prediction</w:t>
      </w:r>
      <w:r>
        <w:t xml:space="preserve"> </w:t>
      </w:r>
      <w:r>
        <w:t xml:space="preserve">that is worthless. The applicability domain is the third instrument, and section 4.11 shows it</w:t>
      </w:r>
      <w:r>
        <w:t xml:space="preserve"> </w:t>
      </w:r>
      <w:r>
        <w:t xml:space="preserve">answers a different question from the one it was built for.</w:t>
      </w:r>
    </w:p>
    <w:p>
      <w:pPr>
        <w:pStyle w:val="BodyText"/>
      </w:pPr>
      <w:r>
        <w:t xml:space="preserve">The three are reported together for every value the server returns, and a reader who takes only one</w:t>
      </w:r>
      <w:r>
        <w:t xml:space="preserve"> </w:t>
      </w:r>
      <w:r>
        <w:t xml:space="preserve">of them has not taken the honest summary.</w:t>
      </w:r>
    </w:p>
    <w:bookmarkEnd w:id="9"/>
    <w:bookmarkStart w:id="10" w:name="calibration-the-construction"/>
    <w:p>
      <w:pPr>
        <w:pStyle w:val="Heading2"/>
      </w:pPr>
      <w:r>
        <w:t xml:space="preserve">4.2 Calibration: the construction</w:t>
      </w:r>
    </w:p>
    <w:p>
      <w:pPr>
        <w:pStyle w:val="FirstParagraph"/>
      </w:pPr>
      <w:r>
        <w:t xml:space="preserve">Core classifiers are calibrated by</w:t>
      </w:r>
      <w:r>
        <w:t xml:space="preserve"> </w:t>
      </w:r>
      <w:r>
        <w:rPr>
          <w:b/>
          <w:bCs/>
        </w:rPr>
        <w:t xml:space="preserve">isotonic regression</w:t>
      </w:r>
      <w:r>
        <w:t xml:space="preserve"> </w:t>
      </w:r>
      <w:r>
        <w:t xml:space="preserve">fitted on</w:t>
      </w:r>
      <w:r>
        <w:t xml:space="preserve"> </w:t>
      </w:r>
      <w:r>
        <w:rPr>
          <w:b/>
          <w:bCs/>
        </w:rPr>
        <w:t xml:space="preserve">out-of-fold predictions</w:t>
      </w:r>
      <w:r>
        <w:t xml:space="preserve">. The</w:t>
      </w:r>
      <w:r>
        <w:t xml:space="preserve"> </w:t>
      </w:r>
      <w:r>
        <w:t xml:space="preserve">second half of that sentence carries the weight. Fitting a calibrator on the same predictions the</w:t>
      </w:r>
      <w:r>
        <w:t xml:space="preserve"> </w:t>
      </w:r>
      <w:r>
        <w:t xml:space="preserve">model made about its own training data would produce a calibrator that corrects an optimism the</w:t>
      </w:r>
      <w:r>
        <w:t xml:space="preserve"> </w:t>
      </w:r>
      <w:r>
        <w:t xml:space="preserve">deployed model does not have, and the reported improvement would be an artefact of the procedure. The</w:t>
      </w:r>
      <w:r>
        <w:t xml:space="preserve"> </w:t>
      </w:r>
      <w:r>
        <w:t xml:space="preserve">out-of-fold construction means no compound contributes to the calibrator that scores it.</w:t>
      </w:r>
    </w:p>
    <w:p>
      <w:pPr>
        <w:pStyle w:val="BodyText"/>
      </w:pPr>
      <w:r>
        <w:t xml:space="preserve">Isotonic regression fits a free monotonic step function by pool-adjacent-violators, minimising</w:t>
      </w:r>
      <w:r>
        <w:t xml:space="preserve"> </w:t>
      </w:r>
      <w:r>
        <w:t xml:space="preserve">squared error subject only to being non-decreasing. Two consequences follow from monotonicity alone</w:t>
      </w:r>
      <w:r>
        <w:t xml:space="preserve"> </w:t>
      </w:r>
      <w:r>
        <w:t xml:space="preserve">and both matter.</w:t>
      </w:r>
    </w:p>
    <w:p>
      <w:pPr>
        <w:pStyle w:val="BodyText"/>
      </w:pPr>
      <w:r>
        <w:t xml:space="preserve">Because the map cannot reorder compounds,</w:t>
      </w:r>
      <w:r>
        <w:t xml:space="preserve"> </w:t>
      </w:r>
      <w:r>
        <w:rPr>
          <w:b/>
          <w:bCs/>
        </w:rPr>
        <w:t xml:space="preserve">AUROC is invariant under calibration</w:t>
      </w:r>
      <w:r>
        <w:t xml:space="preserve">. Every</w:t>
      </w:r>
      <w:r>
        <w:t xml:space="preserve"> </w:t>
      </w:r>
      <w:r>
        <w:t xml:space="preserve">discrimination figure in this thesis is therefore unaffected by anything in this section, which is</w:t>
      </w:r>
      <w:r>
        <w:t xml:space="preserve"> </w:t>
      </w:r>
      <w:r>
        <w:t xml:space="preserve">why calibration can be reported as a separate axis rather than folded into the headline.</w:t>
      </w:r>
    </w:p>
    <w:p>
      <w:pPr>
        <w:pStyle w:val="BodyText"/>
      </w:pPr>
      <w:r>
        <w:t xml:space="preserve">And because the map is free rather than parametric, it can correct an arbitrary distortion, at the</w:t>
      </w:r>
      <w:r>
        <w:t xml:space="preserve"> </w:t>
      </w:r>
      <w:r>
        <w:t xml:space="preserve">cost of needing enough held-out data to fit a step function without overfitting it. That cost is why</w:t>
      </w:r>
      <w:r>
        <w:t xml:space="preserve"> </w:t>
      </w:r>
      <w:r>
        <w:t xml:space="preserve">the binder panel does something else, and section 4.4 reports what it costs.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binder models use Platt scaling</w:t>
      </w:r>
      <w:r>
        <w:t xml:space="preserve"> </w:t>
      </w:r>
      <w:r>
        <w:t xml:space="preserve">instead, a two-parameter logistic fit by maximum likelihood</w:t>
      </w:r>
      <w:r>
        <w:t xml:space="preserve"> </w:t>
      </w:r>
      <w:r>
        <w:t xml:space="preserve">on a stratified fifth withheld from the forest’s own fit. A logistic curve is a far more constrained</w:t>
      </w:r>
      <w:r>
        <w:t xml:space="preserve"> </w:t>
      </w:r>
      <w:r>
        <w:t xml:space="preserve">object than a free step function. It is used because the positive class at one binder endpoint is</w:t>
      </w:r>
      <w:r>
        <w:t xml:space="preserve"> </w:t>
      </w:r>
      <w:r>
        <w:t xml:space="preserve">often too small for isotonic regression to be anything but overfitting.</w:t>
      </w:r>
    </w:p>
    <w:bookmarkEnd w:id="10"/>
    <w:bookmarkStart w:id="11" w:name="X96c9436f5e39173d78de4ccd9ee22202021871e"/>
    <w:p>
      <w:pPr>
        <w:pStyle w:val="Heading2"/>
      </w:pPr>
      <w:r>
        <w:t xml:space="preserve">4.3 What calibration achieves on the core classifiers</w:t>
      </w:r>
    </w:p>
    <w:p>
      <w:pPr>
        <w:pStyle w:val="FirstParagraph"/>
      </w:pPr>
      <w:r>
        <w:t xml:space="preserve">Measured over the eight measured-label classifiers, on out-of-fold predictions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results/tables/calibration.csv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 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 calibrated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 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 calibrated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0.0801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0.0147</w:t>
            </w:r>
          </w:p>
        </w:tc>
      </w:tr>
    </w:tbl>
    <w:p>
      <w:pPr>
        <w:pStyle w:val="BodyText"/>
      </w:pPr>
      <w:r>
        <w:t xml:space="preserve">Expected calibration error falls from</w:t>
      </w:r>
      <w:r>
        <w:t xml:space="preserve"> </w:t>
      </w:r>
      <w:r>
        <w:rPr>
          <w:b/>
          <w:bCs/>
        </w:rPr>
        <w:t xml:space="preserve">0.0801 to 0.0147</w:t>
      </w:r>
      <w:r>
        <w:t xml:space="preserve">, a factor of 5.4, and it falls on</w:t>
      </w:r>
      <w: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endpoints. Per endpoint the calibrated error runs from</w:t>
      </w:r>
      <w:r>
        <w:t xml:space="preserve"> </w:t>
      </w:r>
      <w:r>
        <w:rPr>
          <w:b/>
          <w:bCs/>
        </w:rPr>
        <w:t xml:space="preserve">0.0049 at BACE1 to 0.0412 at the</w:t>
      </w:r>
      <w:r>
        <w:rPr>
          <w:b/>
          <w:bCs/>
        </w:rPr>
        <w:t xml:space="preserve"> </w:t>
      </w:r>
      <w:r>
        <w:rPr>
          <w:b/>
          <w:bCs/>
        </w:rPr>
        <w:t xml:space="preserve">barrier model</w:t>
      </w:r>
      <w:r>
        <w:t xml:space="preserve">, which is worst by a factor of eight over the best and remains the panel’s weakest</w:t>
      </w:r>
      <w:r>
        <w:t xml:space="preserve"> </w:t>
      </w:r>
      <w:r>
        <w:t xml:space="preserve">calibration.</w:t>
      </w:r>
    </w:p>
    <w:p>
      <w:pPr>
        <w:pStyle w:val="BodyText"/>
      </w:pPr>
      <w:r>
        <w:rPr>
          <w:b/>
          <w:bCs/>
        </w:rPr>
        <w:t xml:space="preserve">One endpoint gets worse on the other metric, and it is worth stating rather than burying.</w:t>
      </w:r>
      <w:r>
        <w:t xml:space="preserve"> </w:t>
      </w:r>
      <w:r>
        <w:t xml:space="preserve">The</w:t>
      </w:r>
      <w:r>
        <w:t xml:space="preserve"> </w:t>
      </w:r>
      <w:r>
        <w:t xml:space="preserve">Brier score improves on seven of the eight and</w:t>
      </w:r>
      <w:r>
        <w:t xml:space="preserve"> </w:t>
      </w:r>
      <w:r>
        <w:rPr>
          <w:b/>
          <w:bCs/>
        </w:rPr>
        <w:t xml:space="preserve">degrades at the barrier model, from 0.1289 to</w:t>
      </w:r>
      <w:r>
        <w:rPr>
          <w:b/>
          <w:bCs/>
        </w:rPr>
        <w:t xml:space="preserve"> </w:t>
      </w:r>
      <w:r>
        <w:rPr>
          <w:b/>
          <w:bCs/>
        </w:rPr>
        <w:t xml:space="preserve">0.1358</w:t>
      </w:r>
      <w:r>
        <w:t xml:space="preserve">. That is not a contradiction: the Brier score is a proper scoring rule combining calibration</w:t>
      </w:r>
      <w:r>
        <w:t xml:space="preserve"> </w:t>
      </w:r>
      <w:r>
        <w:t xml:space="preserve">and discrimination, so a monotone map that improves the calibration component can still cost more in</w:t>
      </w:r>
      <w:r>
        <w:t xml:space="preserve"> </w:t>
      </w:r>
      <w:r>
        <w:t xml:space="preserve">the sharpness component than it gains. The honest reading is that isotonic calibration buys a real</w:t>
      </w:r>
      <w:r>
        <w:t xml:space="preserve"> </w:t>
      </w:r>
      <w:r>
        <w:t xml:space="preserve">improvement in the barrier model’s reliability at a small cost in its resolution, and that the</w:t>
      </w:r>
      <w:r>
        <w:t xml:space="preserve"> </w:t>
      </w:r>
      <w:r>
        <w:t xml:space="preserve">barrier endpoint is the one where the calibration machinery works least well by both measures.</w:t>
      </w:r>
    </w:p>
    <w:bookmarkEnd w:id="11"/>
    <w:bookmarkStart w:id="12" w:name="what-the-headline-figure-does-not-cover"/>
    <w:p>
      <w:pPr>
        <w:pStyle w:val="Heading2"/>
      </w:pPr>
      <w:r>
        <w:t xml:space="preserve">4.4 What the headline figure does not cover</w:t>
      </w:r>
    </w:p>
    <w:p>
      <w:pPr>
        <w:pStyle w:val="FirstParagraph"/>
      </w:pPr>
      <w:r>
        <w:t xml:space="preserve">The figure 0.0801 to 0.0147 appears in the manuscript abstract, in the technical report, in the</w:t>
      </w:r>
      <w:r>
        <w:t xml:space="preserve"> </w:t>
      </w:r>
      <w:r>
        <w:t xml:space="preserve">evidence map and in Chapter 1 of this thesis.</w:t>
      </w:r>
      <w:r>
        <w:t xml:space="preserve"> </w:t>
      </w:r>
      <w:r>
        <w:rPr>
          <w:b/>
          <w:bCs/>
        </w:rPr>
        <w:t xml:space="preserve">It describes eight of the seventy deployed</w:t>
      </w:r>
      <w:r>
        <w:rPr>
          <w:b/>
          <w:bCs/>
        </w:rPr>
        <w:t xml:space="preserve"> </w:t>
      </w:r>
      <w:r>
        <w:rPr>
          <w:b/>
          <w:bCs/>
        </w:rPr>
        <w:t xml:space="preserve">estimators.</w:t>
      </w:r>
      <w:r>
        <w:t xml:space="preserve"> </w:t>
      </w:r>
      <w:r>
        <w:t xml:space="preserve">No document in the project says so, and it should.</w:t>
      </w:r>
    </w:p>
    <w:p>
      <w:pPr>
        <w:pStyle w:val="BodyText"/>
      </w:pPr>
      <w:r>
        <w:t xml:space="preserve">The other 38 scored targets are Platt-scaled, and their calibration is measured separately, on</w:t>
      </w:r>
      <w:r>
        <w:t xml:space="preserve"> </w:t>
      </w:r>
      <w:r>
        <w:t xml:space="preserve">held-out compounds (</w:t>
      </w:r>
      <w:r>
        <w:rPr>
          <w:rStyle w:val="VerbatimChar"/>
        </w:rPr>
        <w:t xml:space="preserve">results/tables/integrity_calibration_per_target.csv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Core classifiers, isotonic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Binder panel, Platt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ECE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0.0147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ECE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0.0049, 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0.030, 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0.0412, BBB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0.178, TAAR1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of 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 of 38</w:t>
            </w:r>
          </w:p>
        </w:tc>
      </w:tr>
    </w:tbl>
    <w:p>
      <w:pPr>
        <w:pStyle w:val="BodyText"/>
      </w:pPr>
      <w:r>
        <w:t xml:space="preserve">The binder panel’s calibrated expected calibration error, at 0.0762, is</w:t>
      </w:r>
      <w:r>
        <w:t xml:space="preserve"> </w:t>
      </w:r>
      <w:r>
        <w:rPr>
          <w:b/>
          <w:bCs/>
        </w:rPr>
        <w:t xml:space="preserve">five times the core</w:t>
      </w:r>
      <w:r>
        <w:rPr>
          <w:b/>
          <w:bCs/>
        </w:rPr>
        <w:t xml:space="preserve"> </w:t>
      </w:r>
      <w:r>
        <w:rPr>
          <w:b/>
          <w:bCs/>
        </w:rPr>
        <w:t xml:space="preserve">classifiers’ 0.0147 and almost exactly the core classifiers’ figure before calibration, 0.0801</w:t>
      </w:r>
      <w:r>
        <w:t xml:space="preserve">. On</w:t>
      </w:r>
      <w:r>
        <w:t xml:space="preserve"> </w:t>
      </w:r>
      <w:r>
        <w:t xml:space="preserve">this evidence Platt scaling on these endpoints buys very little.</w:t>
      </w:r>
    </w:p>
    <w:p>
      <w:pPr>
        <w:pStyle w:val="BodyText"/>
      </w:pPr>
      <w:r>
        <w:t xml:space="preserve">Three things follow, and the chapter states all three rather than the convenient one.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honest panel-wide statement</w:t>
      </w:r>
      <w:r>
        <w:t xml:space="preserve"> </w:t>
      </w:r>
      <w:r>
        <w:t xml:space="preserve">is not that expected calibration error is 0.0147. It is that it</w:t>
      </w:r>
      <w:r>
        <w:t xml:space="preserve"> </w:t>
      </w:r>
      <w:r>
        <w:t xml:space="preserve">is 0.0147 on the eight core classifiers and 0.0762 across the 38 binder endpoints, and a user reading</w:t>
      </w:r>
      <w:r>
        <w:t xml:space="preserve"> </w:t>
      </w:r>
      <w:r>
        <w:t xml:space="preserve">a binder probability is reading the second number, not the first.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cause is diagnosable and is the one the design anticipated</w:t>
      </w:r>
      <w:r>
        <w:t xml:space="preserve">. Platt scaling was chosen because</w:t>
      </w:r>
      <w:r>
        <w:t xml:space="preserve"> </w:t>
      </w:r>
      <w:r>
        <w:t xml:space="preserve">the withheld positive class at one binder endpoint is often too small to fit an isotonic step</w:t>
      </w:r>
      <w:r>
        <w:t xml:space="preserve"> </w:t>
      </w:r>
      <w:r>
        <w:t xml:space="preserve">function. TAAR1, the worst calibrated at 0.178, has 403 rows in its endpoint table and 82 in the</w:t>
      </w:r>
      <w:r>
        <w:t xml:space="preserve"> </w:t>
      </w:r>
      <w:r>
        <w:t xml:space="preserve">fitted binder set. The constraint was real; the price is now measured.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remedy is specific</w:t>
      </w:r>
      <w:r>
        <w:t xml:space="preserve">. The endpoints with enough held-out positives to support isotonic</w:t>
      </w:r>
      <w:r>
        <w:t xml:space="preserve"> </w:t>
      </w:r>
      <w:r>
        <w:t xml:space="preserve">calibration should have it, and the rest should carry their measured calibration error beside the</w:t>
      </w:r>
      <w:r>
        <w:t xml:space="preserve"> </w:t>
      </w:r>
      <w:r>
        <w:t xml:space="preserve">probability rather than inheriting a headline figure computed on other endpoints. Neither is done,</w:t>
      </w:r>
      <w:r>
        <w:t xml:space="preserve"> </w:t>
      </w:r>
      <w:r>
        <w:t xml:space="preserve">and this is the most actionable piece of future work in the chapter.</w:t>
      </w:r>
    </w:p>
    <w:bookmarkEnd w:id="12"/>
    <w:bookmarkStart w:id="13" w:name="conformal-prediction-the-construction"/>
    <w:p>
      <w:pPr>
        <w:pStyle w:val="Heading2"/>
      </w:pPr>
      <w:r>
        <w:t xml:space="preserve">4.5 Conformal prediction: the construction</w:t>
      </w:r>
    </w:p>
    <w:p>
      <w:pPr>
        <w:pStyle w:val="FirstParagraph"/>
      </w:pPr>
      <w:r>
        <w:t xml:space="preserve">A calibrated probability describes a population.</w:t>
      </w:r>
      <w:r>
        <w:t xml:space="preserve"> </w:t>
      </w:r>
      <w:r>
        <w:rPr>
          <w:b/>
          <w:bCs/>
        </w:rPr>
        <w:t xml:space="preserve">Inductive Mondrian conformal prediction</w:t>
      </w:r>
      <w:r>
        <w:t xml:space="preserve"> </w:t>
      </w:r>
      <w:r>
        <w:t xml:space="preserve">[14]</w:t>
      </w:r>
      <w:r>
        <w:t xml:space="preserve"> </w:t>
      </w:r>
      <w:r>
        <w:t xml:space="preserve">describes a compound, and it does so with a guarantee that is measured on held-out data rather than</w:t>
      </w:r>
      <w:r>
        <w:t xml:space="preserve"> </w:t>
      </w:r>
      <w:r>
        <w:t xml:space="preserve">assumed.</w:t>
      </w:r>
    </w:p>
    <w:p>
      <w:pPr>
        <w:pStyle w:val="BodyText"/>
      </w:pPr>
      <w:r>
        <w:t xml:space="preserve">At significance ε = 0.10, on a calibration set disjoint from training, the nonconformity of a</w:t>
      </w:r>
      <w:r>
        <w:t xml:space="preserve"> </w:t>
      </w:r>
      <w:r>
        <w:t xml:space="preserve">labelled compound is α_i = 1 − q̂(y_i | x_i), the calibrated probability the model assigned to the</w:t>
      </w:r>
      <w:r>
        <w:t xml:space="preserve"> </w:t>
      </w:r>
      <w:r>
        <w:t xml:space="preserve">label that turned out to be correct. For class c with n_c calibration points, the threshold τ_c is</w:t>
      </w:r>
      <w:r>
        <w:t xml:space="preserve"> </w:t>
      </w:r>
      <w:r>
        <w:t xml:space="preserve">the k-th smallest such α within that class, where k = ⌈(n_c + 1)(1 − ε)⌉. The prediction set for a</w:t>
      </w:r>
      <w:r>
        <w:t xml:space="preserve"> </w:t>
      </w:r>
      <w:r>
        <w:t xml:space="preserve">new compound is every class whose nonconformity does not exceed its own threshold:</w:t>
      </w:r>
    </w:p>
    <w:p>
      <w:pPr>
        <w:pStyle w:val="BodyText"/>
      </w:pPr>
      <w:r>
        <w:t xml:space="preserve">Γ(x) = { c : 1 − q̂(c | x) ≤ τ_c }.</w:t>
      </w:r>
    </w:p>
    <w:p>
      <w:pPr>
        <w:pStyle w:val="BodyText"/>
      </w:pPr>
      <w:r>
        <w:t xml:space="preserve">Two features of that construction do real work.</w:t>
      </w:r>
    </w:p>
    <w:p>
      <w:pPr>
        <w:pStyle w:val="BodyText"/>
      </w:pPr>
      <w:r>
        <w:rPr>
          <w:b/>
          <w:bCs/>
        </w:rPr>
        <w:t xml:space="preserve">Mondrian, meaning class-conditional.</w:t>
      </w:r>
      <w:r>
        <w:t xml:space="preserve"> </w:t>
      </w:r>
      <w:r>
        <w:t xml:space="preserve">Thresholds are computed within each class rather than</w:t>
      </w:r>
      <w:r>
        <w:t xml:space="preserve"> </w:t>
      </w:r>
      <w:r>
        <w:t xml:space="preserve">pooled. Under exchangeability this delivers coverage of at least 1 − ε</w:t>
      </w:r>
      <w:r>
        <w:t xml:space="preserve"> </w:t>
      </w:r>
      <w:r>
        <w:rPr>
          <w:i/>
          <w:iCs/>
        </w:rPr>
        <w:t xml:space="preserve">within each class</w:t>
      </w:r>
      <w:r>
        <w:t xml:space="preserve">, which is</w:t>
      </w:r>
      <w:r>
        <w:t xml:space="preserve"> </w:t>
      </w:r>
      <w:r>
        <w:t xml:space="preserve">what the pooled form does not. The distinction is not academic on this data: Chapter 2 records a</w:t>
      </w:r>
      <w:r>
        <w:t xml:space="preserve"> </w:t>
      </w:r>
      <w:r>
        <w:t xml:space="preserve">median active fraction of 0.825 and endpoints reaching 0.962, and on such a set marginal coverage of</w:t>
      </w:r>
      <w:r>
        <w:t xml:space="preserve"> </w:t>
      </w:r>
      <w:r>
        <w:t xml:space="preserve">0.90 can be satisfied while the rare class fails almost completely. The class-conditional form makes</w:t>
      </w:r>
      <w:r>
        <w:t xml:space="preserve"> </w:t>
      </w:r>
      <w:r>
        <w:t xml:space="preserve">that failure visible instead of averaging it away.</w:t>
      </w:r>
    </w:p>
    <w:p>
      <w:pPr>
        <w:pStyle w:val="BodyText"/>
      </w:pPr>
      <w:r>
        <w:rPr>
          <w:b/>
          <w:bCs/>
        </w:rPr>
        <w:t xml:space="preserve">The prediction set can be empty or contain both classes.</w:t>
      </w:r>
      <w:r>
        <w:t xml:space="preserve"> </w:t>
      </w:r>
      <w:r>
        <w:t xml:space="preserve">An empty set means the compound conforms</w:t>
      </w:r>
      <w:r>
        <w:t xml:space="preserve"> </w:t>
      </w:r>
      <w:r>
        <w:t xml:space="preserve">to neither class: it is unlike the actives and unlike the inactives. A set containing both means it</w:t>
      </w:r>
      <w:r>
        <w:t xml:space="preserve"> </w:t>
      </w:r>
      <w:r>
        <w:t xml:space="preserve">separates neither. Both are informative, both are displayed, and neither is available from a point</w:t>
      </w:r>
      <w:r>
        <w:t xml:space="preserve"> </w:t>
      </w:r>
      <w:r>
        <w:t xml:space="preserve">probability. This is the specific respect in which the conformal layer says something calibration</w:t>
      </w:r>
      <w:r>
        <w:t xml:space="preserve"> </w:t>
      </w:r>
      <w:r>
        <w:t xml:space="preserve">cannot.</w:t>
      </w:r>
    </w:p>
    <w:bookmarkEnd w:id="13"/>
    <w:bookmarkStart w:id="14" w:name="Xa1aafc31a36e09d1e35599ded66946bdc0cd9d6"/>
    <w:p>
      <w:pPr>
        <w:pStyle w:val="Heading2"/>
      </w:pPr>
      <w:r>
        <w:t xml:space="preserve">4.6 What coverage the panel actually achieves</w:t>
      </w:r>
    </w:p>
    <w:p>
      <w:pPr>
        <w:pStyle w:val="FirstParagraph"/>
      </w:pPr>
      <w:r>
        <w:t xml:space="preserve">Measured on 10,000 held-out compounds across the eight core classifiers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results/tables/rf_conformal.csv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compounds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Empirical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set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1.079</w:t>
            </w:r>
          </w:p>
        </w:tc>
      </w:tr>
    </w:tbl>
    <w:p>
      <w:pPr>
        <w:pStyle w:val="BodyText"/>
      </w:pPr>
      <w:r>
        <w:t xml:space="preserve">Empirical coverage runs</w:t>
      </w:r>
      <w:r>
        <w:t xml:space="preserve"> </w:t>
      </w:r>
      <w:r>
        <w:rPr>
          <w:b/>
          <w:bCs/>
        </w:rPr>
        <w:t xml:space="preserve">0.889 to 0.921</w:t>
      </w:r>
      <w:r>
        <w:t xml:space="preserve"> </w:t>
      </w:r>
      <w:r>
        <w:t xml:space="preserve">against a 0.90 target.</w:t>
      </w:r>
      <w:r>
        <w:t xml:space="preserve"> </w:t>
      </w:r>
      <w:r>
        <w:rPr>
          <w:b/>
          <w:bCs/>
        </w:rPr>
        <w:t xml:space="preserve">Six of the eight sit at or above</w:t>
      </w:r>
      <w:r>
        <w:rPr>
          <w:b/>
          <w:bCs/>
        </w:rPr>
        <w:t xml:space="preserve"> </w:t>
      </w:r>
      <w:r>
        <w:rPr>
          <w:b/>
          <w:bCs/>
        </w:rPr>
        <w:t xml:space="preserve">target.</w:t>
      </w:r>
      <w:r>
        <w:t xml:space="preserve"> </w:t>
      </w:r>
      <w:r>
        <w:t xml:space="preserve">The two that fall short are the monoamine oxidases: MAO-B at 0.899, one thousandth below,</w:t>
      </w:r>
      <w:r>
        <w:t xml:space="preserve"> </w:t>
      </w:r>
      <w:r>
        <w:t xml:space="preserve">and MAO-A at 0.889, eleven thousandths below on 758 test compounds. Neither shortfall is larger than</w:t>
      </w:r>
      <w:r>
        <w:t xml:space="preserve"> </w:t>
      </w:r>
      <w:r>
        <w:t xml:space="preserve">the sampling error at those set sizes, and the direction is worth noting rather than explaining away,</w:t>
      </w:r>
      <w:r>
        <w:t xml:space="preserve"> </w:t>
      </w:r>
      <w:r>
        <w:t xml:space="preserve">because MAO-A and MAO-B are also the two endpoints Chapter 8 records as degrading most under a</w:t>
      </w:r>
      <w:r>
        <w:t xml:space="preserve"> </w:t>
      </w:r>
      <w:r>
        <w:t xml:space="preserve">scaffold split. Conformal coverage is a guarantee under exchangeability, and these are the endpoints</w:t>
      </w:r>
      <w:r>
        <w:t xml:space="preserve"> </w:t>
      </w:r>
      <w:r>
        <w:t xml:space="preserve">whose chemistry is least scaffold-diverse.</w:t>
      </w:r>
    </w:p>
    <w:p>
      <w:pPr>
        <w:pStyle w:val="BodyText"/>
      </w:pPr>
      <w:r>
        <w:t xml:space="preserve">The uncertainty statement is nonetheless honest in the aggregate: when the server says the truth is in</w:t>
      </w:r>
      <w:r>
        <w:t xml:space="preserve"> </w:t>
      </w:r>
      <w:r>
        <w:t xml:space="preserve">the set nine times in ten, it is, to within about one part in a hundred.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mean set size runs 1.007 to 1.079</w:t>
      </w:r>
      <w:r>
        <w:t xml:space="preserve"> </w:t>
      </w:r>
      <w:r>
        <w:t xml:space="preserve">on a two-class problem, where 1.0 would mean every</w:t>
      </w:r>
      <w:r>
        <w:t xml:space="preserve"> </w:t>
      </w:r>
      <w:r>
        <w:t xml:space="preserve">prediction is a confident single label and 2.0 that none is. Between 0.7 and 7.9 per cent of</w:t>
      </w:r>
      <w:r>
        <w:t xml:space="preserve"> </w:t>
      </w:r>
      <w:r>
        <w:t xml:space="preserve">compounds therefore receive an ambiguous or empty set, hERG being the most equivocal at 1.079. Small</w:t>
      </w:r>
      <w:r>
        <w:t xml:space="preserve"> </w:t>
      </w:r>
      <w:r>
        <w:t xml:space="preserve">average set sizes are what make the guarantee useful rather than vacuous: a predictor that always</w:t>
      </w:r>
      <w:r>
        <w:t xml:space="preserve"> </w:t>
      </w:r>
      <w:r>
        <w:t xml:space="preserve">returned both classes would achieve perfect coverage and say nothing.</w:t>
      </w:r>
    </w:p>
    <w:p>
      <w:pPr>
        <w:pStyle w:val="BodyText"/>
      </w:pPr>
      <w:r>
        <w:t xml:space="preserve">Two limitations travel with these figures. They cover the</w:t>
      </w:r>
      <w:r>
        <w:t xml:space="preserve"> </w:t>
      </w:r>
      <w:r>
        <w:rPr>
          <w:b/>
          <w:bCs/>
        </w:rPr>
        <w:t xml:space="preserve">same eight core classifiers</w:t>
      </w:r>
      <w:r>
        <w:t xml:space="preserve"> </w:t>
      </w:r>
      <w:r>
        <w:t xml:space="preserve">as section</w:t>
      </w:r>
      <w:r>
        <w:t xml:space="preserve"> </w:t>
      </w:r>
      <w:r>
        <w:t xml:space="preserve">4.3, so the binder panel has no measured coverage statement at all. And the guarantee holds</w:t>
      </w:r>
      <w: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exchangeability</w:t>
      </w:r>
      <w:r>
        <w:t xml:space="preserve">, which is exactly the assumption a compound from a new chemical series violates.</w:t>
      </w:r>
      <w:r>
        <w:t xml:space="preserve"> </w:t>
      </w:r>
      <w:r>
        <w:t xml:space="preserve">Chapter 8 shows what happens when that assumption fails, and the answer is that recall degrades in a</w:t>
      </w:r>
      <w:r>
        <w:t xml:space="preserve"> </w:t>
      </w:r>
      <w:r>
        <w:t xml:space="preserve">way the coverage statement does not predict.</w:t>
      </w:r>
    </w:p>
    <w:bookmarkEnd w:id="14"/>
    <w:bookmarkStart w:id="15" w:name="X15f8d4d9152fdd017950760eab14cc0fcaf8a40"/>
    <w:p>
      <w:pPr>
        <w:pStyle w:val="Heading2"/>
      </w:pPr>
      <w:r>
        <w:t xml:space="preserve">4.7 The applicability domain: definition and bands</w:t>
      </w:r>
    </w:p>
    <w:p>
      <w:pPr>
        <w:pStyle w:val="FirstParagraph"/>
      </w:pPr>
      <w:r>
        <w:t xml:space="preserve">The applicability domain measure is the</w:t>
      </w:r>
      <w:r>
        <w:t xml:space="preserve"> </w:t>
      </w:r>
      <w:r>
        <w:rPr>
          <w:b/>
          <w:bCs/>
        </w:rPr>
        <w:t xml:space="preserve">maximum Tanimoto similarity of the query to that endpoint’s</w:t>
      </w:r>
      <w:r>
        <w:rPr>
          <w:b/>
          <w:bCs/>
        </w:rPr>
        <w:t xml:space="preserve"> </w:t>
      </w:r>
      <w:r>
        <w:rPr>
          <w:b/>
          <w:bCs/>
        </w:rPr>
        <w:t xml:space="preserve">own measured chemistry</w:t>
      </w:r>
      <w:r>
        <w:t xml:space="preserve">, computed on 2,048-bit Morgan fingerprints, reported with the nearest</w:t>
      </w:r>
      <w:r>
        <w:t xml:space="preserve"> </w:t>
      </w:r>
      <w:r>
        <w:t xml:space="preserve">measured analogue and its structure so a user can look at it.</w:t>
      </w:r>
    </w:p>
    <w:p>
      <w:pPr>
        <w:pStyle w:val="BodyText"/>
      </w:pPr>
      <w:r>
        <w:t xml:space="preserve">The interface reports three bands: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 domain</w:t>
      </w:r>
      <w:r>
        <w:t xml:space="preserve">, T ≥ 0.50: the query sits among measured chemistry.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Near domain</w:t>
      </w:r>
      <w:r>
        <w:t xml:space="preserve">, 0.30 ≤ T &lt; 0.50.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 of domain</w:t>
      </w:r>
      <w:r>
        <w:t xml:space="preserve">, T &lt; 0.30.</w:t>
      </w:r>
    </w:p>
    <w:p>
      <w:pPr>
        <w:pStyle w:val="FirstParagraph"/>
      </w:pPr>
      <w:r>
        <w:rPr>
          <w:b/>
          <w:bCs/>
        </w:rPr>
        <w:t xml:space="preserve">A naming inconsistency worth fixing.</w:t>
      </w:r>
      <w:r>
        <w:t xml:space="preserve"> </w:t>
      </w:r>
      <w:r>
        <w:t xml:space="preserve">The evaluation scripts use a single cut,</w:t>
      </w:r>
      <w:r>
        <w:t xml:space="preserve"> </w:t>
      </w:r>
      <w:r>
        <w:rPr>
          <w:rStyle w:val="VerbatimChar"/>
        </w:rPr>
        <w:t xml:space="preserve">AD_THRESHOLD = 0.30</w:t>
      </w:r>
      <w:r>
        <w:t xml:space="preserve">, and the artefacts they write label everything above it</w:t>
      </w:r>
      <w:r>
        <w:t xml:space="preserve"> </w:t>
      </w:r>
      <w:r>
        <w:rPr>
          <w:rStyle w:val="VerbatimChar"/>
        </w:rPr>
        <w:t xml:space="preserve">in_domain</w:t>
      </w:r>
      <w:r>
        <w:t xml:space="preserve">. So</w:t>
      </w:r>
      <w:r>
        <w:t xml:space="preserve"> </w:t>
      </w:r>
      <w:r>
        <w:rPr>
          <w:rStyle w:val="VerbatimChar"/>
        </w:rPr>
        <w:t xml:space="preserve">applicability_coverage.csv</w:t>
      </w:r>
      <w:r>
        <w:t xml:space="preserve"> </w:t>
      </w:r>
      <w:r>
        <w:t xml:space="preserve">reporting a barrier</w:t>
      </w:r>
      <w:r>
        <w:t xml:space="preserve"> </w:t>
      </w:r>
      <w:r>
        <w:t xml:space="preserve">“in-domain fraction”</w:t>
      </w:r>
      <w:r>
        <w:t xml:space="preserve"> </w:t>
      </w:r>
      <w:r>
        <w:t xml:space="preserve">of 0.7171 means</w:t>
      </w:r>
      <w:r>
        <w:t xml:space="preserve"> </w:t>
      </w:r>
      <w:r>
        <w:rPr>
          <w:i/>
          <w:iCs/>
        </w:rPr>
        <w:t xml:space="preserve">in or near</w:t>
      </w:r>
      <w:r>
        <w:rPr>
          <w:i/>
          <w:iCs/>
        </w:rPr>
        <w:t xml:space="preserve"> </w:t>
      </w:r>
      <w:r>
        <w:rPr>
          <w:i/>
          <w:iCs/>
        </w:rPr>
        <w:t xml:space="preserve">domain</w:t>
      </w:r>
      <w:r>
        <w:t xml:space="preserve"> </w:t>
      </w:r>
      <w:r>
        <w:t xml:space="preserve">in the interface’s language. A reader comparing that figure with the green</w:t>
      </w:r>
      <w:r>
        <w:t xml:space="preserve"> </w:t>
      </w:r>
      <w:r>
        <w:t xml:space="preserve">“In domain”</w:t>
      </w:r>
      <w:r>
        <w:t xml:space="preserve"> </w:t>
      </w:r>
      <w:r>
        <w:t xml:space="preserve">badge</w:t>
      </w:r>
      <w:r>
        <w:t xml:space="preserve"> </w:t>
      </w:r>
      <w:r>
        <w:t xml:space="preserve">the server shows is comparing two different things.</w:t>
      </w:r>
    </w:p>
    <w:bookmarkEnd w:id="15"/>
    <w:bookmarkStart w:id="16" w:name="choosing-the-measure"/>
    <w:p>
      <w:pPr>
        <w:pStyle w:val="Heading2"/>
      </w:pPr>
      <w:r>
        <w:t xml:space="preserve">4.8 Choosing the measure</w:t>
      </w:r>
    </w:p>
    <w:p>
      <w:pPr>
        <w:pStyle w:val="FirstParagraph"/>
      </w:pPr>
      <w:r>
        <w:t xml:space="preserve">Four candidate measures were compared on their ability to separate chemistry genuinely absent from</w:t>
      </w:r>
      <w:r>
        <w:t xml:space="preserve"> </w:t>
      </w:r>
      <w:r>
        <w:t xml:space="preserve">the reference library from approved drugs the models had not seen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results/tables/applicability_measures.csv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913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Median, unseen drugs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Median, non-drug-like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Separates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 at 10% drug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Distant chemistry caught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 similarity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of top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5th nearest neighbour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 within 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</w:tr>
    </w:tbl>
    <w:p>
      <w:pPr>
        <w:pStyle w:val="BodyText"/>
      </w:pPr>
      <w:r>
        <w:t xml:space="preserve">Two of the four separate at the stated criterion of p &lt; 0.01, and</w:t>
      </w:r>
      <w:r>
        <w:t xml:space="preserve"> </w:t>
      </w:r>
      <w:r>
        <w:rPr>
          <w:b/>
          <w:bCs/>
        </w:rPr>
        <w:t xml:space="preserve">no alternative beats the deployed</w:t>
      </w:r>
      <w:r>
        <w:rPr>
          <w:b/>
          <w:bCs/>
        </w:rPr>
        <w:t xml:space="preserve"> </w:t>
      </w:r>
      <w:r>
        <w:rPr>
          <w:b/>
          <w:bCs/>
        </w:rPr>
        <w:t xml:space="preserve">one</w:t>
      </w:r>
      <w:r>
        <w:t xml:space="preserve">. The maximum has the largest separation and the smallest p-value, so the simplest measure is</w:t>
      </w:r>
      <w:r>
        <w:t xml:space="preserve"> </w:t>
      </w:r>
      <w:r>
        <w:t xml:space="preserve">also the best available here. That is a mildly deflating result and it is the right one to report:</w:t>
      </w:r>
      <w:r>
        <w:t xml:space="preserve"> </w:t>
      </w:r>
      <w:r>
        <w:t xml:space="preserve">the choice was not tuned, it was tested against three alternatives and won.</w:t>
      </w:r>
    </w:p>
    <w:p>
      <w:pPr>
        <w:pStyle w:val="BodyText"/>
      </w:pPr>
      <w:r>
        <w:t xml:space="preserve">The fifth-nearest-neighbour measure catches half of distant chemistry against the maximum’s 0.375,</w:t>
      </w:r>
      <w:r>
        <w:t xml:space="preserve"> </w:t>
      </w:r>
      <w:r>
        <w:t xml:space="preserve">which looks better until one notices it fails the separation criterion. Catching more at a threshold</w:t>
      </w:r>
      <w:r>
        <w:t xml:space="preserve"> </w:t>
      </w:r>
      <w:r>
        <w:t xml:space="preserve">chosen post hoc is not the same as discriminating.</w:t>
      </w:r>
    </w:p>
    <w:bookmarkEnd w:id="16"/>
    <w:bookmarkStart w:id="17" w:name="X65b87aa2a4d15ecf798836add9ddc6ddd1e502e"/>
    <w:p>
      <w:pPr>
        <w:pStyle w:val="Heading2"/>
      </w:pPr>
      <w:r>
        <w:t xml:space="preserve">4.9 What the flag was built for, and does badly</w:t>
      </w:r>
    </w:p>
    <w:p>
      <w:pPr>
        <w:pStyle w:val="FirstParagraph"/>
      </w:pPr>
      <w:r>
        <w:t xml:space="preserve">The adversarial check asks whether the flag rates chemistry genuinely absent from the reference</w:t>
      </w:r>
      <w:r>
        <w:t xml:space="preserve"> </w:t>
      </w:r>
      <w:r>
        <w:t xml:space="preserve">library worse than approved drugs it has never seen. It</w:t>
      </w:r>
      <w:r>
        <w:t xml:space="preserve"> </w:t>
      </w:r>
      <w:r>
        <w:rPr>
          <w:b/>
          <w:bCs/>
        </w:rPr>
        <w:t xml:space="preserve">passes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results/tables/inversion_validation.csv</w:t>
      </w:r>
      <w:r>
        <w:t xml:space="preserve">): median maximum similarity 0.59 for unseen drugs against</w:t>
      </w:r>
      <w:r>
        <w:t xml:space="preserve"> </w:t>
      </w:r>
      <w:r>
        <w:t xml:space="preserve">0.47 for non-drug-like chemistry, over 25 controls, one-sided Mann-Whitney p = 1.11 × 10⁻³.</w:t>
      </w:r>
    </w:p>
    <w:p>
      <w:pPr>
        <w:pStyle w:val="BodyText"/>
      </w:pPr>
      <w:r>
        <w:t xml:space="preserve">Chapter 9 records the history in full, because the check previously failed and the fix was to the</w:t>
      </w:r>
      <w:r>
        <w:t xml:space="preserve"> </w:t>
      </w:r>
      <w:r>
        <w:t xml:space="preserve">controls rather than to the criterion: 28 of the original controls were measured compounds inside the</w:t>
      </w:r>
      <w:r>
        <w:t xml:space="preserve"> </w:t>
      </w:r>
      <w:r>
        <w:t xml:space="preserve">flag’s own reference library, where calling them in domain is truthful. The passing criterion was not</w:t>
      </w:r>
      <w:r>
        <w:t xml:space="preserve"> </w:t>
      </w:r>
      <w:r>
        <w:t xml:space="preserve">moved.</w:t>
      </w:r>
    </w:p>
    <w:p>
      <w:pPr>
        <w:pStyle w:val="BodyText"/>
      </w:pPr>
      <w:r>
        <w:rPr>
          <w:b/>
          <w:bCs/>
        </w:rPr>
        <w:t xml:space="preserve">Passing is not the same as being useful, and the gap is large.</w:t>
      </w:r>
      <w:r>
        <w:t xml:space="preserve"> </w:t>
      </w:r>
      <w:r>
        <w:t xml:space="preserve">At a threshold that rejects a</w:t>
      </w:r>
      <w:r>
        <w:t xml:space="preserve"> </w:t>
      </w:r>
      <w:r>
        <w:t xml:space="preserve">tenth of genuine drugs, the flag catches</w:t>
      </w:r>
      <w:r>
        <w:t xml:space="preserve"> </w:t>
      </w:r>
      <w:r>
        <w:rPr>
          <w:b/>
          <w:bCs/>
        </w:rPr>
        <w:t xml:space="preserve">0.375</w:t>
      </w:r>
      <w:r>
        <w:t xml:space="preserve"> </w:t>
      </w:r>
      <w:r>
        <w:t xml:space="preserve">of genuinely distant chemistry. At the deployed</w:t>
      </w:r>
      <w:r>
        <w:t xml:space="preserve"> </w:t>
      </w:r>
      <w:r>
        <w:t xml:space="preserve">cut of 0.30 it catches</w:t>
      </w:r>
      <w:r>
        <w:t xml:space="preserve"> </w:t>
      </w:r>
      <w:r>
        <w:rPr>
          <w:b/>
          <w:bCs/>
        </w:rPr>
        <w:t xml:space="preserve">0.20</w:t>
      </w:r>
      <w:r>
        <w:t xml:space="preserve">. Four out of five non-drug-like structures are waved through. The</w:t>
      </w:r>
      <w:r>
        <w:t xml:space="preserve"> </w:t>
      </w:r>
      <w:r>
        <w:t xml:space="preserve">flag separates in the aggregate and discriminates poorly on the individual case, and no amount of</w:t>
      </w:r>
      <w:r>
        <w:t xml:space="preserve"> </w:t>
      </w:r>
      <w:r>
        <w:t xml:space="preserve">restating the p-value changes that.</w:t>
      </w:r>
    </w:p>
    <w:p>
      <w:pPr>
        <w:pStyle w:val="BodyText"/>
      </w:pPr>
      <w:r>
        <w:t xml:space="preserve">The technical report’s conclusion is right and is worth repeating here: the conformal interval and</w:t>
      </w:r>
      <w:r>
        <w:t xml:space="preserve"> </w:t>
      </w:r>
      <w:r>
        <w:t xml:space="preserve">the nearest-analogue distance are the stronger statements of confidence, and the interface says so.</w:t>
      </w:r>
    </w:p>
    <w:bookmarkEnd w:id="17"/>
    <w:bookmarkStart w:id="18" w:name="what-the-flag-actually-predicts"/>
    <w:p>
      <w:pPr>
        <w:pStyle w:val="Heading2"/>
      </w:pPr>
      <w:r>
        <w:t xml:space="preserve">4.10 What the flag actually predicts</w:t>
      </w:r>
    </w:p>
    <w:p>
      <w:pPr>
        <w:pStyle w:val="FirstParagraph"/>
      </w:pPr>
      <w:r>
        <w:t xml:space="preserve">The applicability domain was built to detect non-drug-like chemistry, which it does weakly. It turns</w:t>
      </w:r>
      <w:r>
        <w:t xml:space="preserve"> </w:t>
      </w:r>
      <w:r>
        <w:t xml:space="preserve">out to be a good predictor of something else entirely, and this is the most useful result in the</w:t>
      </w:r>
      <w:r>
        <w:t xml:space="preserve"> </w:t>
      </w:r>
      <w:r>
        <w:t xml:space="preserve">chapter.</w:t>
      </w:r>
    </w:p>
    <w:p>
      <w:pPr>
        <w:pStyle w:val="BodyText"/>
      </w:pPr>
      <w:r>
        <w:rPr>
          <w:b/>
          <w:bCs/>
        </w:rPr>
        <w:t xml:space="preserve">Recall is a monotone function of the domain distance.</w:t>
      </w:r>
      <w:r>
        <w:t xml:space="preserve"> </w:t>
      </w:r>
      <w:r>
        <w:t xml:space="preserve">Across three test sets built by unrelated</w:t>
      </w:r>
      <w:r>
        <w:t xml:space="preserve"> </w:t>
      </w:r>
      <w:r>
        <w:t xml:space="preserve">rules, withheld by publication date, at random, and by curator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results/tables/external_novelty_strata.csv</w:t>
      </w:r>
      <w:r>
        <w:t xml:space="preserve">), recall against maximum Tanimoto to the training</w:t>
      </w:r>
      <w:r>
        <w:t xml:space="preserve"> </w:t>
      </w:r>
      <w:r>
        <w:t xml:space="preserve">actives runs: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 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curator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0.40, different chemotype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0.40 to 0.55, related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0.55 to 0.70, same 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0.70 and above, close analogue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0.9011</w:t>
            </w:r>
          </w:p>
        </w:tc>
      </w:tr>
    </w:tbl>
    <w:p>
      <w:pPr>
        <w:pStyle w:val="BodyText"/>
      </w:pPr>
      <w:r>
        <w:t xml:space="preserve">The quantity the server already computes for every query, and already displays, predicts the recall</w:t>
      </w:r>
      <w:r>
        <w:t xml:space="preserve"> </w:t>
      </w:r>
      <w:r>
        <w:t xml:space="preserve">that query will receive. A compound the flag places near the edge of the domain is precisely the</w:t>
      </w:r>
      <w:r>
        <w:t xml:space="preserve"> </w:t>
      </w:r>
      <w:r>
        <w:t xml:space="preserve">compound whose activity the panel is most likely to miss. The consequence is the one Chapter 1 called</w:t>
      </w:r>
      <w:r>
        <w:t xml:space="preserve"> </w:t>
      </w:r>
      <w:r>
        <w:t xml:space="preserve">the third absent capability:</w:t>
      </w:r>
      <w:r>
        <w:t xml:space="preserve"> </w:t>
      </w:r>
      <w:r>
        <w:rPr>
          <w:b/>
          <w:bCs/>
        </w:rPr>
        <w:t xml:space="preserve">the expected recall for the compound in hand is knowable at the moment</w:t>
      </w:r>
      <w:r>
        <w:rPr>
          <w:b/>
          <w:bCs/>
        </w:rPr>
        <w:t xml:space="preserve"> </w:t>
      </w:r>
      <w:r>
        <w:rPr>
          <w:b/>
          <w:bCs/>
        </w:rPr>
        <w:t xml:space="preserve">of the query</w:t>
      </w:r>
      <w:r>
        <w:t xml:space="preserve">, not only in aggregate, and silence can be reported with a number attached.</w:t>
      </w:r>
    </w:p>
    <w:p>
      <w:pPr>
        <w:pStyle w:val="BodyText"/>
      </w:pPr>
      <w:r>
        <w:t xml:space="preserve">So the flag earns its place in a role it was not designed for and was not being credited with. It is</w:t>
      </w:r>
      <w:r>
        <w:t xml:space="preserve"> </w:t>
      </w:r>
      <w:r>
        <w:t xml:space="preserve">a poor detector of alien chemistry and a good predictor of when the panel will fall silent on a real</w:t>
      </w:r>
      <w:r>
        <w:t xml:space="preserve"> </w:t>
      </w:r>
      <w:r>
        <w:t xml:space="preserve">active.</w:t>
      </w:r>
    </w:p>
    <w:bookmarkEnd w:id="18"/>
    <w:bookmarkStart w:id="19" w:name="X46814b26e4cb4d4db980e5c0012dd2045c649f7"/>
    <w:p>
      <w:pPr>
        <w:pStyle w:val="Heading2"/>
      </w:pPr>
      <w:r>
        <w:t xml:space="preserve">4.11 The domain flag does not predict discrimination</w:t>
      </w:r>
    </w:p>
    <w:p>
      <w:pPr>
        <w:pStyle w:val="FirstParagraph"/>
      </w:pPr>
      <w:r>
        <w:t xml:space="preserve">The natural next assumption is that a compound outside the domain also receives a worse-ranked</w:t>
      </w:r>
      <w:r>
        <w:t xml:space="preserve"> </w:t>
      </w:r>
      <w:r>
        <w:t xml:space="preserve">prediction. On the one external set where this can be tested,</w:t>
      </w:r>
      <w:r>
        <w:t xml:space="preserve"> </w:t>
      </w:r>
      <w:r>
        <w:rPr>
          <w:b/>
          <w:bCs/>
        </w:rPr>
        <w:t xml:space="preserve">it does not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results/tables/applicability_bbb_validation.csv</w:t>
      </w:r>
      <w:r>
        <w:t xml:space="preserve">, regenerated for this chapter):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max Tanimoto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domain, T ≥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domain, T &lt;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0.7320</w:t>
            </w:r>
          </w:p>
        </w:tc>
      </w:tr>
    </w:tbl>
    <w:p>
      <w:pPr>
        <w:pStyle w:val="BodyText"/>
      </w:pPr>
      <w:r>
        <w:t xml:space="preserve">The barrier model</w:t>
      </w:r>
      <w:r>
        <w:t xml:space="preserve"> </w:t>
      </w:r>
      <w:r>
        <w:rPr>
          <w:b/>
          <w:bCs/>
        </w:rPr>
        <w:t xml:space="preserve">ranks the 48 out-of-domain compounds better than the 258 in-domain ones</w:t>
      </w:r>
      <w:r>
        <w:t xml:space="preserve">, by</w:t>
      </w:r>
      <w:r>
        <w:t xml:space="preserve"> </w:t>
      </w:r>
      <w:r>
        <w:t xml:space="preserve">0.046 AUROC, while accuracy is flat across the two. The result should not be over-read: 48 compounds</w:t>
      </w:r>
      <w:r>
        <w:t xml:space="preserve"> </w:t>
      </w:r>
      <w:r>
        <w:t xml:space="preserve">is a small set, no interval is computed here, and the two subsets are not matched on anything but</w:t>
      </w:r>
      <w:r>
        <w:t xml:space="preserve"> </w:t>
      </w:r>
      <w:r>
        <w:t xml:space="preserve">distance. But the direction is the opposite of the assumption, and the assumption is the one a</w:t>
      </w:r>
      <w:r>
        <w:t xml:space="preserve"> </w:t>
      </w:r>
      <w:r>
        <w:t xml:space="preserve">referee will bring.</w:t>
      </w:r>
    </w:p>
    <w:p>
      <w:pPr>
        <w:pStyle w:val="BodyText"/>
      </w:pPr>
      <w:r>
        <w:t xml:space="preserve">The reconciliation with section 4.10 is the point of reporting both.</w:t>
      </w:r>
      <w:r>
        <w:t xml:space="preserve"> </w:t>
      </w:r>
      <w:r>
        <w:rPr>
          <w:b/>
          <w:bCs/>
        </w:rPr>
        <w:t xml:space="preserve">Recall and ranking are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quantities.</w:t>
      </w:r>
      <w:r>
        <w:t xml:space="preserve"> </w:t>
      </w:r>
      <w:r>
        <w:t xml:space="preserve">The domain distance predicts recall, which is a property of where the</w:t>
      </w:r>
      <w:r>
        <w:t xml:space="preserve"> </w:t>
      </w:r>
      <w:r>
        <w:t xml:space="preserve">decision threshold sits relative to the score distribution of true actives. It does not predict</w:t>
      </w:r>
      <w:r>
        <w:t xml:space="preserve"> </w:t>
      </w:r>
      <w:r>
        <w:t xml:space="preserve">AUROC, which is threshold-free. A model can rank a distant compound correctly relative to other</w:t>
      </w:r>
      <w:r>
        <w:t xml:space="preserve"> </w:t>
      </w:r>
      <w:r>
        <w:t xml:space="preserve">distant compounds while placing all of them below a threshold calibrated on near chemistry. That is</w:t>
      </w:r>
      <w:r>
        <w:t xml:space="preserve"> </w:t>
      </w:r>
      <w:r>
        <w:t xml:space="preserve">precisely the behaviour Chapter 8 documents: on novel chemistry the panel does not become wrong, it</w:t>
      </w:r>
      <w:r>
        <w:t xml:space="preserve"> </w:t>
      </w:r>
      <w:r>
        <w:t xml:space="preserve">becomes quiet.</w:t>
      </w:r>
    </w:p>
    <w:p>
      <w:pPr>
        <w:pStyle w:val="BodyText"/>
      </w:pPr>
      <w:r>
        <w:t xml:space="preserve">The practical statement for a user is therefore narrower than the flag’s name suggests. A low domain</w:t>
      </w:r>
      <w:r>
        <w:t xml:space="preserve"> </w:t>
      </w:r>
      <w:r>
        <w:t xml:space="preserve">distance means</w:t>
      </w:r>
      <w:r>
        <w:t xml:space="preserve"> </w:t>
      </w:r>
      <w:r>
        <w:rPr>
          <w:i/>
          <w:iCs/>
        </w:rPr>
        <w:t xml:space="preserve">this endpoint is likely to miss a real activity here</w:t>
      </w:r>
      <w:r>
        <w:t xml:space="preserve">. It does not mean</w:t>
      </w:r>
      <w: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endpoint’s prediction is unreliable in the ranking sense</w:t>
      </w:r>
      <w:r>
        <w:t xml:space="preserve">, and the two should not be conflated.</w:t>
      </w:r>
    </w:p>
    <w:bookmarkEnd w:id="19"/>
    <w:bookmarkStart w:id="20" w:name="Xe43e261ae27f4197367e05dc79c4b0938b9a3b4"/>
    <w:p>
      <w:pPr>
        <w:pStyle w:val="Heading2"/>
      </w:pPr>
      <w:r>
        <w:t xml:space="preserve">4.12 How much of drug space is inside the domain</w:t>
      </w:r>
    </w:p>
    <w:p>
      <w:pPr>
        <w:pStyle w:val="FirstParagraph"/>
      </w:pPr>
      <w:r>
        <w:t xml:space="preserve">The final quantity is coverage, and it is sobering. Scoring the 11,723 DrugBank approved and</w:t>
      </w:r>
      <w:r>
        <w:t xml:space="preserve"> </w:t>
      </w:r>
      <w:r>
        <w:t xml:space="preserve">investigational drugs against each endpoint’s measured chemistry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results/tables/applicability_coverage.csv</w:t>
      </w:r>
      <w:r>
        <w:t xml:space="preserve">, regenerated for this chapter) gives the fraction at or</w:t>
      </w:r>
      <w:r>
        <w:t xml:space="preserve"> </w:t>
      </w:r>
      <w:r>
        <w:t xml:space="preserve">above the 0.30 cut, and the median distance: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Fraction at T ≥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max Tanimoto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GSK-3β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</w:t>
            </w:r>
          </w:p>
        </w:tc>
      </w:tr>
    </w:tbl>
    <w:p>
      <w:pPr>
        <w:pStyle w:val="BodyText"/>
      </w:pPr>
      <w:r>
        <w:t xml:space="preserve">For every endpoint except the barrier model,</w:t>
      </w:r>
      <w:r>
        <w:t xml:space="preserve"> </w:t>
      </w:r>
      <w:r>
        <w:rPr>
          <w:b/>
          <w:bCs/>
        </w:rPr>
        <w:t xml:space="preserve">most approved drugs sit below the 0.30 cut</w:t>
      </w:r>
      <w:r>
        <w:t xml:space="preserve">, and at</w:t>
      </w:r>
      <w:r>
        <w:t xml:space="preserve"> </w:t>
      </w:r>
      <w:r>
        <w:t xml:space="preserve">BACE1 nearly four in five do. The median approved drug is at Tanimoto 0.25 to 0.30 from the nearest</w:t>
      </w:r>
      <w:r>
        <w:t xml:space="preserve"> </w:t>
      </w:r>
      <w:r>
        <w:t xml:space="preserve">compound ever measured at these targets. Combined with section 4.10, that says the panel will miss a</w:t>
      </w:r>
      <w:r>
        <w:t xml:space="preserve"> </w:t>
      </w:r>
      <w:r>
        <w:t xml:space="preserve">substantial fraction of genuine activities among approved drugs at the target endpoints, and it is</w:t>
      </w:r>
      <w:r>
        <w:t xml:space="preserve"> </w:t>
      </w:r>
      <w:r>
        <w:t xml:space="preserve">the quantitative basis for the claim in Chapter 1 that silence is the weakest of the system’s</w:t>
      </w:r>
      <w:r>
        <w:t xml:space="preserve"> </w:t>
      </w:r>
      <w:r>
        <w:t xml:space="preserve">outputs.</w:t>
      </w:r>
    </w:p>
    <w:p>
      <w:pPr>
        <w:pStyle w:val="BodyText"/>
      </w:pPr>
      <w:r>
        <w:t xml:space="preserve">The barrier model is the exception because its training set, B3DB augmented with FDA-curated approved</w:t>
      </w:r>
      <w:r>
        <w:t xml:space="preserve"> </w:t>
      </w:r>
      <w:r>
        <w:t xml:space="preserve">drugs, is drawn from approved-drug chemistry in the first place. Its 0.7171 is a statement about the</w:t>
      </w:r>
      <w:r>
        <w:t xml:space="preserve"> </w:t>
      </w:r>
      <w:r>
        <w:t xml:space="preserve">overlap of two drug collections, not evidence that the barrier model generalises better.</w:t>
      </w:r>
    </w:p>
    <w:p>
      <w:pPr>
        <w:pStyle w:val="BodyText"/>
      </w:pPr>
      <w:r>
        <w:rPr>
          <w:b/>
          <w:bCs/>
        </w:rPr>
        <w:t xml:space="preserve">A note on provenance.</w:t>
      </w:r>
      <w:r>
        <w:t xml:space="preserve"> </w:t>
      </w:r>
      <w:r>
        <w:t xml:space="preserve">Both tables in sections 4.11 and 4.12 were built on 13 August against the</w:t>
      </w:r>
      <w:r>
        <w:t xml:space="preserve"> </w:t>
      </w:r>
      <w:r>
        <w:t xml:space="preserve">pre-retrain barrier model and had never been rebuilt. The stale</w:t>
      </w:r>
      <w:r>
        <w:t xml:space="preserve"> </w:t>
      </w:r>
      <w:r>
        <w:rPr>
          <w:rStyle w:val="VerbatimChar"/>
        </w:rPr>
        <w:t xml:space="preserve">applicability_bbb_validation.csv</w:t>
      </w:r>
      <w:r>
        <w:t xml:space="preserve"> </w:t>
      </w:r>
      <w:r>
        <w:t xml:space="preserve">reported AUROC 0.7608 on the 306 approved drugs where</w:t>
      </w:r>
      <w:r>
        <w:t xml:space="preserve"> </w:t>
      </w:r>
      <w:r>
        <w:rPr>
          <w:rStyle w:val="VerbatimChar"/>
        </w:rPr>
        <w:t xml:space="preserve">external_bbb_validation.csv</w:t>
      </w:r>
      <w:r>
        <w:t xml:space="preserve">, generated from the same model on the same compounds, reported 0.7645.</w:t>
      </w:r>
      <w:r>
        <w:t xml:space="preserve"> </w:t>
      </w:r>
      <w:r>
        <w:t xml:space="preserve">Two artefacts described one test set and disagreed, and nothing complained, because neither was</w:t>
      </w:r>
      <w:r>
        <w:t xml:space="preserve"> </w:t>
      </w:r>
      <w:r>
        <w:t xml:space="preserve">declared in the freshness graph. They were regenerated for this chapter, now agree exactly, and have</w:t>
      </w:r>
      <w:r>
        <w:t xml:space="preserve"> </w:t>
      </w:r>
      <w:r>
        <w:t xml:space="preserve">been declared. This is the third artefact in the project found stale for want of a declaration rather</w:t>
      </w:r>
      <w:r>
        <w:t xml:space="preserve"> </w:t>
      </w:r>
      <w:r>
        <w:t xml:space="preserve">than for want of a rebuild.</w:t>
      </w:r>
    </w:p>
    <w:bookmarkEnd w:id="20"/>
    <w:bookmarkStart w:id="21" w:name="what-a-user-should-read-in-order"/>
    <w:p>
      <w:pPr>
        <w:pStyle w:val="Heading2"/>
      </w:pPr>
      <w:r>
        <w:t xml:space="preserve">4.13 What a user should read, in order</w:t>
      </w:r>
    </w:p>
    <w:p>
      <w:pPr>
        <w:pStyle w:val="FirstParagraph"/>
      </w:pPr>
      <w:r>
        <w:t xml:space="preserve">The three instruments answer three questions and a user who takes one has taken the wrong summary.</w:t>
      </w:r>
    </w:p>
    <w:p>
      <w:pPr>
        <w:pStyle w:val="BodyText"/>
      </w:pPr>
      <w:r>
        <w:rPr>
          <w:b/>
          <w:bCs/>
        </w:rPr>
        <w:t xml:space="preserve">Read the domain distance first.</w:t>
      </w:r>
      <w:r>
        <w:t xml:space="preserve"> </w:t>
      </w:r>
      <w:r>
        <w:t xml:space="preserve">It tells you whether the rest is worth reading, and it tells you</w:t>
      </w:r>
      <w:r>
        <w:t xml:space="preserve"> </w:t>
      </w:r>
      <w:r>
        <w:t xml:space="preserve">the recall the panel achieves at that distance. Below 0.40, recall is about 0.16 and a silence means</w:t>
      </w:r>
      <w:r>
        <w:t xml:space="preserve"> </w:t>
      </w:r>
      <w:r>
        <w:t xml:space="preserve">almost nothing.</w:t>
      </w:r>
    </w:p>
    <w:p>
      <w:pPr>
        <w:pStyle w:val="BodyText"/>
      </w:pPr>
      <w:r>
        <w:rPr>
          <w:b/>
          <w:bCs/>
        </w:rPr>
        <w:t xml:space="preserve">Read the conformal set second.</w:t>
      </w:r>
      <w:r>
        <w:t xml:space="preserve"> </w:t>
      </w:r>
      <w:r>
        <w:t xml:space="preserve">An empty set or a set containing both classes is a statement that</w:t>
      </w:r>
      <w:r>
        <w:t xml:space="preserve"> </w:t>
      </w:r>
      <w:r>
        <w:t xml:space="preserve">a point probability cannot make, and it is available for the eight core classifiers only.</w:t>
      </w:r>
    </w:p>
    <w:p>
      <w:pPr>
        <w:pStyle w:val="BodyText"/>
      </w:pPr>
      <w:r>
        <w:rPr>
          <w:b/>
          <w:bCs/>
        </w:rPr>
        <w:t xml:space="preserve">Read the calibrated probability last, and read it against its base rate.</w:t>
      </w:r>
      <w:r>
        <w:t xml:space="preserve"> </w:t>
      </w:r>
      <w:r>
        <w:t xml:space="preserve">It is well calibrated</w:t>
      </w:r>
      <w:r>
        <w:t xml:space="preserve"> </w:t>
      </w:r>
      <w:r>
        <w:t xml:space="preserve">for the eight core classifiers, at 0.0147 expected calibration error, and about five times less well</w:t>
      </w:r>
      <w:r>
        <w:t xml:space="preserve"> </w:t>
      </w:r>
      <w:r>
        <w:t xml:space="preserve">calibrated for the 38 binder endpoints, at 0.0762. Chapter 7 explains why the enrichment over the</w:t>
      </w:r>
      <w:r>
        <w:t xml:space="preserve"> </w:t>
      </w:r>
      <w:r>
        <w:t xml:space="preserve">base rate, rather than the probability itself, is the quantity the disease layer consumes.</w:t>
      </w:r>
    </w:p>
    <w:bookmarkEnd w:id="21"/>
    <w:bookmarkEnd w:id="22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2026-09-04T06:42:12Z</dcterms:created>
  <dcterms:modified xsi:type="dcterms:W3CDTF">2026-09-04T06:42:12Z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