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5f5d636e584f27e1dd50c941269c3f9d5cca88"/>
    <w:p>
      <w:pPr>
        <w:pStyle w:val="Heading1"/>
      </w:pPr>
      <w:r>
        <w:t xml:space="preserve">Chapter 6. The binder panel and the measured-inactive validation</w:t>
      </w:r>
    </w:p>
    <w:p>
      <w:r>
        <w:pict>
          <v:rect style="width:0;height:1.5pt" o:hralign="center" o:hrstd="t" o:hr="t"/>
        </w:pict>
      </w:r>
    </w:p>
    <w:bookmarkStart w:id="9" w:name="what-the-binder-panel-is"/>
    <w:p>
      <w:pPr>
        <w:pStyle w:val="Heading2"/>
      </w:pPr>
      <w:r>
        <w:t xml:space="preserve">6.1 What the binder panel is</w:t>
      </w:r>
    </w:p>
    <w:p>
      <w:pPr>
        <w:pStyle w:val="FirstParagraph"/>
      </w:pPr>
      <w:r>
        <w:t xml:space="preserve">The binder panel is the largest part of the system and the part a user is most likely to query. It is</w:t>
      </w:r>
      <w:r>
        <w:t xml:space="preserve"> </w:t>
      </w:r>
      <w:r>
        <w:rPr>
          <w:b/>
          <w:bCs/>
        </w:rPr>
        <w:t xml:space="preserve">52 fitted classifiers, 47 of them deployed</w:t>
      </w:r>
      <w:r>
        <w:t xml:space="preserve">, each answering one question about one target: does</w:t>
      </w:r>
      <w:r>
        <w:t xml:space="preserve"> </w:t>
      </w:r>
      <w:r>
        <w:t xml:space="preserve">this compound bind here at pChEMBL 7 or better, which is about 100 nM.</w:t>
      </w:r>
    </w:p>
    <w:p>
      <w:pPr>
        <w:pStyle w:val="BodyText"/>
      </w:pPr>
      <w:r>
        <w:t xml:space="preserve">It is fitted in two modes (</w:t>
      </w:r>
      <w:r>
        <w:rPr>
          <w:rStyle w:val="VerbatimChar"/>
        </w:rPr>
        <w:t xml:space="preserve">submission_package/07_MODELS/binder_panel_registry.json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What the negative class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hybrid_decoys_plus_measured_inactives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recovered censored bounds where they exist, topped up with property-matched decoys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measured_labels_holdout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measured labels only, no decoys needed</w:t>
            </w:r>
          </w:p>
        </w:tc>
      </w:tr>
    </w:tbl>
    <w:p>
      <w:pPr>
        <w:pStyle w:val="BodyText"/>
      </w:pPr>
      <w:r>
        <w:t xml:space="preserve">Across the deployed endpoints the median training set holds 1,189 positives against 4,855 decoys, a</w:t>
      </w:r>
      <w:r>
        <w:t xml:space="preserve"> </w:t>
      </w:r>
      <w:r>
        <w:t xml:space="preserve">median ratio of 3.55 decoys per active. Those decoys are drawn from the decoy pool of Chapter 5, and</w:t>
      </w:r>
      <w:r>
        <w:t xml:space="preserve"> </w:t>
      </w:r>
      <w:r>
        <w:t xml:space="preserve">never from the pools that set or measure the threshold.</w:t>
      </w:r>
    </w:p>
    <w:bookmarkEnd w:id="9"/>
    <w:bookmarkStart w:id="10" w:name="why-the-validation-had-to-change"/>
    <w:p>
      <w:pPr>
        <w:pStyle w:val="Heading2"/>
      </w:pPr>
      <w:r>
        <w:t xml:space="preserve">6.2 Why the validation had to change</w:t>
      </w:r>
    </w:p>
    <w:p>
      <w:pPr>
        <w:pStyle w:val="FirstParagraph"/>
      </w:pPr>
      <w:r>
        <w:t xml:space="preserve">Chapter 2 argued that a decoy is an assumption wearing the clothes of a data point. This chapter</w:t>
      </w:r>
      <w:r>
        <w:t xml:space="preserve"> </w:t>
      </w:r>
      <w:r>
        <w:t xml:space="preserve">measures what that assumption is worth, and the measurement is the reason the panel is reported the</w:t>
      </w:r>
      <w:r>
        <w:t xml:space="preserve"> </w:t>
      </w:r>
      <w:r>
        <w:t xml:space="preserve">way it is.</w:t>
      </w:r>
    </w:p>
    <w:p>
      <w:pPr>
        <w:pStyle w:val="BodyText"/>
      </w:pPr>
      <w:r>
        <w:t xml:space="preserve">A model trained against property-matched decoys and then</w:t>
      </w:r>
      <w:r>
        <w:t xml:space="preserve"> </w:t>
      </w:r>
      <w:r>
        <w:rPr>
          <w:b/>
          <w:bCs/>
        </w:rPr>
        <w:t xml:space="preserve">validated</w:t>
      </w:r>
      <w:r>
        <w:t xml:space="preserve"> </w:t>
      </w:r>
      <w:r>
        <w:t xml:space="preserve">against property-matched</w:t>
      </w:r>
      <w:r>
        <w:t xml:space="preserve"> </w:t>
      </w:r>
      <w:r>
        <w:t xml:space="preserve">decoys is being asked to separate real ligands from chemistry selected to be dissimilar to them. It</w:t>
      </w:r>
      <w:r>
        <w:t xml:space="preserve"> </w:t>
      </w:r>
      <w:r>
        <w:t xml:space="preserve">is a genuine task, and it is far easier than the one a user needs, which is to separate compounds a</w:t>
      </w:r>
      <w:r>
        <w:t xml:space="preserve"> </w:t>
      </w:r>
      <w:r>
        <w:t xml:space="preserve">medicinal chemist thought worth testing at that target from those that turned out not to work.</w:t>
      </w:r>
    </w:p>
    <w:p>
      <w:pPr>
        <w:pStyle w:val="BodyText"/>
      </w:pPr>
      <w:r>
        <w:t xml:space="preserve">Both numbers exist for every deployed endpoint, so the difference can be stated rather than argued: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Scaffold-grouped CV against decoys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Against measured inactives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AUROC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0.9784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</w:t>
            </w:r>
          </w:p>
        </w:tc>
      </w:tr>
    </w:tbl>
    <w:p>
      <w:pPr>
        <w:pStyle w:val="BodyText"/>
      </w:pPr>
      <w:r>
        <w:t xml:space="preserve">The decoy-validated figure is higher on</w:t>
      </w:r>
      <w:r>
        <w:t xml:space="preserve"> </w:t>
      </w:r>
      <w:r>
        <w:rPr>
          <w:b/>
          <w:bCs/>
        </w:rPr>
        <w:t xml:space="preserve">45 of 47</w:t>
      </w:r>
      <w:r>
        <w:t xml:space="preserve"> </w:t>
      </w:r>
      <w:r>
        <w:t xml:space="preserve">endpoints, by a mean of</w:t>
      </w:r>
      <w:r>
        <w:t xml:space="preserve"> </w:t>
      </w:r>
      <w:r>
        <w:rPr>
          <w:b/>
          <w:bCs/>
        </w:rPr>
        <w:t xml:space="preserve">+0.0611</w:t>
      </w:r>
      <w:r>
        <w:t xml:space="preserve">. Its median</w:t>
      </w:r>
      <w:r>
        <w:t xml:space="preserve"> </w:t>
      </w:r>
      <w:r>
        <w:t xml:space="preserve">of 0.992 and maximum of 1.000 are the signature of a saturated problem: on more than half the panel,</w:t>
      </w:r>
      <w:r>
        <w:t xml:space="preserve"> </w:t>
      </w:r>
      <w:r>
        <w:t xml:space="preserve">separating actives from decoys is very nearly solved, which tells a reader almost nothing about</w:t>
      </w:r>
      <w:r>
        <w:t xml:space="preserve"> </w:t>
      </w:r>
      <w:r>
        <w:t xml:space="preserve">whether the model is useful.</w:t>
      </w:r>
    </w:p>
    <w:p>
      <w:pPr>
        <w:pStyle w:val="BodyText"/>
      </w:pPr>
      <w:r>
        <w:t xml:space="preserve">The endpoints where the two diverge most are the informative 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Against decoys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Against measured inactives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GABA-A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GluN2B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α7-nAChR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P2X7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COX-2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</w:t>
            </w:r>
          </w:p>
        </w:tc>
      </w:tr>
    </w:tbl>
    <w:p>
      <w:pPr>
        <w:pStyle w:val="BodyText"/>
      </w:pPr>
      <w:r>
        <w:t xml:space="preserve">GABA-A validated against decoys reads 0.965, which would place it comfortably in the middle of the</w:t>
      </w:r>
      <w:r>
        <w:t xml:space="preserve"> </w:t>
      </w:r>
      <w:r>
        <w:t xml:space="preserve">panel. Validated against compounds actually tested at GABA-A and found inactive, it reads 0.719, the</w:t>
      </w:r>
      <w:r>
        <w:t xml:space="preserve"> </w:t>
      </w:r>
      <w:r>
        <w:t xml:space="preserve">weakest endpoint deployed. Nothing about the model changed between those two numbers. Only the</w:t>
      </w:r>
      <w:r>
        <w:t xml:space="preserve"> </w:t>
      </w:r>
      <w:r>
        <w:t xml:space="preserve">question did.</w:t>
      </w:r>
    </w:p>
    <w:p>
      <w:pPr>
        <w:pStyle w:val="BodyText"/>
      </w:pPr>
      <w:r>
        <w:rPr>
          <w:b/>
          <w:bCs/>
        </w:rPr>
        <w:t xml:space="preserve">The panel therefore reports the second number everywhere</w:t>
      </w:r>
      <w:r>
        <w:t xml:space="preserve">, and the 0.0611 it costs is the price of</w:t>
      </w:r>
      <w:r>
        <w:t xml:space="preserve"> </w:t>
      </w:r>
      <w:r>
        <w:t xml:space="preserve">a figure that means what a reader will take it to mean.</w:t>
      </w:r>
    </w:p>
    <w:bookmarkEnd w:id="10"/>
    <w:bookmarkStart w:id="11" w:name="X7b426f2e05e831b74351c340395b783ce2a2434"/>
    <w:p>
      <w:pPr>
        <w:pStyle w:val="Heading2"/>
      </w:pPr>
      <w:r>
        <w:t xml:space="preserve">6.3 The measured-inactive hold-out, and how thin it is</w:t>
      </w:r>
    </w:p>
    <w:p>
      <w:pPr>
        <w:pStyle w:val="FirstParagraph"/>
      </w:pPr>
      <w:r>
        <w:t xml:space="preserve">The honesty of section 6.2 depends on there being enough measured inactives to validate against, and</w:t>
      </w:r>
      <w:r>
        <w:t xml:space="preserve"> </w:t>
      </w:r>
      <w:r>
        <w:t xml:space="preserve">for several endpoints there are not many.</w:t>
      </w:r>
    </w:p>
    <w:p>
      <w:pPr>
        <w:pStyle w:val="BodyText"/>
      </w:pPr>
      <w:r>
        <w:t xml:space="preserve">Across the 44 deployed endpoints that have one, the measured-inactive hold-out has a</w:t>
      </w:r>
      <w:r>
        <w:t xml:space="preserve"> </w:t>
      </w:r>
      <w:r>
        <w:rPr>
          <w:b/>
          <w:bCs/>
        </w:rPr>
        <w:t xml:space="preserve">median of 228</w:t>
      </w:r>
      <w:r>
        <w:rPr>
          <w:b/>
          <w:bCs/>
        </w:rPr>
        <w:t xml:space="preserve"> </w:t>
      </w:r>
      <w:r>
        <w:rPr>
          <w:b/>
          <w:bCs/>
        </w:rPr>
        <w:t xml:space="preserve">compounds</w:t>
      </w:r>
      <w:r>
        <w:t xml:space="preserve">, from</w:t>
      </w:r>
      <w:r>
        <w:t xml:space="preserve"> </w:t>
      </w:r>
      <w:r>
        <w:rPr>
          <w:b/>
          <w:bCs/>
        </w:rPr>
        <w:t xml:space="preserve">23 to 1,616</w:t>
      </w:r>
      <w:r>
        <w:t xml:space="preserve">. Eleven endpoints have fewer than 100 and five have fewer than 50:</w:t>
      </w:r>
      <w:r>
        <w:t xml:space="preserve"> </w:t>
      </w:r>
      <w:r>
        <w:t xml:space="preserve">the CGRP receptor at 23, Nav1.8 at 33, GluN2B at 34, GABA-A at 37 and MT1 at 41.</w:t>
      </w:r>
    </w:p>
    <w:p>
      <w:pPr>
        <w:pStyle w:val="BodyText"/>
      </w:pPr>
      <w:r>
        <w:t xml:space="preserve">That matters for how the headline range should be read. The panel’s best AUROC against measured</w:t>
      </w:r>
      <w:r>
        <w:t xml:space="preserve"> </w:t>
      </w:r>
      <w:r>
        <w:t xml:space="preserve">inactives, 0.985, belongs to the CGRP receptor, and it is computed against 23 compounds. Its worst,</w:t>
      </w:r>
      <w:r>
        <w:t xml:space="preserve"> </w:t>
      </w:r>
      <w:r>
        <w:t xml:space="preserve">0.719 at GABA-A, is computed against 37.</w:t>
      </w:r>
      <w:r>
        <w:t xml:space="preserve"> </w:t>
      </w:r>
      <w:r>
        <w:rPr>
          <w:b/>
          <w:bCs/>
        </w:rPr>
        <w:t xml:space="preserve">The two ends of the reported range are the two thinnest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measurements in it</w:t>
      </w:r>
      <w:r>
        <w:t xml:space="preserve">, and neither carries an interval in any current artefact. Adding Wilson or</w:t>
      </w:r>
      <w:r>
        <w:t xml:space="preserve"> </w:t>
      </w:r>
      <w:r>
        <w:t xml:space="preserve">bootstrap intervals to the per-endpoint AUROCs is the single cheapest improvement available to this</w:t>
      </w:r>
      <w:r>
        <w:t xml:space="preserve"> </w:t>
      </w:r>
      <w:r>
        <w:t xml:space="preserve">chapter and has not been done.</w:t>
      </w:r>
    </w:p>
    <w:p>
      <w:pPr>
        <w:pStyle w:val="BodyText"/>
      </w:pPr>
      <w:r>
        <w:t xml:space="preserve">The active hold-outs are more comfortable, with a median of 299 and a range of 25 to 899.</w:t>
      </w:r>
    </w:p>
    <w:bookmarkEnd w:id="11"/>
    <w:bookmarkStart w:id="12" w:name="sensitivity-corrected"/>
    <w:p>
      <w:pPr>
        <w:pStyle w:val="Heading2"/>
      </w:pPr>
      <w:r>
        <w:t xml:space="preserve">6.4 Sensitivity, corrected</w:t>
      </w:r>
    </w:p>
    <w:p>
      <w:pPr>
        <w:pStyle w:val="FirstParagraph"/>
      </w:pPr>
      <w:r>
        <w:t xml:space="preserve">Chapter 5 established that the sensitivity figure stored in the panel registry, and quoted in every</w:t>
      </w:r>
      <w:r>
        <w:t xml:space="preserve"> </w:t>
      </w:r>
      <w:r>
        <w:t xml:space="preserve">document downstream of it, was computed over every active in the endpoint table rather than over the</w:t>
      </w:r>
      <w:r>
        <w:t xml:space="preserve"> </w:t>
      </w:r>
      <w:r>
        <w:t xml:space="preserve">held-out actives its own label claimed. That defect was corrected in the repository on 2026-08-30,</w:t>
      </w:r>
      <w:r>
        <w:t xml:space="preserve"> </w:t>
      </w:r>
      <w:r>
        <w:t xml:space="preserve">and the registry now stores the held-out figure on all 47 deployed endpoints. The table below</w:t>
      </w:r>
      <w:r>
        <w:t xml:space="preserve"> </w:t>
      </w:r>
      <w:r>
        <w:t xml:space="preserve">therefore compares what was published before the correction with what is published now.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As published before 2026-08-30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 published now, held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0.639, COX-2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0.303, GABA-A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0.997, CGRP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0.993, CGRP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 firing for under half their own 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of 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 of 47</w:t>
            </w:r>
          </w:p>
        </w:tc>
      </w:tr>
    </w:tbl>
    <w:p>
      <w:pPr>
        <w:pStyle w:val="BodyText"/>
      </w:pPr>
      <w:r>
        <w:t xml:space="preserve">The claim this thesis makes is the right-hand column. The panel fires for about</w:t>
      </w:r>
      <w:r>
        <w:t xml:space="preserve"> </w:t>
      </w:r>
      <w:r>
        <w:rPr>
          <w:b/>
          <w:bCs/>
        </w:rPr>
        <w:t xml:space="preserve">0.76</w:t>
      </w:r>
      <w:r>
        <w:t xml:space="preserve"> </w:t>
      </w:r>
      <w:r>
        <w:t xml:space="preserve">of the</w:t>
      </w:r>
      <w:r>
        <w:t xml:space="preserve"> </w:t>
      </w:r>
      <w:r>
        <w:t xml:space="preserve">actives it should, not 0.90, and six deployed endpoints fire for fewer than half: GABA-A at 0.303,</w:t>
      </w:r>
      <w:r>
        <w:t xml:space="preserve"> </w:t>
      </w:r>
      <w:r>
        <w:t xml:space="preserve">COX-2 at 0.338, TAAR1 at 0.355, GluN2B at 0.374, SIRT1 at 0.378 and P2X7 at 0.465.</w:t>
      </w:r>
    </w:p>
    <w:p>
      <w:pPr>
        <w:pStyle w:val="BodyText"/>
      </w:pPr>
      <w:r>
        <w:t xml:space="preserve">Note what those six have in common with section 6.2.</w:t>
      </w:r>
      <w:r>
        <w:t xml:space="preserve"> </w:t>
      </w:r>
      <w:r>
        <w:rPr>
          <w:b/>
          <w:bCs/>
        </w:rPr>
        <w:t xml:space="preserve">GABA-A, GluN2B, COX-2 and P2X7 appear in both</w:t>
      </w:r>
      <w:r>
        <w:rPr>
          <w:b/>
          <w:bCs/>
        </w:rPr>
        <w:t xml:space="preserve"> </w:t>
      </w:r>
      <w:r>
        <w:rPr>
          <w:b/>
          <w:bCs/>
        </w:rPr>
        <w:t xml:space="preserve">lists</w:t>
      </w:r>
      <w:r>
        <w:t xml:space="preserve">: they are the endpoints that lose most when validated against measured inactives, and they</w:t>
      </w:r>
      <w:r>
        <w:t xml:space="preserve"> </w:t>
      </w:r>
      <w:r>
        <w:t xml:space="preserve">are the endpoints that fire for fewest of their own held-out actives. That is not a coincidence and</w:t>
      </w:r>
      <w:r>
        <w:t xml:space="preserve"> </w:t>
      </w:r>
      <w:r>
        <w:t xml:space="preserve">it is not two problems. A target whose measured inactives are hard to separate from its actives is a</w:t>
      </w:r>
      <w:r>
        <w:t xml:space="preserve"> </w:t>
      </w:r>
      <w:r>
        <w:t xml:space="preserve">target where any threshold must sit high to control false positives, and a high threshold is what</w:t>
      </w:r>
      <w:r>
        <w:t xml:space="preserve"> </w:t>
      </w:r>
      <w:r>
        <w:t xml:space="preserve">costs sensitivity. Chapter 5’s operating-point argument and Chapter 6’s discrimination argument are</w:t>
      </w:r>
      <w:r>
        <w:t xml:space="preserve"> </w:t>
      </w:r>
      <w:r>
        <w:t xml:space="preserve">the same fact seen from two sides.</w:t>
      </w:r>
    </w:p>
    <w:bookmarkEnd w:id="12"/>
    <w:bookmarkStart w:id="14" w:name="the-withdrawal-set"/>
    <w:p>
      <w:pPr>
        <w:pStyle w:val="Heading2"/>
      </w:pPr>
      <w:r>
        <w:t xml:space="preserve">6.5 The withdrawal set</w:t>
      </w:r>
    </w:p>
    <w:p>
      <w:pPr>
        <w:pStyle w:val="FirstParagraph"/>
      </w:pPr>
      <w:r>
        <w:t xml:space="preserve">Five endpoints were trained, tested and withheld. They are reported as part of the inventory rather</w:t>
      </w:r>
      <w:r>
        <w:t xml:space="preserve"> </w:t>
      </w:r>
      <w:r>
        <w:t xml:space="preserve">than removed from it, because a panel showing only what survived is a selection.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 vs measured inactives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Positives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fires on glucose and atenolol at its calibrated threshold of 0.629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fires on glucose, urea, glycine, lactate and atenolol at 0.571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background false-positive rate 0.057, above the 5 per cent the panel holds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NFKB1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recovers no active while calling five trivial metabolites binders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NR3C1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AUROC below chance against its own held-out measured inactives</w:t>
            </w:r>
          </w:p>
        </w:tc>
      </w:tr>
    </w:tbl>
    <w:p>
      <w:pPr>
        <w:pStyle w:val="BodyText"/>
      </w:pPr>
      <w:r>
        <w:t xml:space="preserve">Two of these deserve comment because they show the withdrawal gate doing something a single metric</w:t>
      </w:r>
      <w:r>
        <w:t xml:space="preserve"> </w:t>
      </w:r>
      <w:r>
        <w:t xml:space="preserve">would not.</w:t>
      </w:r>
    </w:p>
    <w:p>
      <w:pPr>
        <w:pStyle w:val="BodyText"/>
      </w:pPr>
      <w:r>
        <w:rPr>
          <w:b/>
          <w:bCs/>
        </w:rPr>
        <w:t xml:space="preserve">Nav1.1 has an AUROC of 0.952</w:t>
      </w:r>
      <w:r>
        <w:t xml:space="preserve">, which is better than eleven deployed endpoints. It was withdrawn</w:t>
      </w:r>
      <w:r>
        <w:t xml:space="preserve"> </w:t>
      </w:r>
      <w:r>
        <w:t xml:space="preserve">anyway. Its registry entry states the reasoning exactly: holding 5 per cent on random chemistry would</w:t>
      </w:r>
      <w:r>
        <w:t xml:space="preserve"> </w:t>
      </w:r>
      <w:r>
        <w:t xml:space="preserve">need a threshold of 0.594, its sensitivity at the calibrated cut is already 0.120, and no threshold</w:t>
      </w:r>
      <w:r>
        <w:t xml:space="preserve"> </w:t>
      </w:r>
      <w:r>
        <w:t xml:space="preserve">separates trivial metabolites from real ligands.</w:t>
      </w:r>
      <w:r>
        <w:t xml:space="preserve"> </w:t>
      </w:r>
      <w:r>
        <w:t xml:space="preserve">“Its AUROC of 0.952 measures ranking, which is not</w:t>
      </w:r>
      <w:r>
        <w:t xml:space="preserve"> </w:t>
      </w:r>
      <w:r>
        <w:t xml:space="preserve">the quantity a deployed cut needs.”</w:t>
      </w:r>
      <w:r>
        <w:t xml:space="preserve"> </w:t>
      </w:r>
      <w:r>
        <w:t xml:space="preserve">That is the distinction Chapter 4 drew between ranking and recall,</w:t>
      </w:r>
      <w:r>
        <w:t xml:space="preserve"> </w:t>
      </w:r>
      <w:r>
        <w:t xml:space="preserve">arriving independently at the deployment gate.</w:t>
      </w:r>
    </w:p>
    <w:p>
      <w:pPr>
        <w:pStyle w:val="BodyText"/>
      </w:pPr>
      <w:r>
        <w:rPr>
          <w:b/>
          <w:bCs/>
        </w:rPr>
        <w:t xml:space="preserve">NR3C1 fails in the opposite direction.</w:t>
      </w:r>
      <w:r>
        <w:t xml:space="preserve"> </w:t>
      </w:r>
      <w:r>
        <w:t xml:space="preserve">It passes the specificity audit, firing on no trivial</w:t>
      </w:r>
      <w:r>
        <w:t xml:space="preserve"> </w:t>
      </w:r>
      <w:r>
        <w:t xml:space="preserve">molecule, and fails on discrimination instead, at an AUROC of 0.410, which is below chance. A panel</w:t>
      </w:r>
      <w:r>
        <w:t xml:space="preserve"> </w:t>
      </w:r>
      <w:r>
        <w:t xml:space="preserve">that only checked for firing on glucose would have deployed it.</w:t>
      </w:r>
    </w:p>
    <w:bookmarkStart w:id="13" w:name="X6237391601897b71d698fb968dfecb22741039f"/>
    <w:p>
      <w:pPr>
        <w:pStyle w:val="Heading3"/>
      </w:pPr>
      <w:r>
        <w:t xml:space="preserve">The natural-product endpoints failed for a diagnosable reason</w:t>
      </w:r>
    </w:p>
    <w:p>
      <w:pPr>
        <w:pStyle w:val="FirstParagraph"/>
      </w:pPr>
      <w:r>
        <w:t xml:space="preserve">NRF2, NFKB1 and NR3C1 were added specifically to extend coverage into natural-product chemistry, and</w:t>
      </w:r>
      <w:r>
        <w:t xml:space="preserve"> </w:t>
      </w:r>
      <w:r>
        <w:t xml:space="preserve">all three failed. The registry records why, and the diagnosis is about the labels rather than the</w:t>
      </w:r>
      <w:r>
        <w:t xml:space="preserve"> </w:t>
      </w:r>
      <w:r>
        <w:t xml:space="preserve">models (</w:t>
      </w:r>
      <w:r>
        <w:rPr>
          <w:rStyle w:val="VerbatimChar"/>
        </w:rPr>
        <w:t xml:space="preserve">results/tables/np_endpoint_assay_composition.csv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Labelled 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Recorded as</w:t>
            </w:r>
            <w:r>
              <w:t xml:space="preserve"> </w:t>
            </w:r>
            <w:r>
              <w:t xml:space="preserve">“Potency”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Direct binding constant (Ki or Kd)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NFKB1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NR3C1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14.8%</w:t>
            </w:r>
          </w:p>
        </w:tc>
      </w:tr>
    </w:tbl>
    <w:p>
      <w:pPr>
        <w:pStyle w:val="BodyText"/>
      </w:pPr>
      <w:r>
        <w:t xml:space="preserve">For NRF2 and NFKB1 essentially every label is a pooled functional readout rather than a binding</w:t>
      </w:r>
      <w:r>
        <w:t xml:space="preserve"> </w:t>
      </w:r>
      <w:r>
        <w:t xml:space="preserve">constant. A functional potency does not define a binding class that a ligand fingerprint can</w:t>
      </w:r>
      <w:r>
        <w:t xml:space="preserve"> </w:t>
      </w:r>
      <w:r>
        <w:t xml:space="preserve">separate: two compounds can share a potency in a cell-based assay through entirely different</w:t>
      </w:r>
      <w:r>
        <w:t xml:space="preserve"> </w:t>
      </w:r>
      <w:r>
        <w:t xml:space="preserve">mechanisms, and the structure carries no signal for the label. NR3C1, the only one of the three with</w:t>
      </w:r>
      <w:r>
        <w:t xml:space="preserve"> </w:t>
      </w:r>
      <w:r>
        <w:t xml:space="preserve">real binding data, failed for the other available reason: 140 compounds after deduplication is too</w:t>
      </w:r>
      <w:r>
        <w:t xml:space="preserve"> </w:t>
      </w:r>
      <w:r>
        <w:t xml:space="preserve">few to fit.</w:t>
      </w:r>
    </w:p>
    <w:p>
      <w:pPr>
        <w:pStyle w:val="BodyText"/>
      </w:pPr>
      <w:r>
        <w:t xml:space="preserve">This is the most useful negative result in the panel. It says that extending to natural-product</w:t>
      </w:r>
      <w:r>
        <w:t xml:space="preserve"> </w:t>
      </w:r>
      <w:r>
        <w:t xml:space="preserve">targets is not blocked by the chemistry being unusual, which was the assumed obstacle, but by the</w:t>
      </w:r>
      <w:r>
        <w:t xml:space="preserve"> </w:t>
      </w:r>
      <w:r>
        <w:t xml:space="preserve">assays in the public record for those targets not measuring binding.</w:t>
      </w:r>
    </w:p>
    <w:bookmarkEnd w:id="13"/>
    <w:bookmarkEnd w:id="14"/>
    <w:bookmarkStart w:id="15" w:name="reproduction"/>
    <w:p>
      <w:pPr>
        <w:pStyle w:val="Heading2"/>
      </w:pPr>
      <w:r>
        <w:t xml:space="preserve">6.6 Reproduction</w:t>
      </w:r>
    </w:p>
    <w:p>
      <w:pPr>
        <w:pStyle w:val="FirstParagraph"/>
      </w:pPr>
      <w:r>
        <w:t xml:space="preserve">The whole binder cross-validation was re-run from the endpoint tables with separately written scoring</w:t>
      </w:r>
      <w:r>
        <w:t xml:space="preserve"> </w:t>
      </w:r>
      <w:r>
        <w:t xml:space="preserve">code and compared against the recorded values (</w:t>
      </w:r>
      <w:r>
        <w:rPr>
          <w:rStyle w:val="VerbatimChar"/>
        </w:rPr>
        <w:t xml:space="preserve">results/tables/binder_cv_summary.csv</w:t>
      </w:r>
      <w:r>
        <w:t xml:space="preserve">). Across the 47</w:t>
      </w:r>
      <w:r>
        <w:t xml:space="preserve"> </w:t>
      </w:r>
      <w:r>
        <w:t xml:space="preserve">deployed endpoints the re-run agrees with the recorded scaffold AUROC to a</w:t>
      </w:r>
      <w:r>
        <w:t xml:space="preserve"> </w:t>
      </w:r>
      <w:r>
        <w:rPr>
          <w:b/>
          <w:bCs/>
        </w:rPr>
        <w:t xml:space="preserve">mean absolute deviation</w:t>
      </w:r>
      <w:r>
        <w:rPr>
          <w:b/>
          <w:bCs/>
        </w:rPr>
        <w:t xml:space="preserve"> </w:t>
      </w:r>
      <w:r>
        <w:rPr>
          <w:b/>
          <w:bCs/>
        </w:rPr>
        <w:t xml:space="preserve">of 0.0041</w:t>
      </w:r>
      <w:r>
        <w:t xml:space="preserve">, with a</w:t>
      </w:r>
      <w:r>
        <w:t xml:space="preserve"> </w:t>
      </w:r>
      <w:r>
        <w:rPr>
          <w:b/>
          <w:bCs/>
        </w:rPr>
        <w:t xml:space="preserve">maximum of 0.0386 at TAAR1</w:t>
      </w:r>
      <w:r>
        <w:t xml:space="preserve">, which is also the panel’s smallest binder training</w:t>
      </w:r>
      <w:r>
        <w:t xml:space="preserve"> </w:t>
      </w:r>
      <w:r>
        <w:t xml:space="preserve">set at 82 rows and its worst-calibrated endpoint from Chapter 4. The re-run mean is 0.9808 against a</w:t>
      </w:r>
      <w:r>
        <w:t xml:space="preserve"> </w:t>
      </w:r>
      <w:r>
        <w:t xml:space="preserve">recorded 0.9784.</w:t>
      </w:r>
    </w:p>
    <w:p>
      <w:pPr>
        <w:pStyle w:val="BodyText"/>
      </w:pPr>
      <w:r>
        <w:t xml:space="preserve">A deviation of 0.039 on one endpoint is not a reproduction failure, but it is not nothing either, and</w:t>
      </w:r>
      <w:r>
        <w:t xml:space="preserve"> </w:t>
      </w:r>
      <w:r>
        <w:t xml:space="preserve">the endpoint where it occurs is the one where every other measurement in this thesis is also least</w:t>
      </w:r>
      <w:r>
        <w:t xml:space="preserve"> </w:t>
      </w:r>
      <w:r>
        <w:t xml:space="preserve">stable. TAAR1 should be read as the panel’s least trustworthy deployed endpoint on all four counts:</w:t>
      </w:r>
      <w:r>
        <w:t xml:space="preserve"> </w:t>
      </w:r>
      <w:r>
        <w:t xml:space="preserve">smallest training set, worst calibration at 0.178 expected calibration error, held-out sensitivity of</w:t>
      </w:r>
      <w:r>
        <w:t xml:space="preserve"> </w:t>
      </w:r>
      <w:r>
        <w:t xml:space="preserve">0.355, and the largest reproduction deviation.</w:t>
      </w:r>
    </w:p>
    <w:bookmarkEnd w:id="15"/>
    <w:bookmarkStart w:id="16" w:name="what-the-panel-is-honestly-summarised"/>
    <w:p>
      <w:pPr>
        <w:pStyle w:val="Heading2"/>
      </w:pPr>
      <w:r>
        <w:t xml:space="preserve">6.7 What the panel is, honestly summarised</w:t>
      </w:r>
    </w:p>
    <w:p>
      <w:pPr>
        <w:pStyle w:val="FirstParagraph"/>
      </w:pPr>
      <w:r>
        <w:t xml:space="preserve">Putting the corrected figures together, the deployed binder panel:</w:t>
      </w:r>
    </w:p>
    <w:p>
      <w:pPr>
        <w:pStyle w:val="Compact"/>
        <w:numPr>
          <w:ilvl w:val="0"/>
          <w:numId w:val="1001"/>
        </w:numPr>
      </w:pPr>
      <w:r>
        <w:t xml:space="preserve">discriminates against compounds measured and found inactive at the same target at a</w:t>
      </w:r>
      <w:r>
        <w:t xml:space="preserve"> </w:t>
      </w:r>
      <w:r>
        <w:rPr>
          <w:b/>
          <w:bCs/>
        </w:rPr>
        <w:t xml:space="preserve">mean AUROC of</w:t>
      </w:r>
      <w:r>
        <w:rPr>
          <w:b/>
          <w:bCs/>
        </w:rPr>
        <w:t xml:space="preserve"> </w:t>
      </w:r>
      <w:r>
        <w:rPr>
          <w:b/>
          <w:bCs/>
        </w:rPr>
        <w:t xml:space="preserve">0.9174</w:t>
      </w:r>
      <w:r>
        <w:t xml:space="preserve">, median 0.9470, from</w:t>
      </w:r>
      <w:r>
        <w:t xml:space="preserve"> </w:t>
      </w:r>
      <w:r>
        <w:rPr>
          <w:b/>
          <w:bCs/>
        </w:rPr>
        <w:t xml:space="preserve">0.719 at GABA-A to 0.985 at the CGRP receptor</w:t>
      </w:r>
      <w:r>
        <w:t xml:space="preserve">, with the two</w:t>
      </w:r>
      <w:r>
        <w:t xml:space="preserve"> </w:t>
      </w:r>
      <w:r>
        <w:t xml:space="preserve">extremes resting on 37 and 23 measured inactives respectively;</w:t>
      </w:r>
    </w:p>
    <w:p>
      <w:pPr>
        <w:pStyle w:val="Compact"/>
        <w:numPr>
          <w:ilvl w:val="0"/>
          <w:numId w:val="1001"/>
        </w:numPr>
      </w:pPr>
      <w:r>
        <w:t xml:space="preserve">fires for a</w:t>
      </w:r>
      <w:r>
        <w:t xml:space="preserve"> </w:t>
      </w:r>
      <w:r>
        <w:rPr>
          <w:b/>
          <w:bCs/>
        </w:rPr>
        <w:t xml:space="preserve">mean of 0.7638</w:t>
      </w:r>
      <w:r>
        <w:t xml:space="preserve"> </w:t>
      </w:r>
      <w:r>
        <w:t xml:space="preserve">of held-out actives at the deployed threshold, median 0.8350, with</w:t>
      </w:r>
      <w:r>
        <w:t xml:space="preserve"> </w:t>
      </w:r>
      <w:r>
        <w:rPr>
          <w:b/>
          <w:bCs/>
        </w:rPr>
        <w:t xml:space="preserve">six of 47 endpoints below 0.50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would report 0.9784 and 0.8983 for those two quantities if validated the conventional way, and</w:t>
      </w:r>
      <w:r>
        <w:t xml:space="preserve"> </w:t>
      </w:r>
      <w:r>
        <w:t xml:space="preserve">neither figure would mean what a reader takes it to mean;</w:t>
      </w:r>
    </w:p>
    <w:p>
      <w:pPr>
        <w:pStyle w:val="Compact"/>
        <w:numPr>
          <w:ilvl w:val="0"/>
          <w:numId w:val="1001"/>
        </w:numPr>
      </w:pPr>
      <w:r>
        <w:t xml:space="preserve">carries five withdrawn endpoints in its inventory, three of which failed because the public assay</w:t>
      </w:r>
      <w:r>
        <w:t xml:space="preserve"> </w:t>
      </w:r>
      <w:r>
        <w:t xml:space="preserve">record for those targets does not measure binding.</w:t>
      </w:r>
    </w:p>
    <w:bookmarkEnd w:id="16"/>
    <w:bookmarkEnd w:id="17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2026-09-04T06:42:12Z</dcterms:created>
  <dcterms:modified xsi:type="dcterms:W3CDTF">2026-09-04T06:42:12Z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