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0.933</w:t>
      </w:r>
      <w:r>
        <w:t xml:space="preserve"> </w:t>
      </w:r>
      <w:r>
        <w:t xml:space="preserve">(95% CI 0.916 to 0.947). The binder panel, validated against compounds measured and found inactive at</w:t>
      </w:r>
      <w:r>
        <w:t xml:space="preserve"> </w:t>
      </w:r>
      <w:r>
        <w:t xml:space="preserve">the same target rather than against decoys, reaches a mean AUROC of 0.902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0.0077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0.0264 across the 43 deployed endpoints</w:t>
      </w:r>
      <w:r>
        <w:t xml:space="preserve"> </w:t>
      </w:r>
      <w:r>
        <w:t xml:space="preserve">that carry one, and reaches 0.0631, exceeding its 0.05 target for three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0.902 and a mean sensitivity of 0.878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two for firing on</w:t>
      </w:r>
      <w:r>
        <w:t xml:space="preserve"> </w:t>
      </w:r>
      <w:r>
        <w:t xml:space="preserve">trivial metabolites, and three added to test natural-product coverage that failed on their own</w:t>
      </w:r>
      <w:r>
        <w:t xml:space="preserve"> </w:t>
      </w:r>
      <w:r>
        <w:t xml:space="preserve">held-out inactives and are reported in the limitations. Measured on that disjoint pool the background</w:t>
      </w:r>
      <w:r>
        <w:t xml:space="preserve"> </w:t>
      </w:r>
      <w:r>
        <w:t xml:space="preserve">false-positive rate has a median of 0.0264.</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0.814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0.761 on all 306, and 0.788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933 returned no actionable disease signal, a specificity of</w:t>
      </w:r>
      <w:r>
        <w:t xml:space="preserve"> </w:t>
      </w:r>
      <w:r>
        <w:t xml:space="preserve">0.933 (95% CI 0.916 to 0.947). Of the 67 false positives, 44 fired on a single condition rather than</w:t>
      </w:r>
      <w:r>
        <w:t xml:space="preserve"> </w:t>
      </w:r>
      <w:r>
        <w:t xml:space="preserve">producing a diffuse profile, and the median score among them was 0.423,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0.36 and only 3.3 per cent of it is both sp3-rich</w:t>
      </w:r>
      <w:r>
        <w:t xml:space="preserve"> </w:t>
      </w:r>
      <w:r>
        <w:t xml:space="preserve">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fourth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2026-08-19T03:42:12Z</dcterms:created>
  <dcterms:modified xsi:type="dcterms:W3CDTF">2026-08-19T03:42:12Z</dcterms:modified>
</cp:coreProperties>
</file>

<file path=docProps/custom.xml><?xml version="1.0" encoding="utf-8"?>
<Properties xmlns="http://schemas.openxmlformats.org/officeDocument/2006/custom-properties" xmlns:vt="http://schemas.openxmlformats.org/officeDocument/2006/docPropsVTypes"/>
</file>