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scaffold-grouped cross-validated and carry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18" w:name="abstract"/>
    <w:p>
      <w:pPr>
        <w:pStyle w:val="Heading2"/>
      </w:pPr>
      <w:r>
        <w:t xml:space="preserve">Abstract</w:t>
      </w:r>
    </w:p>
    <w:p>
      <w:pPr>
        <w:pStyle w:val="FirstParagraph"/>
      </w:pPr>
      <w:r>
        <w:t xml:space="preserve">BrainSafe AI predicts, from structure alone, how a small molecule may act on the human brain. For a</w:t>
      </w:r>
      <w:r>
        <w:t xml:space="preserve"> </w:t>
      </w:r>
      <w:r>
        <w:t xml:space="preserve">submitted SMILES string or compound name it returns engagement of 54 molecular targets spanning the</w:t>
      </w:r>
      <w:r>
        <w:t xml:space="preserve"> </w:t>
      </w:r>
      <w:r>
        <w:t xml:space="preserve">principal neurodegenerative, psychiatric, neuroinflammatory, analgesic and sleep-related mechanisms,</w:t>
      </w:r>
      <w:r>
        <w:t xml:space="preserve"> </w:t>
      </w:r>
      <w:r>
        <w:t xml:space="preserve">predicted blood-brain barrier penetration, nine ADME and exposure endpoints including a directly</w:t>
      </w:r>
      <w:r>
        <w:t xml:space="preserve"> </w:t>
      </w:r>
      <w:r>
        <w:t xml:space="preserve">modelled unbound brain-to-plasma ratio, and two cardiac safety liabilities. Every target score is</w:t>
      </w:r>
      <w:r>
        <w:t xml:space="preserve"> </w:t>
      </w:r>
      <w:r>
        <w:t xml:space="preserve">admitted only in proportion to predicted brain exposure, so potency at a target a compound cannot</w:t>
      </w:r>
      <w:r>
        <w:t xml:space="preserve"> </w:t>
      </w:r>
      <w:r>
        <w:t xml:space="preserve">reach contributes nothing, and engaged targets are traced through a curated pathway graph to the</w:t>
      </w:r>
      <w:r>
        <w:t xml:space="preserve"> </w:t>
      </w:r>
      <w:r>
        <w:t xml:space="preserve">conditions those mechanisms touch. The server is built on 75 estimators, 70 deployed, trained on</w:t>
      </w:r>
      <w:r>
        <w:t xml:space="preserve"> </w:t>
      </w:r>
      <w:r>
        <w:t xml:space="preserve">228,200 measured compound-endpoint records from ChEMBL (1), BindingDB (2) and B3DB</w:t>
      </w:r>
      <w:r>
        <w:t xml:space="preserve"> </w:t>
      </w:r>
      <w:r>
        <w:t xml:space="preserve">(3). Under scaffold-grouped 10-fold cross-validation the measured-label classifiers reach a mean</w:t>
      </w:r>
      <w:r>
        <w:t xml:space="preserve"> </w:t>
      </w:r>
      <w:r>
        <w:t xml:space="preserve">AUROC of 0.925 (0.958 under a random split), and expected calibration error falls from 0.0801 to</w:t>
      </w:r>
      <w:r>
        <w:t xml:space="preserve"> </w:t>
      </w:r>
      <w:r>
        <w:t xml:space="preserve">0.0147 after isotonic calibration (4). The binder panel is validated against compounds</w:t>
      </w:r>
      <w:r>
        <w:t xml:space="preserve"> </w:t>
      </w:r>
      <w:r>
        <w:t xml:space="preserve">tested at the same target and found inactive rather than against decoys, reaching a mean AUROC of</w:t>
      </w:r>
      <w:r>
        <w:t xml:space="preserve"> </w:t>
      </w:r>
      <w:r>
        <w:t xml:space="preserve">0.917. Every prediction carries a calibrated probability, a conformal interval, and an</w:t>
      </w:r>
      <w:r>
        <w:t xml:space="preserve"> </w:t>
      </w:r>
      <w:r>
        <w:t xml:space="preserve">applicability-domain distance to the nearest measured analogue, and the server reports silence</w:t>
      </w:r>
      <w:r>
        <w:t xml:space="preserve"> </w:t>
      </w:r>
      <w:r>
        <w:t xml:space="preserve">rather than a guess for compounds outside its competence: on non-CNS chemistry its specificity is</w:t>
      </w:r>
      <w:r>
        <w:t xml:space="preserve"> </w:t>
      </w:r>
      <w:r>
        <w:t xml:space="preserve">0.925 (95% CI 0.907 to 0.940). Disease-level scores are presented as a route from a mechanism to the</w:t>
      </w:r>
      <w:r>
        <w:t xml:space="preserve"> </w:t>
      </w:r>
      <w:r>
        <w:t xml:space="preserve">conditions it touches, not as an indication prediction. BrainSafe AI is freely available without</w:t>
      </w:r>
      <w:r>
        <w:t xml:space="preserve"> </w:t>
      </w:r>
      <w:r>
        <w:t xml:space="preserve">registration at https://huggingface.co/spaces/Krishnag999/brainsafe-ai, with source code, trained</w:t>
      </w:r>
      <w:r>
        <w:t xml:space="preserve"> </w:t>
      </w:r>
      <w:r>
        <w:t xml:space="preserve">models and every validation artefact at https://github.com/krishna-g-999/brainsafe-ai.</w:t>
      </w:r>
    </w:p>
    <w:bookmarkEnd w:id="18"/>
    <w:bookmarkStart w:id="19"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9"/>
    <w:bookmarkStart w:id="20"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pChEMBL values augmented with BindingDB affinities pooled at compound level;</w:t>
      </w:r>
      <w:r>
        <w:t xml:space="preserve"> </w:t>
      </w:r>
      <w:r>
        <w:t xml:space="preserve">blood-brain barrier labels come from B3DB augmented with FDA-curated approved drugs; the nine ADME</w:t>
      </w:r>
      <w:r>
        <w:t xml:space="preserve"> </w:t>
      </w:r>
      <w:r>
        <w:t xml:space="preserve">endpoints use measured sets from Therapeutics Data Commons (5), MoleculeNet (6), B3DB</w:t>
      </w:r>
      <w:r>
        <w:t xml:space="preserve"> </w:t>
      </w:r>
      <w:r>
        <w:t xml:space="preserve">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(7)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(8) is fitted per endpoint. That choice was made on a</w:t>
      </w:r>
      <w:r>
        <w:t xml:space="preserve"> </w:t>
      </w:r>
      <w:r>
        <w:t xml:space="preserve">like-for-like comparison over thirteen core endpoints against XGBoost (9),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(10)</w:t>
      </w:r>
      <w:r>
        <w:t xml:space="preserve"> </w:t>
      </w:r>
      <w:r>
        <w:t xml:space="preserve">is exact for it rather than approximate. Classifiers are isotonically calibrated (4)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20"/>
    <w:bookmarkStart w:id="21"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the model atlas</w:t>
      </w:r>
      <w:r>
        <w:t xml:space="preserve"> </w:t>
      </w:r>
      <w:r>
        <w:t xml:space="preserve">(Supplementary Figure S1). Under random 10-fold cross-validation the measured-label</w:t>
      </w:r>
      <w:r>
        <w:t xml:space="preserve"> </w:t>
      </w:r>
      <w:r>
        <w:t xml:space="preserve">classifiers reach a mean AUROC of 0.958 (0.899 to 0.976); under a scaffold-grouped split that</w:t>
      </w:r>
      <w:r>
        <w:t xml:space="preserve"> </w:t>
      </w:r>
      <w:r>
        <w:t xml:space="preserve">withholds entire structural classes, 0.925 (0.878 to 0.965). Expected calibration error falls from</w:t>
      </w:r>
      <w:r>
        <w:t xml:space="preserve"> </w:t>
      </w:r>
      <w:r>
        <w:t xml:space="preserve">0.0801 to 0.0147 after isotonic calibration, and conformal prediction (16) on the eight core</w:t>
      </w:r>
      <w:r>
        <w:t xml:space="preserve"> </w:t>
      </w:r>
      <w:r>
        <w:t xml:space="preserve">classifiers, on the deduplicated matrix the classifiers are trained on, achieves empirical coverage</w:t>
      </w:r>
      <w:r>
        <w:t xml:space="preserve"> </w:t>
      </w:r>
      <w:r>
        <w:t xml:space="preserve">of 0.876 to 0.933 against a 0.90 target, with mean set size from 0.956 to 1.215 on a two-class</w:t>
      </w:r>
      <w:r>
        <w:t xml:space="preserve"> </w:t>
      </w:r>
      <w:r>
        <w:t xml:space="preserve">problem where 1.0 is a confident single label.</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(Supplementary Figure S3).</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2.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21"/>
    <w:bookmarkStart w:id="22" w:name="discussion"/>
    <w:p>
      <w:pPr>
        <w:pStyle w:val="Heading2"/>
      </w:pPr>
      <w:r>
        <w:t xml:space="preserve">Discussion</w:t>
      </w:r>
    </w:p>
    <w:p>
      <w:pPr>
        <w:pStyle w:val="FirstParagraph"/>
      </w:pPr>
      <w:r>
        <w:t xml:space="preserve">BrainSafe AI is, to our knowledge, the first freely available server to couple predicted brain</w:t>
      </w:r>
      <w:r>
        <w:t xml:space="preserve"> </w:t>
      </w:r>
      <w:r>
        <w:t xml:space="preserve">exposure and target engagement in one calibrated pass rather than reporting them side by side. The</w:t>
      </w:r>
      <w:r>
        <w:t xml:space="preserve"> </w:t>
      </w:r>
      <w:r>
        <w:t xml:space="preserve">coupling holds up under scrutiny built to break it: recall traces one curve across three test sets</w:t>
      </w:r>
      <w:r>
        <w:t xml:space="preserve"> </w:t>
      </w:r>
      <w:r>
        <w:t xml:space="preserve">constructed by unrelated rules (by date, at random, and by curator), the binder panel separates real</w:t>
      </w:r>
      <w:r>
        <w:t xml:space="preserve"> </w:t>
      </w:r>
      <w:r>
        <w:t xml:space="preserve">ligands from measured non-binders at a mean AUROC of 0.917 without ever training against a decoy, and</w:t>
      </w:r>
      <w:r>
        <w:t xml:space="preserve"> </w:t>
      </w:r>
      <w:r>
        <w:t xml:space="preserve">all six adversarial checks pass, including one that failed on its first run and was fixed at the</w:t>
      </w:r>
      <w:r>
        <w:t xml:space="preserve"> </w:t>
      </w:r>
      <w:r>
        <w:t xml:space="preserve">control set rather than at the criterion. On approved CNS drugs it recovers the pharmacologically</w:t>
      </w:r>
      <w:r>
        <w:t xml:space="preserve"> </w:t>
      </w:r>
      <w:r>
        <w:t xml:space="preserve">correct mechanism every time it is asked, and on compounds built not to enter the brain it stays</w:t>
      </w:r>
      <w:r>
        <w:t xml:space="preserve"> </w:t>
      </w:r>
      <w:r>
        <w:t xml:space="preserve">silent rather than guessing. Its distinguishing design choices, that the negative class is recovered</w:t>
      </w:r>
      <w:r>
        <w:t xml:space="preserve"> </w:t>
      </w:r>
      <w:r>
        <w:t xml:space="preserve">from measurement rather than simulated, that thresholds are measured on a pool disjoint from the one</w:t>
      </w:r>
      <w:r>
        <w:t xml:space="preserve"> </w:t>
      </w:r>
      <w:r>
        <w:t xml:space="preserve">that set them, and that every target score is gated by predicted exposure, are what make that</w:t>
      </w:r>
      <w:r>
        <w:t xml:space="preserve"> </w:t>
      </w:r>
      <w:r>
        <w:t xml:space="preserve">combination possible rather than coincidental.</w:t>
      </w:r>
    </w:p>
    <w:p>
      <w:pPr>
        <w:pStyle w:val="BodyText"/>
      </w:pPr>
      <w:r>
        <w:t xml:space="preserve">Five limitations bound its use, reported with the same rigour as the results above. First, the</w:t>
      </w:r>
      <w:r>
        <w:t xml:space="preserve"> </w:t>
      </w:r>
      <w:r>
        <w:t xml:space="preserve">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22"/>
    <w:bookmarkStart w:id="23"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23"/>
    <w:bookmarkStart w:id="24"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This must be supplied by the author team.</w:t>
      </w:r>
    </w:p>
    <w:bookmarkEnd w:id="24"/>
    <w:bookmarkStart w:id="25" w:name="funding"/>
    <w:p>
      <w:pPr>
        <w:pStyle w:val="Heading2"/>
      </w:pPr>
      <w:r>
        <w:t xml:space="preserve">Funding</w:t>
      </w:r>
    </w:p>
    <w:p>
      <w:pPr>
        <w:pStyle w:val="FirstParagraph"/>
      </w:pPr>
      <w:r>
        <w:t xml:space="preserve">[TO BE SUPPLIED]</w:t>
      </w:r>
    </w:p>
    <w:bookmarkEnd w:id="25"/>
    <w:bookmarkStart w:id="26" w:name="conflict-of-interest"/>
    <w:p>
      <w:pPr>
        <w:pStyle w:val="Heading2"/>
      </w:pPr>
      <w:r>
        <w:t xml:space="preserve">Conflict of interest</w:t>
      </w:r>
    </w:p>
    <w:p>
      <w:pPr>
        <w:pStyle w:val="FirstParagraph"/>
      </w:pPr>
      <w:r>
        <w:t xml:space="preserve">None declared.</w:t>
      </w:r>
    </w:p>
    <w:bookmarkEnd w:id="26"/>
    <w:bookmarkStart w:id="27" w:name="references"/>
    <w:p>
      <w:pPr>
        <w:pStyle w:val="Heading2"/>
      </w:pPr>
      <w:r>
        <w:t xml:space="preserve">References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2"/>
        </w:numPr>
      </w:pPr>
      <w:r>
        <w:t xml:space="preserve">Meng F, Xi Y, Huang J et al. A curated diverse molecular database of blood-brain barrier permeability with chemical descriptors. Scientific Data. 2021. doi:10.1038/s41597-021-01069-5.</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2"/>
        </w:numPr>
      </w:pPr>
      <w:r>
        <w:t xml:space="preserve">Wu Z, Ramsundar B, Feinberg E et al. MoleculeNet: a benchmark for molecular machine learning. Chemical Science. 2018. doi:10.1039/c7sc02664a.</w:t>
      </w:r>
    </w:p>
    <w:p>
      <w:pPr>
        <w:pStyle w:val="Compact"/>
        <w:numPr>
          <w:ilvl w:val="0"/>
          <w:numId w:val="1002"/>
        </w:numPr>
      </w:pPr>
      <w:r>
        <w:t xml:space="preserve">Rogers D, Hahn M. Extended-Connectivity Fingerprints. Journal of Chemical Information and Modeling. 2010. doi:10.1021/ci100050t.</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2"/>
        </w:numPr>
      </w:pPr>
      <w:r>
        <w:t xml:space="preserve">Kanehisa M, Goto S. KEGG: kyoto encyclopedia of genes and genomes. Nucleic acids research. 2000. doi:10.1093/nar/28.1.27.</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bookmarkEnd w:id="27"/>
    <w:bookmarkStart w:id="34" w:name="figure-legends"/>
    <w:p>
      <w:pPr>
        <w:pStyle w:val="Heading2"/>
      </w:pPr>
      <w:r>
        <w:t xml:space="preserve">Figure legends</w:t>
      </w:r>
    </w:p>
    <w:p>
      <w:pPr>
        <w:pStyle w:val="CaptionedFigure"/>
      </w:pPr>
      <w:r>
        <w:drawing>
          <wp:inline>
            <wp:extent cx="5727700" cy="4801771"/>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5727700" cy="480177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scored by</w:t>
      </w:r>
      <w:r>
        <w:t xml:space="preserve"> </w:t>
      </w:r>
      <w:r>
        <w:t xml:space="preserve">four model families: a 52-endpoint binder panel (47 deployed), twelve target-potency endpoints, a</w:t>
      </w:r>
      <w:r>
        <w:t xml:space="preserve"> </w:t>
      </w:r>
      <w:r>
        <w:t xml:space="preserve">ten-endpoint exposure/ADME layer, and one safety classifier. Every target score is admitted only in</w:t>
      </w:r>
      <w:r>
        <w:t xml:space="preserve"> </w:t>
      </w:r>
      <w:r>
        <w:t xml:space="preserve">proportion to predicted brain exposure and ranked by enrichment over its own base rate, and every</w:t>
      </w:r>
      <w:r>
        <w:t xml:space="preserve"> </w:t>
      </w:r>
      <w:r>
        <w:t xml:space="preserve">value carries a calibrated probability and an applicability-domain distance. (</w:t>
      </w:r>
      <w:r>
        <w:rPr>
          <w:b/>
          <w:bCs/>
        </w:rPr>
        <w:t xml:space="preserve">B</w:t>
      </w:r>
      <w:r>
        <w:t xml:space="preserve">) Each deployed</w:t>
      </w:r>
      <w:r>
        <w:t xml:space="preserve"> </w:t>
      </w:r>
      <w:r>
        <w:t xml:space="preserve">estimator is the last of several fits kept only to measure held-out behaviour: 960 fits stand behind</w:t>
      </w:r>
      <w:r>
        <w:t xml:space="preserve"> </w:t>
      </w:r>
      <w:r>
        <w:t xml:space="preserve">the 70-estimator deployed panel.</w:t>
      </w:r>
    </w:p>
    <w:p>
      <w:pPr>
        <w:pStyle w:val="CaptionedFigure"/>
      </w:pPr>
      <w:r>
        <w:drawing>
          <wp:inline>
            <wp:extent cx="5727700" cy="2991917"/>
            <wp:effectExtent b="0" l="0" r="0" t="0"/>
            <wp:docPr descr="Figure 2" title="" id="32" name="Picture"/>
            <a:graphic>
              <a:graphicData uri="http://schemas.openxmlformats.org/drawingml/2006/picture">
                <pic:pic>
                  <pic:nvPicPr>
                    <pic:cNvPr descr="figures/Figure8_use_case.png" id="33" name="Picture"/>
                    <pic:cNvPicPr>
                      <a:picLocks noChangeArrowheads="1" noChangeAspect="1"/>
                    </pic:cNvPicPr>
                  </pic:nvPicPr>
                  <pic:blipFill>
                    <a:blip r:embed="rId31"/>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 worked profile and the silence behaviour. For four approved CNS drugs the server</w:t>
      </w:r>
      <w:r>
        <w:t xml:space="preserve"> </w:t>
      </w:r>
      <w:r>
        <w:t xml:space="preserve">recovers the pharmacologically correct driving mechanism and condition; for four peripherally acting</w:t>
      </w:r>
      <w:r>
        <w:t xml:space="preserve"> </w:t>
      </w:r>
      <w:r>
        <w:t xml:space="preserve">compounds no disease score reaches the reporting threshold. A target score is admitted only in</w:t>
      </w:r>
      <w:r>
        <w:t xml:space="preserve"> </w:t>
      </w:r>
      <w:r>
        <w:t xml:space="preserve">proportion to predicted barrier penetration, so a compound that does not arrive cannot generate a</w:t>
      </w:r>
      <w:r>
        <w:t xml:space="preserve"> </w:t>
      </w:r>
      <w:r>
        <w:t xml:space="preserve">call.</w:t>
      </w:r>
    </w:p>
    <w:p>
      <w:pPr>
        <w:pStyle w:val="BodyText"/>
      </w:pPr>
      <w:r>
        <w:t xml:space="preserve">Three further validation figures, referenced in the Results above, are given in full in the</w:t>
      </w:r>
      <w:r>
        <w:t xml:space="preserve"> </w:t>
      </w:r>
      <w:r>
        <w:t xml:space="preserve">Supplementary Information submitted alongside this manuscript.</w:t>
      </w:r>
    </w:p>
    <w:p>
      <w:pPr>
        <w:pStyle w:val="BodyText"/>
      </w:pPr>
      <w:r>
        <w:rPr>
          <w:b/>
          <w:bCs/>
        </w:rPr>
        <w:t xml:space="preserve">Supplementary Figure S1.</w:t>
      </w:r>
      <w:r>
        <w:t xml:space="preserve"> </w:t>
      </w:r>
      <w:r>
        <w:t xml:space="preserve">The panel, one mark per estimator, so that no claim rests on a mean a</w:t>
      </w:r>
      <w:r>
        <w:t xml:space="preserve"> </w:t>
      </w:r>
      <w:r>
        <w:t xml:space="preserve">reader cannot check. Training-set size against cross-validated discrimination for every estimator,</w:t>
      </w:r>
      <w:r>
        <w:t xml:space="preserve"> </w:t>
      </w:r>
      <w:r>
        <w:t xml:space="preserve">deployed or withdrawn, coloured by model family; and the same population summarised by family</w:t>
      </w:r>
      <w:r>
        <w:t xml:space="preserve"> </w:t>
      </w:r>
      <w:r>
        <w:t xml:space="preserve">median.</w:t>
      </w:r>
    </w:p>
    <w:p>
      <w:pPr>
        <w:pStyle w:val="BodyText"/>
      </w:pPr>
      <w:r>
        <w:rPr>
          <w:b/>
          <w:bCs/>
        </w:rPr>
        <w:t xml:space="preserve">Supplementary Figure S2.</w:t>
      </w:r>
      <w:r>
        <w:t xml:space="preserve"> </w:t>
      </w:r>
      <w:r>
        <w:t xml:space="preserve">Four validations a cross-validated score cannot replace: expected</w:t>
      </w:r>
      <w:r>
        <w:t xml:space="preserve"> </w:t>
      </w:r>
      <w:r>
        <w:t xml:space="preserve">calibration error before and after isotonic regression; recall on whole scaffold classes withheld</w:t>
      </w:r>
      <w:r>
        <w:t xml:space="preserve"> </w:t>
      </w:r>
      <w:r>
        <w:t xml:space="preserve">before training, with 95% Wilson intervals; specificity on chemistry the server should stay quiet</w:t>
      </w:r>
      <w:r>
        <w:t xml:space="preserve"> </w:t>
      </w:r>
      <w:r>
        <w:t xml:space="preserve">about and external discrimination on approved drugs absent from the training source; and the</w:t>
      </w:r>
      <w:r>
        <w:t xml:space="preserve"> </w:t>
      </w:r>
      <w:r>
        <w:t xml:space="preserve">adversarial suite, in which every check was written so that it could fail.</w:t>
      </w:r>
    </w:p>
    <w:p>
      <w:pPr>
        <w:pStyle w:val="BodyText"/>
      </w:pPr>
      <w:r>
        <w:rPr>
          <w:b/>
          <w:bCs/>
        </w:rPr>
        <w:t xml:space="preserve">Supplementary Figure S3.</w:t>
      </w:r>
      <w:r>
        <w:t xml:space="preserve"> </w:t>
      </w:r>
      <w:r>
        <w:t xml:space="preserve">External validation, and an apparent temporal decay that is a</w:t>
      </w:r>
      <w:r>
        <w:t xml:space="preserve"> </w:t>
      </w:r>
      <w:r>
        <w:t xml:space="preserve">composition effect rather than model drift: per-endpoint AUROC and sensitivity under a size-matched</w:t>
      </w:r>
      <w:r>
        <w:t xml:space="preserve"> </w:t>
      </w:r>
      <w:r>
        <w:t xml:space="preserve">random split against a time split; why the gap exists (a random split holds out mostly close</w:t>
      </w:r>
      <w:r>
        <w:t xml:space="preserve"> </w:t>
      </w:r>
      <w:r>
        <w:t xml:space="preserve">analogues of the training set); and the resolution, recall against maximum Tanimoto similarity to</w:t>
      </w:r>
      <w:r>
        <w:t xml:space="preserve"> </w:t>
      </w:r>
      <w:r>
        <w:t xml:space="preserve">the training actives tracing one curve across three independently built test sets.</w:t>
      </w:r>
    </w:p>
    <w:bookmarkEnd w:id="34"/>
    <w:bookmarkEnd w:id="35"/>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2026-09-18T02:52:25Z</dcterms:created>
  <dcterms:modified xsi:type="dcterms:W3CDTF">2026-09-18T02:52:25Z</dcterms:modified>
</cp:coreProperties>
</file>

<file path=docProps/custom.xml><?xml version="1.0" encoding="utf-8"?>
<Properties xmlns="http://schemas.openxmlformats.org/officeDocument/2006/custom-properties" xmlns:vt="http://schemas.openxmlformats.org/officeDocument/2006/docPropsVTypes"/>
</file>