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32.png" ContentType="image/png"/>
  <Override PartName="/word/media/rId38.png" ContentType="image/png"/>
  <Override PartName="/word/media/rId41.png" ContentType="image/png"/>
  <Override PartName="/word/media/rId35.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9"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rPr>
          <w:b/>
          <w:bCs/>
        </w:rPr>
        <w:t xml:space="preserve">Affiliation:</w:t>
      </w:r>
      <w:r>
        <w:t xml:space="preserve"> </w:t>
      </w: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CaptionedFigure"/>
      </w:pPr>
      <w:r>
        <w:drawing>
          <wp:inline>
            <wp:extent cx="5334000" cy="3417813"/>
            <wp:effectExtent b="0" l="0" r="0" t="0"/>
            <wp:docPr descr="Graphical abstract" title="" id="10" name="Picture"/>
            <a:graphic>
              <a:graphicData uri="http://schemas.openxmlformats.org/drawingml/2006/picture">
                <pic:pic>
                  <pic:nvPicPr>
                    <pic:cNvPr descr="figures/GraphicalAbstract.png" id="11" name="Picture"/>
                    <pic:cNvPicPr>
                      <a:picLocks noChangeArrowheads="1" noChangeAspect="1"/>
                    </pic:cNvPicPr>
                  </pic:nvPicPr>
                  <pic:blipFill>
                    <a:blip r:embed="rId9"/>
                    <a:stretch>
                      <a:fillRect/>
                    </a:stretch>
                  </pic:blipFill>
                  <pic:spPr bwMode="auto">
                    <a:xfrm>
                      <a:off x="0" y="0"/>
                      <a:ext cx="5334000" cy="3417813"/>
                    </a:xfrm>
                    <a:prstGeom prst="rect">
                      <a:avLst/>
                    </a:prstGeom>
                    <a:noFill/>
                    <a:ln w="9525">
                      <a:noFill/>
                      <a:headEnd/>
                      <a:tailEnd/>
                    </a:ln>
                  </pic:spPr>
                </pic:pic>
              </a:graphicData>
            </a:graphic>
          </wp:inline>
        </w:drawing>
      </w:r>
    </w:p>
    <w:p>
      <w:pPr>
        <w:pStyle w:val="ImageCaption"/>
      </w:pPr>
      <w:r>
        <w:t xml:space="preserve">Graphical abstract</w:t>
      </w:r>
    </w:p>
    <w:p>
      <w:pPr>
        <w:pStyle w:val="BodyText"/>
      </w:pPr>
      <w:r>
        <w:rPr>
          <w:i/>
          <w:iCs/>
        </w:rPr>
        <w:t xml:space="preserve">Reading copy only: the submission itself carries the graphical abstract as the separate file NAR requires, not inline. This copy embeds it here for circulation.</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Every one of its 74 cross-validated estimators is validated under both random and</w:t>
      </w:r>
      <w:r>
        <w:t xml:space="preserve"> </w:t>
      </w:r>
      <w:r>
        <w:t xml:space="preserve">scaffold-grouped splits and carries a calibrated probability, the core classifiers additionally</w:t>
      </w:r>
      <w:r>
        <w:t xml:space="preserve"> </w:t>
      </w:r>
      <w:r>
        <w:t xml:space="preserve">reporting a conformal interval, and the server reports silence rather than a guess for chemistry</w:t>
      </w:r>
      <w:r>
        <w:t xml:space="preserve"> </w:t>
      </w:r>
      <w:r>
        <w:t xml:space="preserve">outside its measured competence.</w:t>
      </w:r>
    </w:p>
    <w:p>
      <w:pPr>
        <w:pStyle w:val="Compact"/>
        <w:numPr>
          <w:ilvl w:val="0"/>
          <w:numId w:val="1001"/>
        </w:numPr>
      </w:pPr>
      <w:r>
        <w:t xml:space="preserve">Its negative class is recovered from compounds measured and found inactive rather than simulated</w:t>
      </w:r>
      <w:r>
        <w:t xml:space="preserve"> </w:t>
      </w:r>
      <w:r>
        <w:t xml:space="preserve">with decoys, and every validation, including six adversarial checks written so that each could</w:t>
      </w:r>
      <w:r>
        <w:t xml:space="preserve"> </w:t>
      </w:r>
      <w:r>
        <w:t xml:space="preserve">fail, is reported whichever way it falls, which led to withdrawing two endpoints that could not</w:t>
      </w:r>
      <w:r>
        <w:t xml:space="preserve"> </w:t>
      </w:r>
      <w:r>
        <w:t xml:space="preserve">separate a real ligand from an unrelated metabolite.</w:t>
      </w:r>
    </w:p>
    <w:p>
      <w:r>
        <w:pict>
          <v:rect style="width:0;height:1.5pt" o:hralign="center" o:hrstd="t" o:hr="t"/>
        </w:pict>
      </w:r>
    </w:p>
    <w:bookmarkStart w:id="12"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54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0.925</w:t>
      </w:r>
      <w:r>
        <w:t xml:space="preserve"> </w:t>
      </w:r>
      <w:r>
        <w:t xml:space="preserve">(95% CI 0.907 to 0.940).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51 targets in the pathway graph drive more than one condition and structure alone does not</w:t>
      </w:r>
      <w:r>
        <w:t xml:space="preserve"> </w:t>
      </w:r>
      <w:r>
        <w:t xml:space="preserve">resolve which. BrainSafe AI is freely available without registration at https://huggingface.co/spaces/Krishnag999/brainsafe-ai, with source code, trained models and all validation artefacts at</w:t>
      </w:r>
      <w:r>
        <w:t xml:space="preserve"> </w:t>
      </w:r>
      <w:r>
        <w:t xml:space="preserve">https://github.com/krishna-g-999/brainsafe-ai.</w:t>
      </w:r>
    </w:p>
    <w:p>
      <w:r>
        <w:pict>
          <v:rect style="width:0;height:1.5pt" o:hralign="center" o:hrstd="t" o:hr="t"/>
        </w:pict>
      </w:r>
    </w:p>
    <w:bookmarkEnd w:id="12"/>
    <w:bookmarkStart w:id="13" w:name="introduction"/>
    <w:p>
      <w:pPr>
        <w:pStyle w:val="Heading2"/>
      </w:pPr>
      <w:r>
        <w:t xml:space="preserve">Introduction</w:t>
      </w:r>
    </w:p>
    <w:p>
      <w:pPr>
        <w:pStyle w:val="FirstParagraph"/>
      </w:pPr>
      <w:r>
        <w:t xml:space="preserve">Central nervous system drug discovery fails more often, and later, than discovery for most other</w:t>
      </w:r>
      <w:r>
        <w:t xml:space="preserve"> </w:t>
      </w:r>
      <w:r>
        <w:t xml:space="preserve">therapeutic areas (4). A compound can be potent at its intended target and never</w:t>
      </w:r>
      <w:r>
        <w:t xml:space="preserve"> </w:t>
      </w:r>
      <w:r>
        <w:t xml:space="preserve">reach the brain, or reach it and carry an unacceptable liability, or engage targets nobody tested and</w:t>
      </w:r>
      <w:r>
        <w:t xml:space="preserve"> </w:t>
      </w:r>
      <w:r>
        <w:t xml:space="preserve">acquire a clinical profile nobody predicted. Pharmacokinetics and the barrier itself, rather than</w:t>
      </w:r>
      <w:r>
        <w:t xml:space="preserve"> </w:t>
      </w:r>
      <w:r>
        <w:t xml:space="preserve">target affinity, account for a large share of central attrition (5), and the quantity</w:t>
      </w:r>
      <w:r>
        <w:t xml:space="preserve"> </w:t>
      </w:r>
      <w:r>
        <w:t xml:space="preserve">that governs central action is not total brain concentration but the unbound brain-to-plasma ratio</w:t>
      </w:r>
      <w:r>
        <w:t xml:space="preserve"> </w:t>
      </w:r>
      <w:r>
        <w:t xml:space="preserve">(6).</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(7)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every adversarial check is written so that it could fail and is reported</w:t>
      </w:r>
      <w:r>
        <w:t xml:space="preserve"> </w:t>
      </w:r>
      <w:r>
        <w:t xml:space="preserve">whichever way it falls, and one of the six passes only after a flawed control set was corrected</w:t>
      </w:r>
      <w:r>
        <w:t xml:space="preserve"> </w:t>
      </w:r>
      <w:r>
        <w:t xml:space="preserve">rather than its criterion loosened; and the server stays silent rather than guessing on chemistry it</w:t>
      </w:r>
      <w:r>
        <w:t xml:space="preserve"> </w:t>
      </w:r>
      <w:r>
        <w:t xml:space="preserve">cannot place.</w:t>
      </w:r>
    </w:p>
    <w:p>
      <w:r>
        <w:pict>
          <v:rect style="width:0;height:1.5pt" o:hralign="center" o:hrstd="t" o:hr="t"/>
        </w:pict>
      </w:r>
    </w:p>
    <w:bookmarkEnd w:id="13"/>
    <w:bookmarkStart w:id="20" w:name="materials-and-methods"/>
    <w:p>
      <w:pPr>
        <w:pStyle w:val="Heading2"/>
      </w:pPr>
      <w:r>
        <w:t xml:space="preserve">Materials and Methods</w:t>
      </w:r>
    </w:p>
    <w:bookmarkStart w:id="14"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(8), and the amyloid and tau axes (9); monoamine oxidase B (10) and LRRK2</w:t>
      </w:r>
      <w:r>
        <w:t xml:space="preserve"> </w:t>
      </w:r>
      <w:r>
        <w:t xml:space="preserve">(11)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(12); and three axes implicated across several</w:t>
      </w:r>
      <w:r>
        <w:t xml:space="preserve"> </w:t>
      </w:r>
      <w:r>
        <w:t xml:space="preserve">neurodegenerative conditions rather than tied to one, NLRP3-driven neuroinflammation</w:t>
      </w:r>
      <w:r>
        <w:t xml:space="preserve"> </w:t>
      </w:r>
      <w:r>
        <w:t xml:space="preserve">(13), KEAP1-NRF2 antioxidant signalling (14), and histone deacetylase activity,</w:t>
      </w:r>
      <w:r>
        <w:t xml:space="preserve"> </w:t>
      </w:r>
      <w:r>
        <w:t xml:space="preserve">whose genetic removal modifies pathology in Huntington’s disease models (15). Glutamatergic</w:t>
      </w:r>
      <w:r>
        <w:t xml:space="preserve"> </w:t>
      </w:r>
      <w:r>
        <w:t xml:space="preserve">targets are included on the same basis, riluzole being the long-standing approved agent acting on</w:t>
      </w:r>
      <w:r>
        <w:t xml:space="preserve"> </w:t>
      </w:r>
      <w:r>
        <w:t xml:space="preserve">that axis (16).</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(17).</w:t>
      </w:r>
      <w:r>
        <w:t xml:space="preserve"> </w:t>
      </w:r>
      <w:r>
        <w:rPr>
          <w:i/>
          <w:iCs/>
        </w:rPr>
        <w:t xml:space="preserve">Developability</w:t>
      </w:r>
      <w:r>
        <w:t xml:space="preserve"> </w:t>
      </w:r>
      <w:r>
        <w:t xml:space="preserve">is covered by the</w:t>
      </w:r>
      <w:r>
        <w:t xml:space="preserve"> </w:t>
      </w:r>
      <w:r>
        <w:t xml:space="preserve">ADME layer.</w:t>
      </w:r>
    </w:p>
    <w:bookmarkEnd w:id="14"/>
    <w:bookmarkStart w:id="15"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(18),</w:t>
      </w:r>
      <w:r>
        <w:t xml:space="preserve"> </w:t>
      </w:r>
      <w:r>
        <w:t xml:space="preserve">MoleculeNet (19),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r>
        <w:t xml:space="preserve"> </w:t>
      </w:r>
      <w:r>
        <w:t xml:space="preserve">with a median of 3,789. That set is every deployed model owning a table in data/endpoints, the</w:t>
      </w:r>
      <w:r>
        <w:t xml:space="preserve"> </w:t>
      </w:r>
      <w:r>
        <w:t xml:space="preserve">barrier model included; excluding it, since it is an exposure rather than a target endpoint,</w:t>
      </w:r>
      <w:r>
        <w:t xml:space="preserve"> </w:t>
      </w:r>
      <w:r>
        <w:t xml:space="preserve">gives 54 tables and a median of 3,587.</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5"/>
    <w:bookmarkStart w:id="16"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(20)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(21),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(22), XGBoost (23) and histogram gradient boosting, each</w:t>
      </w:r>
      <w:r>
        <w:t xml:space="preserve"> </w:t>
      </w:r>
      <w:r>
        <w:t xml:space="preserve">class-weighted for the classification endpoints so that no family is compared unweighted against</w:t>
      </w:r>
      <w:r>
        <w:t xml:space="preserve"> </w:t>
      </w:r>
      <w:r>
        <w:t xml:space="preserve">weighted competitors. On the scaffold split the random forest leads classification at 0.9212 mean</w:t>
      </w:r>
      <w:r>
        <w:t xml:space="preserve"> </w:t>
      </w:r>
      <w:r>
        <w:t xml:space="preserve">AUROC, ahead of XGBoost (0.9156), histogram gradient boosting (0.9153), the read-across (0.8829) and</w:t>
      </w:r>
      <w:r>
        <w:t xml:space="preserve"> </w:t>
      </w:r>
      <w:r>
        <w:t xml:space="preserve">logistic regression (0.8352), and it exceeds the read-across on all thirteen endpoints, by margins</w:t>
      </w:r>
      <w:r>
        <w:t xml:space="preserve"> </w:t>
      </w:r>
      <w:r>
        <w:t xml:space="preserve">running from 0.0095 at D2 to 0.1099 on the antioxidant assay. It is best on seven of the eight</w:t>
      </w:r>
      <w:r>
        <w:t xml:space="preserve"> </w:t>
      </w:r>
      <w:r>
        <w:t xml:space="preserve">classification endpoints, losing AChE to histogram gradient boosting at 0.9148 against 0.9247. It</w:t>
      </w:r>
      <w:r>
        <w:t xml:space="preserve"> </w:t>
      </w:r>
      <w:r>
        <w:t xml:space="preserve">does not lead regression at all: histogram</w:t>
      </w:r>
      <w:r>
        <w:t xml:space="preserve"> </w:t>
      </w:r>
      <w:r>
        <w:t xml:space="preserve">gradient boosting and XGBoost reach mean scaffold R² of 0.5424 and 0.5413 against 0.5190, and the</w:t>
      </w:r>
      <w:r>
        <w:t xml:space="preserve"> </w:t>
      </w:r>
      <w:r>
        <w:t xml:space="preserve">forest is best on none of the five. A random forest is nonetheless deployed everywhere, because it</w:t>
      </w:r>
      <w:r>
        <w:t xml:space="preserve"> </w:t>
      </w:r>
      <w:r>
        <w:t xml:space="preserve">leads where the principal claims are made, calibrates stably, supplies the vote distribution the</w:t>
      </w:r>
      <w:r>
        <w:t xml:space="preserve"> </w:t>
      </w:r>
      <w:r>
        <w:t xml:space="preserve">conformal layer consumes, does not extrapolate beyond the training range, and is exactly rather than</w:t>
      </w:r>
      <w:r>
        <w:t xml:space="preserve"> </w:t>
      </w:r>
      <w:r>
        <w:t xml:space="preserve">approximately explainable by TreeSHAP (24). The cost of that uniformity is 0.023 mean R² on</w:t>
      </w:r>
      <w:r>
        <w:t xml:space="preserve"> </w:t>
      </w:r>
      <w:r>
        <w:t xml:space="preserve">the potency regressions and is stated rather than left for a reader to find.</w:t>
      </w:r>
    </w:p>
    <w:bookmarkEnd w:id="16"/>
    <w:bookmarkStart w:id="17" w:name="X6ebadc4fd089f5317e68d5759e76c72c82f11ad"/>
    <w:p>
      <w:pPr>
        <w:pStyle w:val="Heading3"/>
      </w:pPr>
      <w:r>
        <w:t xml:space="preserve">Cross-validation, calibration and uncertainty</w:t>
      </w:r>
    </w:p>
    <w:p>
      <w:pPr>
        <w:pStyle w:val="FirstParagraph"/>
      </w:pPr>
      <w:r>
        <w:t xml:space="preserve">Every endpoint is cross-validated ten-fold, grouped on Bemis-Murcko scaffolds (25) so that</w:t>
      </w:r>
      <w:r>
        <w:t xml:space="preserve"> </w:t>
      </w:r>
      <w:r>
        <w:t xml:space="preserve">entire structural classes are withheld together. The 22 target-potency, exposure and safety</w:t>
      </w:r>
      <w:r>
        <w:t xml:space="preserve"> </w:t>
      </w:r>
      <w:r>
        <w:t xml:space="preserve">estimators are additionally cross-validated under a random split, and the distance between the two</w:t>
      </w:r>
      <w:r>
        <w:t xml:space="preserve"> </w:t>
      </w:r>
      <w:r>
        <w:t xml:space="preserve">regimes is the honest statement of how far a model travels; the 52 binder classifiers, validated</w:t>
      </w:r>
      <w:r>
        <w:t xml:space="preserve"> </w:t>
      </w:r>
      <w:r>
        <w:t xml:space="preserve">instead against compounds measured and found inactive at the same target (Section 3.3), are</w:t>
      </w:r>
      <w:r>
        <w:t xml:space="preserve"> </w:t>
      </w:r>
      <w:r>
        <w:t xml:space="preserve">cross-validated under the scaffold-grouped regime alone. Across the 74 cross-validated estimators,</w:t>
      </w:r>
      <w:r>
        <w:t xml:space="preserve"> </w:t>
      </w:r>
      <w:r>
        <w:t xml:space="preserve">spanning 70 distinct endpoints because four receptors carry both a potency regression and a binder</w:t>
      </w:r>
      <w:r>
        <w:t xml:space="preserve"> </w:t>
      </w:r>
      <w:r>
        <w:t xml:space="preserve">classifier, this is 960 fitted models 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(26)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rather than left implicit: isotonic regression is fitted by five-fold</w:t>
      </w:r>
      <w:r>
        <w:t xml:space="preserve"> </w:t>
      </w:r>
      <w:r>
        <w:rPr>
          <w:rStyle w:val="VerbatimChar"/>
        </w:rPr>
        <w:t xml:space="preserve">cross_val_predict</w:t>
      </w:r>
      <w:r>
        <w:t xml:space="preserve"> </w:t>
      </w:r>
      <w:r>
        <w:t xml:space="preserve">over</w:t>
      </w:r>
      <w:r>
        <w:t xml:space="preserve"> </w:t>
      </w:r>
      <w:r>
        <w:t xml:space="preserve">the pooled out-of-fold prediction vector, and a different, equally defensible nesting is a different</w:t>
      </w:r>
      <w:r>
        <w:t xml:space="preserve"> </w:t>
      </w:r>
      <w:r>
        <w:t xml:space="preserve">estimator with its own honest error, so the protocol is reported alongside the number rather than the</w:t>
      </w:r>
      <w:r>
        <w:t xml:space="preserve"> </w:t>
      </w:r>
      <w:r>
        <w:t xml:space="preserve">number alone. Each prediction additionally carries a Mondrian conformal interval, computed on the</w:t>
      </w:r>
      <w:r>
        <w:t xml:space="preserve"> </w:t>
      </w:r>
      <w:r>
        <w:t xml:space="preserve">same deduplicated matrix the classifiers are trained on, which converts the applicability domain from</w:t>
      </w:r>
      <w:r>
        <w:t xml:space="preserve"> </w:t>
      </w:r>
      <w:r>
        <w:t xml:space="preserve">a caveat into a coverage statement (27): empirical coverage over the eight core classifiers is</w:t>
      </w:r>
      <w:r>
        <w:t xml:space="preserve"> </w:t>
      </w:r>
      <w:r>
        <w:t xml:space="preserve">0.876 to 0.933 against a 0.90 target, with mean set size from 0.956 to 1.215 on a two-class problem</w:t>
      </w:r>
      <w:r>
        <w:t xml:space="preserve"> </w:t>
      </w:r>
      <w:r>
        <w:t xml:space="preserve">where 1.0 is a confident single label. The applicability domain itself is the maximum ECFP-4 Tanimoto</w:t>
      </w:r>
      <w:r>
        <w:t xml:space="preserve"> </w:t>
      </w:r>
      <w:r>
        <w:t xml:space="preserve">similarity of the query to that endpoint’s own measured chemistry (28), reported with the</w:t>
      </w:r>
      <w:r>
        <w:t xml:space="preserve"> </w:t>
      </w:r>
      <w:r>
        <w:t xml:space="preserve">nearest measured analogue and its structure.</w:t>
      </w:r>
    </w:p>
    <w:bookmarkEnd w:id="17"/>
    <w:bookmarkStart w:id="18"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(29) with Tanimoto below 0.35 to any positive. Binder classifiers use</w:t>
      </w:r>
      <w:r>
        <w:t xml:space="preserve"> </w:t>
      </w:r>
      <w:r>
        <w:t xml:space="preserve">sigmoid calibration (30),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0.0259 across the 44 of 47 deployed</w:t>
      </w:r>
      <w:r>
        <w:t xml:space="preserve"> </w:t>
      </w:r>
      <w:r>
        <w:t xml:space="preserve">endpoints for which a held-out measurement exists, and reaches a maximum of 0.0621, exceeding the</w:t>
      </w:r>
      <w:r>
        <w:t xml:space="preserve"> </w:t>
      </w:r>
      <w:r>
        <w:t xml:space="preserve">0.05 target at four endpoints; under the previous procedure, where the same pool set the threshold</w:t>
      </w:r>
      <w:r>
        <w:t xml:space="preserve"> </w:t>
      </w:r>
      <w:r>
        <w:t xml:space="preserve">and measured the rate, the two could not disagree by construction, so a genuinely disjoint</w:t>
      </w:r>
      <w:r>
        <w:t xml:space="preserve"> </w:t>
      </w:r>
      <w:r>
        <w:t xml:space="preserve">measurement exceeding its target is the expected behaviour of a real constraint rather than evidence</w:t>
      </w:r>
      <w:r>
        <w:t xml:space="preserve"> </w:t>
      </w:r>
      <w:r>
        <w:t xml:space="preserve">against it.</w:t>
      </w:r>
    </w:p>
    <w:bookmarkEnd w:id="18"/>
    <w:bookmarkStart w:id="19"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(31), the Reactome KEAP1-NFE2L2 oxidative</w:t>
      </w:r>
      <w:r>
        <w:t xml:space="preserve"> </w:t>
      </w:r>
      <w:r>
        <w:t xml:space="preserve">stress response (32) and IUPHAR/BPS Guide to Pharmacology associations (33).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(34) and RDKit (35),</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9"/>
    <w:bookmarkEnd w:id="20"/>
    <w:bookmarkStart w:id="27"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21"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0.764, both measured on actives</w:t>
      </w:r>
      <w:r>
        <w:t xml:space="preserve"> </w:t>
      </w:r>
      <w:r>
        <w:t xml:space="preserve">withheld by scaffold, at thresholds constrained simultaneously by held-out measured inactives and by</w:t>
      </w:r>
      <w:r>
        <w:t xml:space="preserve"> </w:t>
      </w:r>
      <w:r>
        <w:t xml:space="preserve">the false-positive rate on a disjoint pool of unrelated chemistry. Both figures are means over 47</w:t>
      </w:r>
      <w:r>
        <w:t xml:space="preserve"> </w:t>
      </w:r>
      <w:r>
        <w:t xml:space="preserve">endpoints and the spread behind them is wide: AUROC ranges from 0.719 at GABA-A to 0.985 at CGRP,</w:t>
      </w:r>
      <w:r>
        <w:t xml:space="preserve"> </w:t>
      </w:r>
      <w:r>
        <w:t xml:space="preserve">and sensitivity from 0.303 at GABA-A to 0.993 at CGRP with a median of 0.835, so the two means</w:t>
      </w:r>
      <w:r>
        <w:t xml:space="preserve"> </w:t>
      </w:r>
      <w:r>
        <w:t xml:space="preserve">describe the panel and not any particular endpoint. Supplementary Table S1 gives every endpoint</w:t>
      </w:r>
      <w:r>
        <w:t xml:space="preserve"> </w:t>
      </w:r>
      <w:r>
        <w:t xml:space="preserve">separately.</w:t>
      </w:r>
    </w:p>
    <w:p>
      <w:pPr>
        <w:pStyle w:val="BodyText"/>
      </w:pPr>
      <w:r>
        <w:t xml:space="preserve">The sensitivity figure carries a correction we report rather than leave for a reader to find. Four</w:t>
      </w:r>
      <w:r>
        <w:t xml:space="preserve"> </w:t>
      </w:r>
      <w:r>
        <w:t xml:space="preserve">scripts write this field in sequence, and the last of them scored every active in the endpoint table,</w:t>
      </w:r>
      <w:r>
        <w:t xml:space="preserve"> </w:t>
      </w:r>
      <w:r>
        <w:t xml:space="preserve">roughly four fifths of which the model had been fitted on, while leaving the field’s own basis</w:t>
      </w:r>
      <w:r>
        <w:t xml:space="preserve"> </w:t>
      </w:r>
      <w:r>
        <w:t xml:space="preserve">annotation reading that the measurement was held out. The panel mean was therefore published as 0.898</w:t>
      </w:r>
      <w:r>
        <w:t xml:space="preserve"> </w:t>
      </w:r>
      <w:r>
        <w:t xml:space="preserve">against a held-out 0.764, an inflation of 0.134, with nothing in the record disagreeing with anything</w:t>
      </w:r>
      <w:r>
        <w:t xml:space="preserve"> </w:t>
      </w:r>
      <w:r>
        <w:t xml:space="preserve">else. The scoring script now reads the scaffold-held-out partition and declares its basis when it</w:t>
      </w:r>
      <w:r>
        <w:t xml:space="preserve"> </w:t>
      </w:r>
      <w:r>
        <w:t xml:space="preserve">cannot, the registry has been recomputed from that partition and agrees with the threshold table on</w:t>
      </w:r>
      <w:r>
        <w:t xml:space="preserve"> </w:t>
      </w:r>
      <w:r>
        <w:t xml:space="preserve">all 47 deployed endpoints, and a regression test fails if any deployed endpoint reports sensitivity</w:t>
      </w:r>
      <w:r>
        <w:t xml:space="preserve"> </w:t>
      </w:r>
      <w:r>
        <w:t xml:space="preserve">on an undeclared basis. Six endpoints fall below the reliability gate on the corrected figure, against</w:t>
      </w:r>
      <w:r>
        <w:t xml:space="preserve"> </w:t>
      </w:r>
      <w:r>
        <w:t xml:space="preserve">one before: COX-2, GABA-A, GluN2B, P2X7, SIRT1 and TAAR1. They remain deployed, because each holds</w:t>
      </w:r>
      <w:r>
        <w:t xml:space="preserve"> </w:t>
      </w:r>
      <w:r>
        <w:t xml:space="preserve">its background false-positive rate at or below target and is therefore weak rather than misleading,</w:t>
      </w:r>
      <w:r>
        <w:t xml:space="preserve"> </w:t>
      </w:r>
      <w:r>
        <w:t xml:space="preserve">and the interface marks a negative call from any of them as low-powered.</w:t>
      </w:r>
    </w:p>
    <w:p>
      <w:pPr>
        <w:pStyle w:val="BodyText"/>
      </w:pPr>
      <w:r>
        <w:t xml:space="preserve">Five endpoints are withdrawn outright: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(24) on the deployed forests, which is exact for a random forest rather than an</w:t>
      </w:r>
      <w:r>
        <w:t xml:space="preserve"> </w:t>
      </w:r>
      <w:r>
        <w:t xml:space="preserve">approximation, recover known physicochemistry that was never supplied to the models. Over 800 sampled</w:t>
      </w:r>
      <w:r>
        <w:t xml:space="preserve"> </w:t>
      </w:r>
      <w:r>
        <w:t xml:space="preserve">training compounds, larger TPSA, molecular weight and hydrogen-bond donor count all push the barrier</w:t>
      </w:r>
      <w:r>
        <w:t xml:space="preserve"> </w:t>
      </w:r>
      <w:r>
        <w:t xml:space="preserve">model away from penetration (Spearman correlation between feature value and SHAP value of -0.93,</w:t>
      </w:r>
      <w:r>
        <w:t xml:space="preserve"> </w:t>
      </w:r>
      <w:r>
        <w:t xml:space="preserve">-0.94 and -0.94) while drug-likeness pushes towards it (+0.93); for hERG, lipophilicity pushes towards</w:t>
      </w:r>
      <w:r>
        <w:t xml:space="preserve"> </w:t>
      </w:r>
      <w:r>
        <w:t xml:space="preserve">blockade (+0.95).</w:t>
      </w:r>
    </w:p>
    <w:bookmarkEnd w:id="21"/>
    <w:bookmarkStart w:id="22"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endpoint tables, before deduplication, 15,104 feature-vector-identical rows exist across</w:t>
      </w:r>
      <w:r>
        <w:t xml:space="preserve"> </w:t>
      </w:r>
      <w:r>
        <w:t xml:space="preserve">the panel, worst at BBB (3,773), which is precisely what deduplication removes; none of them reaches</w:t>
      </w:r>
      <w:r>
        <w:t xml:space="preserve"> </w:t>
      </w:r>
      <w:r>
        <w:t xml:space="preserve">a fitted model.</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0.496 (random) and 0.503 (scaffold) over the eight core classifiers, every one of the sixteen values</w:t>
      </w:r>
      <w:r>
        <w:t xml:space="preserve"> </w:t>
      </w:r>
      <w:r>
        <w:t xml:space="preserve">within 0.02 of chance and a smallest margin over its own null 19-fold larger than the largest such</w:t>
      </w:r>
      <w:r>
        <w:t xml:space="preserve"> </w:t>
      </w:r>
      <w:r>
        <w:t xml:space="preserve">departure. Scaffold grouping alone confers nothing: paired by endpoint the scaffold null exceeds the</w:t>
      </w:r>
      <w:r>
        <w:t xml:space="preserve"> </w:t>
      </w:r>
      <w:r>
        <w:t xml:space="preserve">random null by a mean of 0.007 (Wilcoxon p = 0.25) and is negative in three of eight. Whole scaffold</w:t>
      </w:r>
      <w:r>
        <w:t xml:space="preserve"> </w:t>
      </w:r>
      <w:r>
        <w:t xml:space="preserve">classes 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0.767 on the 227 that are also distinguishable from the</w:t>
      </w:r>
      <w:r>
        <w:t xml:space="preserve"> </w:t>
      </w:r>
      <w:r>
        <w:t xml:space="preserve">training set in feature space, which is the subset that supports an external claim (Figure 3C). The</w:t>
      </w:r>
      <w:r>
        <w:t xml:space="preserve"> </w:t>
      </w:r>
      <w:r>
        <w:t xml:space="preserve">79 excluded by that second criterion are feature-identical to a training compound and score 0.749.</w:t>
      </w:r>
      <w:r>
        <w:t xml:space="preserve"> </w:t>
      </w:r>
      <w:r>
        <w:t xml:space="preserve">The two headline figures, 0.764 and 0.767, are close rather than one exceeding the other: excluding</w:t>
      </w:r>
      <w:r>
        <w:t xml:space="preserve"> </w:t>
      </w:r>
      <w:r>
        <w:t xml:space="preserve">memorised compounds neither inflates nor depresses the external estimate, which is the outcome an</w:t>
      </w:r>
      <w:r>
        <w:t xml:space="preserve"> </w:t>
      </w:r>
      <w:r>
        <w:t xml:space="preserve">honest exclusion criterion should produce.</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0.072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925 returned no actionable disease signal, a specificity of</w:t>
      </w:r>
      <w:r>
        <w:t xml:space="preserve"> </w:t>
      </w:r>
      <w:r>
        <w:t xml:space="preserve">0.925 (95% CI 0.907 to 0.940). Of the 75 false positives, 49 fired on a single condition rather than</w:t>
      </w:r>
      <w:r>
        <w:t xml:space="preserve"> </w:t>
      </w:r>
      <w:r>
        <w:t xml:space="preserve">producing a diffuse profile; the median score across all 75 was 0.437,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0.57 for unseen drugs (n = 25,</w:t>
      </w:r>
      <w:r>
        <w:t xml:space="preserve"> </w:t>
      </w:r>
      <w:r>
        <w:t xml:space="preserve">p = 1.8e-03), which is a weak signal and is described as one.</w:t>
      </w:r>
    </w:p>
    <w:p>
      <w:pPr>
        <w:pStyle w:val="BodyText"/>
      </w:pPr>
      <w:r>
        <w:rPr>
          <w:b/>
          <w:bCs/>
        </w:rPr>
        <w:t xml:space="preserve">Attribution.</w:t>
      </w:r>
      <w:r>
        <w:t xml:space="preserve"> </w:t>
      </w:r>
      <w:r>
        <w:t xml:space="preserve">SHAP attributions computed with TreeExplainer (24),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-0.94 and -0.94) while drug-likeness pushes towards it (+0.93); for hERG,</w:t>
      </w:r>
      <w:r>
        <w:t xml:space="preserve"> </w:t>
      </w:r>
      <w:r>
        <w:t xml:space="preserve">lipophilicity pushes towards blockade (+0.95). These directions were not supplied to the models.</w:t>
      </w:r>
    </w:p>
    <w:bookmarkEnd w:id="22"/>
    <w:bookmarkStart w:id="23"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(7), which addresses exposure only, BrainSafe AI</w:t>
      </w:r>
      <w:r>
        <w:t xml:space="preserve"> </w:t>
      </w:r>
      <w:r>
        <w:t xml:space="preserve">adds mechanism and liability but is not a replacement for expert medicinal-chemistry judgement on</w:t>
      </w:r>
      <w:r>
        <w:t xml:space="preserve"> </w:t>
      </w:r>
      <w:r>
        <w:t xml:space="preserve">either axis. Against ADMET and permeability servers such as SwissADME (36), ADMETlab 2.0</w:t>
      </w:r>
      <w:r>
        <w:t xml:space="preserve"> </w:t>
      </w:r>
      <w:r>
        <w:t xml:space="preserve">(37), pkCSM (38) and admetSAR 2.0 (39), and against target-prediction servers</w:t>
      </w:r>
      <w:r>
        <w:t xml:space="preserve"> </w:t>
      </w:r>
      <w:r>
        <w:t xml:space="preserve">such as SwissTargetPrediction (40), the difference is the gating: a target score</w:t>
      </w:r>
      <w:r>
        <w:t xml:space="preserve"> </w:t>
      </w:r>
      <w:r>
        <w:t xml:space="preserve">here is admitted only in proportion to predicted exposure, so a potent binder that does not reach the</w:t>
      </w:r>
      <w:r>
        <w:t xml:space="preserve"> </w:t>
      </w:r>
      <w:r>
        <w:t xml:space="preserve">brain is reported as such rather than as a hit, and no single one of these servers couples exposure,</w:t>
      </w:r>
      <w:r>
        <w:t xml:space="preserve"> </w:t>
      </w:r>
      <w:r>
        <w:t xml:space="preserve">target engagement and disease relevance in one calibrated output. We are not aware of another freely</w:t>
      </w:r>
      <w:r>
        <w:t xml:space="preserve"> </w:t>
      </w:r>
      <w:r>
        <w:t xml:space="preserve">available server that returns exposure-gated, calibrated, mechanism-resolved profiles across this</w:t>
      </w:r>
      <w:r>
        <w:t xml:space="preserve"> </w:t>
      </w:r>
      <w:r>
        <w:t xml:space="preserve">many CNS endpoints with an explicit applicability-domain statement on every value.</w:t>
      </w:r>
    </w:p>
    <w:bookmarkEnd w:id="23"/>
    <w:bookmarkStart w:id="24"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0.92; morphine returns the mu-opioid receptor and chronic pain at 0.97;</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4"/>
    <w:bookmarkStart w:id="25"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0.163.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0.616 and beats chance on seven. Macro-averaged top-3 recall, which averages</w:t>
      </w:r>
      <w:r>
        <w:t xml:space="preserve"> </w:t>
      </w:r>
      <w:r>
        <w:t xml:space="preserve">per indication rather than pooling and so cannot be carried by naming the common conditions, is 0.358</w:t>
      </w:r>
      <w:r>
        <w:t xml:space="preserve"> </w:t>
      </w:r>
      <w:r>
        <w:t xml:space="preserve">against 0.333. The spread is wide and is the substance of the result: depression and anxiety reach</w:t>
      </w:r>
      <w:r>
        <w:t xml:space="preserve"> </w:t>
      </w:r>
      <w:r>
        <w:t xml:space="preserve">0.798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51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5"/>
    <w:bookmarkStart w:id="26"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26"/>
    <w:bookmarkEnd w:id="27"/>
    <w:bookmarkStart w:id="28"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in the adversarial check, of 0.47 against 0.57 for unseen approved drugs (n = 25, one-sided Mann-Whitney</w:t>
      </w:r>
      <w:r>
        <w:t xml:space="preserve"> </w:t>
      </w:r>
      <w:r>
        <w:t xml:space="preserve">p = 1.8e-03),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A related limitation is the size of that effect. On chemistry more than a Tanimoto of 0.40 from</w:t>
      </w:r>
      <w:r>
        <w:t xml:space="preserve"> </w:t>
      </w:r>
      <w:r>
        <w:t xml:space="preserve">anything the panel has measured, recall at the deployed operating point is near 0.16, and no analysis</w:t>
      </w:r>
      <w:r>
        <w:t xml:space="preserve"> </w:t>
      </w:r>
      <w:r>
        <w:t xml:space="preserve">here improves it; what the prospective work establishes is that the figure is predictable, not that</w:t>
      </w:r>
      <w:r>
        <w:t xml:space="preserve"> </w:t>
      </w:r>
      <w:r>
        <w:t xml:space="preserve">it is better than it looked. A negative result on a novel scaffold is close to uninformative, which is</w:t>
      </w:r>
      <w:r>
        <w:t xml:space="preserve"> </w:t>
      </w:r>
      <w:r>
        <w:t xml:space="preserve">why the server now reports the expected recall beside it.</w:t>
      </w:r>
    </w:p>
    <w:p>
      <w:pPr>
        <w:pStyle w:val="BodyText"/>
      </w:pPr>
      <w:r>
        <w:t xml:space="preserve">The specificity estimate also has a boundary worth stating plainly: it rests on compounds presumed</w:t>
      </w:r>
      <w:r>
        <w:t xml:space="preserve"> </w:t>
      </w:r>
      <w:r>
        <w:t xml:space="preserve">inactive because nothing is recorded about them, drawn from within the reference library, so it does</w:t>
      </w:r>
      <w:r>
        <w:t xml:space="preserve"> </w:t>
      </w:r>
      <w:r>
        <w:t xml:space="preserve">not bound behaviour on genuinely distant chemistry.</w:t>
      </w:r>
    </w:p>
    <w:p>
      <w:pPr>
        <w:pStyle w:val="BodyText"/>
      </w:pPr>
      <w:r>
        <w:t xml:space="preserve">Natural-product chemistry is a fourth limit, and it is stated here because a reader will reasonably</w:t>
      </w:r>
      <w:r>
        <w:t xml:space="preserve"> </w:t>
      </w:r>
      <w:r>
        <w:t xml:space="preserve">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largely outside it: a</w:t>
      </w:r>
      <w:r>
        <w:t xml:space="preserve"> </w:t>
      </w:r>
      <w:r>
        <w:t xml:space="preserve">withanolide (withaferin A) submitted to the server returns a maximum Tanimoto of 0.27 and no</w:t>
      </w:r>
      <w:r>
        <w:t xml:space="preserve"> </w:t>
      </w:r>
      <w:r>
        <w:t xml:space="preserve">engagement call, with no measured compound close enough to serve as an analogue.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0.725, 0.710 and 0.579 for NRF2, NFKB1 and NR3C1, but the fold-to-fold standard deviations are</w:t>
      </w:r>
      <w:r>
        <w:t xml:space="preserve"> </w:t>
      </w:r>
      <w:r>
        <w:t xml:space="preserve">0.134, 0.151 and 0.153, so that signal is not stable, and the three fail the deployment gate in three</w:t>
      </w:r>
      <w:r>
        <w:t xml:space="preserve"> </w:t>
      </w:r>
      <w:r>
        <w:t xml:space="preserve">different ways rather than one. NRF2 discriminates its own held-out measured inactives well (AUROC</w:t>
      </w:r>
      <w:r>
        <w:t xml:space="preserve"> </w:t>
      </w:r>
      <w:r>
        <w:t xml:space="preserve">0.789, sensitivity 0.545) but its false-positive rate on random background chemistry is 0.057, just</w:t>
      </w:r>
      <w:r>
        <w:t xml:space="preserve"> </w:t>
      </w:r>
      <w:r>
        <w:t xml:space="preserve">above the 5 per cent every deployed endpoint is held to, a near miss rather than a wide failure. NFKB1</w:t>
      </w:r>
      <w:r>
        <w:t xml:space="preserve"> </w:t>
      </w:r>
      <w:r>
        <w:t xml:space="preserve">fails outright, calling five trivial metabolites (glucose, urea, acetate, glycine, lactate) binders at</w:t>
      </w:r>
      <w:r>
        <w:t xml:space="preserve"> </w:t>
      </w:r>
      <w:r>
        <w:t xml:space="preserve">its calibrated threshold while recovering no measured active at all (sensitivity 0.000). NR3C1 passes</w:t>
      </w:r>
      <w:r>
        <w:t xml:space="preserve"> </w:t>
      </w:r>
      <w:r>
        <w:t xml:space="preserve">the specificity test, firing on no trivial molecule, and fails on discrimination instead: AUROC 0.410</w:t>
      </w:r>
      <w:r>
        <w:t xml:space="preserve"> </w:t>
      </w:r>
      <w:r>
        <w:t xml:space="preserve">against its own held-out measured inactives is below chance. An endpoint that cannot be given a</w:t>
      </w:r>
      <w:r>
        <w:t xml:space="preserve"> </w:t>
      </w:r>
      <w:r>
        <w:t xml:space="preserve">threshold that finds actives without firing on unrelated chemistry is not usable, whatever its</w:t>
      </w:r>
      <w:r>
        <w:t xml:space="preserve"> </w:t>
      </w:r>
      <w:r>
        <w:t xml:space="preserve">cross-validated AUROC. The cause is visible in what the labels are made of. A binder classifier is</w:t>
      </w:r>
      <w:r>
        <w:t xml:space="preserve"> </w:t>
      </w:r>
      <w:r>
        <w:t xml:space="preserve">fitted to reproduce a direct binding constant, and for two of these three there is essentially none:</w:t>
      </w:r>
      <w:r>
        <w:t xml:space="preserve"> </w:t>
      </w:r>
      <w:r>
        <w:t xml:space="preserve">of the labelled records, Ki or Kd accounts for 0.0 per cent at NRF2, 0.3 per cent at NFKB1 and 14.8</w:t>
      </w:r>
      <w:r>
        <w:t xml:space="preserve"> </w:t>
      </w:r>
      <w:r>
        <w:t xml:space="preserve">per cent at NR3C1, the remainder being almost entirely</w:t>
      </w:r>
      <w:r>
        <w:t xml:space="preserve"> </w:t>
      </w:r>
      <w:r>
        <w:rPr>
          <w:rStyle w:val="VerbatimChar"/>
        </w:rPr>
        <w:t xml:space="preserve">Potency</w:t>
      </w:r>
      <w:r>
        <w:t xml:space="preserve">, a pooled functional readout that</w:t>
      </w:r>
      <w:r>
        <w:t xml:space="preserve"> </w:t>
      </w:r>
      <w:r>
        <w:t xml:space="preserve">mixes assay formats and does not define a binding class a ligand fingerprint can separate. NR3C1, the</w:t>
      </w:r>
      <w:r>
        <w:t xml:space="preserve"> </w:t>
      </w:r>
      <w:r>
        <w:t xml:space="preserve">one with real binding data, is also the one with too few compounds to fit, 140 after deduplication.</w:t>
      </w:r>
      <w:r>
        <w:t xml:space="preserve"> </w:t>
      </w:r>
      <w:r>
        <w:t xml:space="preserve">The gap is therefore not one that adding targets closes. It requires measured binding affinity on</w:t>
      </w:r>
      <w:r>
        <w:t xml:space="preserve"> </w:t>
      </w:r>
      <w:r>
        <w:t xml:space="preserve">sp3-rich scaffolds, which is what does not</w:t>
      </w:r>
      <w:r>
        <w:t xml:space="preserve"> </w:t>
      </w:r>
      <w:r>
        <w:t xml:space="preserve">exist.</w:t>
      </w:r>
    </w:p>
    <w:p>
      <w:pPr>
        <w:pStyle w:val="BodyText"/>
      </w:pPr>
      <w:r>
        <w:t xml:space="preserve">The last limitation is the disease layer, and it is a limit of the question rather than of the fitting. Clinical</w:t>
      </w:r>
      <w:r>
        <w:t xml:space="preserve"> </w:t>
      </w:r>
      <w:r>
        <w:t xml:space="preserve">indication is not a function of structure: 27 of the 51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8"/>
    <w:bookmarkStart w:id="29"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account is created, no</w:t>
      </w:r>
      <w:r>
        <w:t xml:space="preserve"> </w:t>
      </w:r>
      <w:r>
        <w:t xml:space="preserve">submitted structure is written to disk, logged or retained beyond the lifetime of its request, and</w:t>
      </w:r>
      <w:r>
        <w:t xml:space="preserve"> </w:t>
      </w:r>
      <w:r>
        <w:t xml:space="preserve">none is used to train or update any model; the one exception is a compound entered by name, which is</w:t>
      </w:r>
      <w:r>
        <w:t xml:space="preserve"> </w:t>
      </w:r>
      <w:r>
        <w:t xml:space="preserve">resolved to a structure through a single call to PubChem. Curated example compounds are provided so</w:t>
      </w:r>
      <w:r>
        <w:t xml:space="preserve"> </w:t>
      </w:r>
      <w:r>
        <w:t xml:space="preserve">the server can be tried without preparing any input, and the interface’s About page documents every</w:t>
      </w:r>
      <w:r>
        <w:t xml:space="preserve"> </w:t>
      </w:r>
      <w:r>
        <w:t xml:space="preserve">endpoint, every validation figure and the licence terms in place of a separate tutorial.</w:t>
      </w:r>
    </w:p>
    <w:p>
      <w:pPr>
        <w:pStyle w:val="BodyText"/>
      </w:pPr>
      <w:r>
        <w:t xml:space="preserve">All code, the curated knowledge graph, per-fold validation artefacts, the falsification suite and</w:t>
      </w:r>
      <w:r>
        <w:t xml:space="preserve"> </w:t>
      </w:r>
      <w:r>
        <w:t xml:space="preserve">the scripts that regenerate every table and figure are at</w:t>
      </w:r>
      <w:r>
        <w:t xml:space="preserve"> </w:t>
      </w:r>
      <w:r>
        <w:t xml:space="preserve">https://github.com/krishna-g-999/brainsafe-ai under the MIT licence. Underlying data retain the</w:t>
      </w:r>
      <w:r>
        <w:t xml:space="preserve"> </w:t>
      </w:r>
      <w:r>
        <w:t xml:space="preserve">licences of their own sources (ChEMBL, CC BY-SA 3.0; BindingDB; B3DB; Therapeutics Data Commons;</w:t>
      </w:r>
      <w:r>
        <w:t xml:space="preserve"> </w:t>
      </w:r>
      <w:r>
        <w:t xml:space="preserve">MoleculeNet), and the KEGG, Reactome and IUPHAR/BPS pathway annotations are subject to their own</w:t>
      </w:r>
      <w:r>
        <w:t xml:space="preserve"> </w:t>
      </w:r>
      <w:r>
        <w:t xml:space="preserve">terms, KEGG in particular restricting commercial redistribution; a user redistributing this server’s</w:t>
      </w:r>
      <w:r>
        <w:t xml:space="preserve"> </w:t>
      </w:r>
      <w:r>
        <w:t xml:space="preserve">output is responsible for observing them. Trained estimators and the raw API responses are deposited</w:t>
      </w:r>
      <w:r>
        <w:t xml:space="preserve"> </w:t>
      </w:r>
      <w:r>
        <w:t xml:space="preserve">separately, each with a committed manifest recording the SHA-256 of the archive and of every file</w:t>
      </w:r>
      <w:r>
        <w:t xml:space="preserve"> </w:t>
      </w:r>
      <w:r>
        <w:t xml:space="preserve">inside it, so a download is verified rather than trusted.</w:t>
      </w:r>
    </w:p>
    <w:p>
      <w:pPr>
        <w:pStyle w:val="BodyText"/>
      </w:pPr>
      <w:r>
        <w:rPr>
          <w:b/>
          <w:bCs/>
        </w:rPr>
        <w:t xml:space="preserve">[TO BE SUPPLIED BEFORE SUBMISSION]</w:t>
      </w:r>
      <w:r>
        <w:t xml:space="preserve"> </w:t>
      </w:r>
      <w:r>
        <w:t xml:space="preserve">the archive deposit’s own DOI and the funding statement. Every</w:t>
      </w:r>
      <w:r>
        <w:t xml:space="preserve"> </w:t>
      </w:r>
      <w:r>
        <w:t xml:space="preserve">other value in this manuscript, including the author list, the corresponding address and the server</w:t>
      </w:r>
      <w:r>
        <w:t xml:space="preserve"> </w:t>
      </w:r>
      <w:r>
        <w:t xml:space="preserve">and repository URLs above, is stated as it currently stands in the repository and the deployed</w:t>
      </w:r>
      <w:r>
        <w:t xml:space="preserve"> </w:t>
      </w:r>
      <w:r>
        <w:t xml:space="preserve">server rather than left as a placeholder.</w:t>
      </w:r>
    </w:p>
    <w:bookmarkEnd w:id="29"/>
    <w:bookmarkStart w:id="30" w:name="funding"/>
    <w:p>
      <w:pPr>
        <w:pStyle w:val="Heading2"/>
      </w:pPr>
      <w:r>
        <w:t xml:space="preserve">Funding</w:t>
      </w:r>
    </w:p>
    <w:p>
      <w:pPr>
        <w:pStyle w:val="FirstParagraph"/>
      </w:pPr>
      <w:r>
        <w:t xml:space="preserve">[TO BE SUPPLIED]</w:t>
      </w:r>
    </w:p>
    <w:bookmarkEnd w:id="30"/>
    <w:bookmarkStart w:id="31"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31"/>
    <w:bookmarkStart w:id="47" w:name="figure-legends"/>
    <w:p>
      <w:pPr>
        <w:pStyle w:val="Heading2"/>
      </w:pPr>
      <w:r>
        <w:t xml:space="preserve">Figure legends</w:t>
      </w:r>
    </w:p>
    <w:p>
      <w:pPr>
        <w:pStyle w:val="CaptionedFigure"/>
      </w:pPr>
      <w:r>
        <w:drawing>
          <wp:inline>
            <wp:extent cx="5334000" cy="4471716"/>
            <wp:effectExtent b="0" l="0" r="0" t="0"/>
            <wp:docPr descr="Figure 1" title="" id="33" name="Picture"/>
            <a:graphic>
              <a:graphicData uri="http://schemas.openxmlformats.org/drawingml/2006/picture">
                <pic:pic>
                  <pic:nvPicPr>
                    <pic:cNvPr descr="figures/Figure1_architecture.png" id="34" name="Picture"/>
                    <pic:cNvPicPr>
                      <a:picLocks noChangeArrowheads="1" noChangeAspect="1"/>
                    </pic:cNvPicPr>
                  </pic:nvPicPr>
                  <pic:blipFill>
                    <a:blip r:embed="rId32"/>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as MODEL_INVENTORY.csv defines</w:t>
      </w:r>
      <w:r>
        <w:t xml:space="preserve"> </w:t>
      </w:r>
      <w:r>
        <w:t xml:space="preserve">them: the 52-endpoint binder panel of which 47 are deployed, twelve target potency and activity</w:t>
      </w:r>
      <w:r>
        <w:t xml:space="preserve"> </w:t>
      </w:r>
      <w:r>
        <w:t xml:space="preserve">endpoints, the ten-endpoint exposure and ADME layer including the barrier model itself, and the</w:t>
      </w:r>
      <w:r>
        <w:t xml:space="preserve"> </w:t>
      </w:r>
      <w:r>
        <w:t xml:space="preserve">single hERG safety classifier. Every target score is admitted only in proportion to the predicted</w:t>
      </w:r>
      <w:r>
        <w:t xml:space="preserve"> </w:t>
      </w:r>
      <w:r>
        <w:t xml:space="preserve">probability that the compound reaches the brain, and surviving scores are ranked by enrichment over</w:t>
      </w:r>
      <w:r>
        <w:t xml:space="preserve"> </w:t>
      </w:r>
      <w:r>
        <w:t xml:space="preserve">each endpoint’s base rate rather than by raw probability. Every reported value carries a calibrated</w:t>
      </w:r>
      <w:r>
        <w:t xml:space="preserve"> </w:t>
      </w:r>
      <w:r>
        <w:t xml:space="preserve">probability and an applicability-domain distance, and the eight core classifiers additionally report</w:t>
      </w:r>
      <w:r>
        <w:t xml:space="preserve"> </w:t>
      </w:r>
      <w:r>
        <w:t xml:space="preserve">a conformal interval.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36" name="Picture"/>
            <a:graphic>
              <a:graphicData uri="http://schemas.openxmlformats.org/drawingml/2006/picture">
                <pic:pic>
                  <pic:nvPicPr>
                    <pic:cNvPr descr="figures/Figure9_model_atlas.png" id="37" name="Picture"/>
                    <pic:cNvPicPr>
                      <a:picLocks noChangeArrowheads="1" noChangeAspect="1"/>
                    </pic:cNvPicPr>
                  </pic:nvPicPr>
                  <pic:blipFill>
                    <a:blip r:embed="rId35"/>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37 to</w:t>
      </w:r>
      <w:r>
        <w:t xml:space="preserve"> </w:t>
      </w:r>
      <w:r>
        <w:t xml:space="preserve">15,831 rows; binder training sets include property-matched decoys while the others are measured</w:t>
      </w:r>
      <w:r>
        <w:t xml:space="preserve"> </w:t>
      </w:r>
      <w:r>
        <w:t xml:space="preserve">compounds only, 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0.945 while</w:t>
      </w:r>
      <w:r>
        <w:t xml:space="preserve"> </w:t>
      </w:r>
      <w:r>
        <w:t xml:space="preserve">the exposure and ADME family, which mixes AUROC and R² endpoints, has a median of 0.574,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351726"/>
            <wp:effectExtent b="0" l="0" r="0" t="0"/>
            <wp:docPr descr="Figure 3" title="" id="39" name="Picture"/>
            <a:graphic>
              <a:graphicData uri="http://schemas.openxmlformats.org/drawingml/2006/picture">
                <pic:pic>
                  <pic:nvPicPr>
                    <pic:cNvPr descr="figures/Figure6_validation.png" id="40" name="Picture"/>
                    <pic:cNvPicPr>
                      <a:picLocks noChangeArrowheads="1" noChangeAspect="1"/>
                    </pic:cNvPicPr>
                  </pic:nvPicPr>
                  <pic:blipFill>
                    <a:blip r:embed="rId38"/>
                    <a:stretch>
                      <a:fillRect/>
                    </a:stretch>
                  </pic:blipFill>
                  <pic:spPr bwMode="auto">
                    <a:xfrm>
                      <a:off x="0" y="0"/>
                      <a:ext cx="5334000" cy="335172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(41)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All six pass, one of them, the</w:t>
      </w:r>
      <w:r>
        <w:t xml:space="preserve"> </w:t>
      </w:r>
      <w:r>
        <w:t xml:space="preserve">applicability-domain flag, only after its controls were corrected rather than its criterion retuned;</w:t>
      </w:r>
      <w:r>
        <w:t xml:space="preserve"> </w:t>
      </w:r>
      <w:r>
        <w:t xml:space="preserve">every check is drawn at the same size whatever its verdict, so a future failure would be exactly this</w:t>
      </w:r>
      <w:r>
        <w:t xml:space="preserve"> </w:t>
      </w:r>
      <w:r>
        <w:t xml:space="preserve">visible.</w:t>
      </w:r>
    </w:p>
    <w:p>
      <w:pPr>
        <w:pStyle w:val="CaptionedFigure"/>
      </w:pPr>
      <w:r>
        <w:drawing>
          <wp:inline>
            <wp:extent cx="5334000" cy="2786264"/>
            <wp:effectExtent b="0" l="0" r="0" t="0"/>
            <wp:docPr descr="Figure 4" title="" id="42" name="Picture"/>
            <a:graphic>
              <a:graphicData uri="http://schemas.openxmlformats.org/drawingml/2006/picture">
                <pic:pic>
                  <pic:nvPicPr>
                    <pic:cNvPr descr="figures/Figure8_use_case.png" id="43" name="Picture"/>
                    <pic:cNvPicPr>
                      <a:picLocks noChangeArrowheads="1" noChangeAspect="1"/>
                    </pic:cNvPicPr>
                  </pic:nvPicPr>
                  <pic:blipFill>
                    <a:blip r:embed="rId41"/>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334000" cy="4759684"/>
            <wp:effectExtent b="0" l="0" r="0" t="0"/>
            <wp:docPr descr="Figure 5" title="" id="45" name="Picture"/>
            <a:graphic>
              <a:graphicData uri="http://schemas.openxmlformats.org/drawingml/2006/picture">
                <pic:pic>
                  <pic:nvPicPr>
                    <pic:cNvPr descr="figures/Figure11_external_validation.png" id="46" name="Picture"/>
                    <pic:cNvPicPr>
                      <a:picLocks noChangeArrowheads="1" noChangeAspect="1"/>
                    </pic:cNvPicPr>
                  </pic:nvPicPr>
                  <pic:blipFill>
                    <a:blip r:embed="rId44"/>
                    <a:stretch>
                      <a:fillRect/>
                    </a:stretch>
                  </pic:blipFill>
                  <pic:spPr bwMode="auto">
                    <a:xfrm>
                      <a:off x="0" y="0"/>
                      <a:ext cx="5334000" cy="475968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47"/>
    <w:bookmarkStart w:id="48"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 A PubMed Central or PubMed abstract link is given where NCBI indexes the work (</w:t>
      </w:r>
      <w:r>
        <w:rPr>
          <w:rStyle w:val="VerbatimChar"/>
        </w:rPr>
        <w:t xml:space="preserve">manuscript/references_links.json</w:t>
      </w:r>
      <w:r>
        <w:t xml:space="preserve">); neither exists for a work outside PubMed’s coverage, which is expected for some conference proceedings and for the software citations.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 https://pmc.ncbi.nlm.nih.gov/articles/PMC10767899/ https://pubmed.ncbi.nlm.nih.gov/37933841/</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 https://pmc.ncbi.nlm.nih.gov/articles/PMC4702793/ https://pubmed.ncbi.nlm.nih.gov/26481362/</w:t>
      </w:r>
    </w:p>
    <w:p>
      <w:pPr>
        <w:pStyle w:val="Compact"/>
        <w:numPr>
          <w:ilvl w:val="0"/>
          <w:numId w:val="1002"/>
        </w:numPr>
      </w:pPr>
      <w:r>
        <w:t xml:space="preserve">Meng F, Xi Y, Huang J et al. A curated diverse molecular database of blood-brain barrier permeability with chemical descriptors. Scientific Data. 2021. doi:10.1038/s41597-021-01069-5. https://pmc.ncbi.nlm.nih.gov/articles/PMC8556334/ https://pubmed.ncbi.nlm.nih.gov/34716354/</w:t>
      </w:r>
    </w:p>
    <w:p>
      <w:pPr>
        <w:pStyle w:val="Compact"/>
        <w:numPr>
          <w:ilvl w:val="0"/>
          <w:numId w:val="1002"/>
        </w:numPr>
      </w:pPr>
      <w:r>
        <w:t xml:space="preserve">Pangalos M, Schechter L, Hurko O. Drug development for CNS disorders: strategies for balancing risk and reducing attrition. Nature Reviews Drug Discovery. 2007. doi:10.1038/nrd2094.</w:t>
      </w:r>
    </w:p>
    <w:p>
      <w:pPr>
        <w:pStyle w:val="Compact"/>
        <w:numPr>
          <w:ilvl w:val="0"/>
          <w:numId w:val="1002"/>
        </w:numPr>
      </w:pPr>
      <w:r>
        <w:t xml:space="preserve">Alavijeh M, Chishty M, Qaiser M et al. Drug metabolism and pharmacokinetics, the blood-brain barrier, and central nervous system drug discovery. NeuroRX. 2005. doi:10.1602/neurorx.2.4.554. https://pmc.ncbi.nlm.nih.gov/articles/PMC1201315/ https://pubmed.ncbi.nlm.nih.gov/16489365/</w:t>
      </w:r>
    </w:p>
    <w:p>
      <w:pPr>
        <w:pStyle w:val="Compact"/>
        <w:numPr>
          <w:ilvl w:val="0"/>
          <w:numId w:val="1002"/>
        </w:numPr>
      </w:pPr>
      <w:r>
        <w:t xml:space="preserve">Loryan I, Reichel A, Feng B et al. Unbound Brain-to-Plasma Partition Coefficient, Kp,uu,brain—a Game Changing Parameter for CNS Drug Discovery and Development. Pharmaceutical Research. 2022. doi:10.1007/s11095-022-03246-6. https://pmc.ncbi.nlm.nih.gov/articles/PMC9246790/ https://pubmed.ncbi.nlm.nih.gov/35411506/</w:t>
      </w:r>
    </w:p>
    <w:p>
      <w:pPr>
        <w:pStyle w:val="Compact"/>
        <w:numPr>
          <w:ilvl w:val="0"/>
          <w:numId w:val="1002"/>
        </w:numPr>
      </w:pPr>
      <w:r>
        <w:t xml:space="preserve">Wager T, Hou X, Verhoest P et al. Moving beyond Rules: The Development of a Central Nervous System Multiparameter Optimization (CNS MPO) Approach To Enable Alignment of Druglike Properties. ACS Chemical Neuroscience. 2010. doi:10.1021/cn100008c. https://pmc.ncbi.nlm.nih.gov/articles/PMC3368654/ https://pubmed.ncbi.nlm.nih.gov/22778837/</w:t>
      </w:r>
    </w:p>
    <w:p>
      <w:pPr>
        <w:pStyle w:val="Compact"/>
        <w:numPr>
          <w:ilvl w:val="0"/>
          <w:numId w:val="1002"/>
        </w:numPr>
      </w:pPr>
      <w:r>
        <w:t xml:space="preserve">Saify Z, Sultana N. Role of Acetylcholinesterase Inhibitors and Alzheimer Disease. Drug Design and Discovery in Alzheimer’s Disease. 2014. doi:10.1016/b978-0-12-803959-5.50007-6.</w:t>
      </w:r>
    </w:p>
    <w:p>
      <w:pPr>
        <w:pStyle w:val="Compact"/>
        <w:numPr>
          <w:ilvl w:val="0"/>
          <w:numId w:val="1002"/>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2"/>
        </w:numPr>
      </w:pPr>
      <w:r>
        <w:t xml:space="preserve">Dezsi L, Vecsei L. Monoamine Oxidase B Inhibitors in Parkinson’s Disease. CNS &amp; neurological disorders drug targets. 2017. doi:10.2174/1871527316666170124165222. https://pubmed.ncbi.nlm.nih.gov/28124620/</w:t>
      </w:r>
    </w:p>
    <w:p>
      <w:pPr>
        <w:pStyle w:val="Compact"/>
        <w:numPr>
          <w:ilvl w:val="0"/>
          <w:numId w:val="1002"/>
        </w:numPr>
      </w:pPr>
      <w:r>
        <w:t xml:space="preserve">West A. Achieving neuroprotection with LRRK2 kinase inhibitors in Parkinson disease. Experimental Neurology. 2017. doi:10.1016/j.expneurol.2017.07.019. https://pmc.ncbi.nlm.nih.gov/articles/PMC5693612/ https://pubmed.ncbi.nlm.nih.gov/28764903/</w:t>
      </w:r>
    </w:p>
    <w:p>
      <w:pPr>
        <w:pStyle w:val="Compact"/>
        <w:numPr>
          <w:ilvl w:val="0"/>
          <w:numId w:val="1002"/>
        </w:numPr>
      </w:pPr>
      <w:r>
        <w:t xml:space="preserve">Riemann D, Spiegelhalder K. Orexin receptor antagonists: a new treatment for insomnia?. The Lancet Neurology. 2014. doi:10.1016/s1474-4422(13)70311-9. https://pubmed.ncbi.nlm.nih.gov/24680373/</w:t>
      </w:r>
    </w:p>
    <w:p>
      <w:pPr>
        <w:pStyle w:val="Compact"/>
        <w:numPr>
          <w:ilvl w:val="0"/>
          <w:numId w:val="1002"/>
        </w:numPr>
      </w:pPr>
      <w:r>
        <w:t xml:space="preserve">Duan Y, Kelley N, He Y. Role of the NLRP3 inflammasome in neurodegenerative diseases and therapeutic implications. Neural Regeneration Research. 2020. doi:10.4103/1673-5374.272576. https://pmc.ncbi.nlm.nih.gov/articles/PMC7047811/ https://pubmed.ncbi.nlm.nih.gov/31960806/</w:t>
      </w:r>
    </w:p>
    <w:p>
      <w:pPr>
        <w:pStyle w:val="Compact"/>
        <w:numPr>
          <w:ilvl w:val="0"/>
          <w:numId w:val="1002"/>
        </w:numPr>
      </w:pPr>
      <w:r>
        <w:t xml:space="preserve">Yamazaki H, Tanji K, Wakabayashi K, Matsuura S, Itoh K. Role of the Keap1/Nrf2 pathway in neurodegenerative diseases. Pathology international. 2015. doi:10.1111/pin.12261. https://pubmed.ncbi.nlm.nih.gov/25707882/</w:t>
      </w:r>
    </w:p>
    <w:p>
      <w:pPr>
        <w:pStyle w:val="Compact"/>
        <w:numPr>
          <w:ilvl w:val="0"/>
          <w:numId w:val="1002"/>
        </w:numPr>
      </w:pPr>
      <w:r>
        <w:t xml:space="preserve">Kovalenko M, Erdin S, Andrew M et al. Histone deacetylase knockouts modify transcription, CAG instability and nuclear pathology in Huntington disease mice. eLife. 2020. doi:10.7554/elife.55911. https://pmc.ncbi.nlm.nih.gov/articles/PMC7581428/ https://pubmed.ncbi.nlm.nih.gov/32990597/</w:t>
      </w:r>
    </w:p>
    <w:p>
      <w:pPr>
        <w:pStyle w:val="Compact"/>
        <w:numPr>
          <w:ilvl w:val="0"/>
          <w:numId w:val="1002"/>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2"/>
        </w:numPr>
      </w:pPr>
      <w:r>
        <w:t xml:space="preserve">Ritter J. Cardiac safety, drug‐induced QT prolongation and torsade de pointes (TdP). British Journal of Clinical Pharmacology. 2012. doi:10.1111/j.1365-2125.2012.04193.x. https://pmc.ncbi.nlm.nih.gov/articles/PMC3370337/ https://pubmed.ncbi.nlm.nih.gov/22329611/</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 https://pmc.ncbi.nlm.nih.gov/articles/PMC9529840/ https://pubmed.ncbi.nlm.nih.gov/36131149/</w:t>
      </w:r>
    </w:p>
    <w:p>
      <w:pPr>
        <w:pStyle w:val="Compact"/>
        <w:numPr>
          <w:ilvl w:val="0"/>
          <w:numId w:val="1002"/>
        </w:numPr>
      </w:pPr>
      <w:r>
        <w:t xml:space="preserve">Wu Z, Ramsundar B, Feinberg E et al. MoleculeNet: a benchmark for molecular machine learning. Chemical Science. 2018. doi:10.1039/c7sc02664a. https://pmc.ncbi.nlm.nih.gov/articles/PMC5868307/ https://pubmed.ncbi.nlm.nih.gov/29629118/</w:t>
      </w:r>
    </w:p>
    <w:p>
      <w:pPr>
        <w:pStyle w:val="Compact"/>
        <w:numPr>
          <w:ilvl w:val="0"/>
          <w:numId w:val="1002"/>
        </w:numPr>
      </w:pPr>
      <w:r>
        <w:t xml:space="preserve">Rogers D, Hahn M. Extended-Connectivity Fingerprints. Journal of Chemical Information and Modeling. 2010. doi:10.1021/ci100050t. https://pubmed.ncbi.nlm.nih.gov/20426451/</w:t>
      </w:r>
    </w:p>
    <w:p>
      <w:pPr>
        <w:pStyle w:val="Compact"/>
        <w:numPr>
          <w:ilvl w:val="0"/>
          <w:numId w:val="1002"/>
        </w:numPr>
      </w:pPr>
      <w:r>
        <w:t xml:space="preserve">Pedregosa F, Varoquaux G, Gramfort A et al. Scikit-learn: Machine Learning in Python. Journal of Machine Learning Research. 2011;12:2825-2830. https://www.jmlr.org/papers/v12/pedregosa11a.html</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 https://pmc.ncbi.nlm.nih.gov/articles/PMC7326367/ https://pubmed.ncbi.nlm.nih.gov/32607472/</w:t>
      </w:r>
    </w:p>
    <w:p>
      <w:pPr>
        <w:pStyle w:val="Compact"/>
        <w:numPr>
          <w:ilvl w:val="0"/>
          <w:numId w:val="1002"/>
        </w:numPr>
      </w:pPr>
      <w:r>
        <w:t xml:space="preserve">Bemis G, Murcko M. The Properties of Known Drugs. 1. Molecular Frameworks. Journal of Medicinal Chemistry. 1996. doi:10.1021/jm9602928. https://pubmed.ncbi.nlm.nih.gov/8709122/</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 https://pubmed.ncbi.nlm.nih.gov/24797111/</w:t>
      </w:r>
    </w:p>
    <w:p>
      <w:pPr>
        <w:pStyle w:val="Compact"/>
        <w:numPr>
          <w:ilvl w:val="0"/>
          <w:numId w:val="1002"/>
        </w:numPr>
      </w:pPr>
      <w:r>
        <w:t xml:space="preserve">Jaworska J, Nikolova-Jeliazkova N, Aldenberg T. QSAR Applicability Domain Estimation by Projection of the Training Set in Descriptor Space: A Review. Alternatives to Laboratory Animals. 2005. doi:10.1177/026119290503300508. https://pubmed.ncbi.nlm.nih.gov/16268757/</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 https://pmc.ncbi.nlm.nih.gov/articles/PMC3405771/ https://pubmed.ncbi.nlm.nih.gov/22716043/</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Kanehisa M, Goto S. KEGG: kyoto encyclopedia of genes and genomes. Nucleic acids research. 2000. doi:10.1093/nar/28.1.27. https://pmc.ncbi.nlm.nih.gov/articles/PMC102409/ https://pubmed.ncbi.nlm.nih.gov/10592173/</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 https://pmc.ncbi.nlm.nih.gov/articles/PMC10767911/ https://pubmed.ncbi.nlm.nih.gov/37941124/</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 https://pmc.ncbi.nlm.nih.gov/articles/PMC10767925/ https://pubmed.ncbi.nlm.nih.gov/37897341/</w:t>
      </w:r>
    </w:p>
    <w:p>
      <w:pPr>
        <w:pStyle w:val="Compact"/>
        <w:numPr>
          <w:ilvl w:val="0"/>
          <w:numId w:val="1002"/>
        </w:numPr>
      </w:pPr>
      <w:r>
        <w:t xml:space="preserve">Streamlit: an open-source app framework. https://streamlit.io</w:t>
      </w:r>
    </w:p>
    <w:p>
      <w:pPr>
        <w:pStyle w:val="Compact"/>
        <w:numPr>
          <w:ilvl w:val="0"/>
          <w:numId w:val="1002"/>
        </w:numPr>
      </w:pPr>
      <w:r>
        <w:t xml:space="preserve">RDKit: Open-source cheminformatics. https://www.rdkit.org</w:t>
      </w:r>
    </w:p>
    <w:p>
      <w:pPr>
        <w:pStyle w:val="Compact"/>
        <w:numPr>
          <w:ilvl w:val="0"/>
          <w:numId w:val="1002"/>
        </w:numPr>
      </w:pPr>
      <w:r>
        <w:t xml:space="preserve">Daina A, Michielin O, Zoete V. SwissADME: a free web tool to evaluate pharmacokinetics, drug-likeness and medicinal chemistry friendliness of small molecules. Scientific Reports. 2017. doi:10.1038/srep42717.</w:t>
      </w:r>
    </w:p>
    <w:p>
      <w:pPr>
        <w:pStyle w:val="Compact"/>
        <w:numPr>
          <w:ilvl w:val="0"/>
          <w:numId w:val="1002"/>
        </w:numPr>
      </w:pPr>
      <w:r>
        <w:t xml:space="preserve">Xiong G, Wu Z, Yi J et al. ADMETlab 2.0: an integrated online platform for accurate and comprehensive predictions of ADMET properties. Nucleic Acids Research. 2021. doi:10.1093/nar/gkab255.</w:t>
      </w:r>
    </w:p>
    <w:p>
      <w:pPr>
        <w:pStyle w:val="Compact"/>
        <w:numPr>
          <w:ilvl w:val="0"/>
          <w:numId w:val="1002"/>
        </w:numPr>
      </w:pPr>
      <w:r>
        <w:t xml:space="preserve">Pires DEV, Blundell TL, Ascher DB. pkCSM: Predicting Small-Molecule Pharmacokinetic and Toxicity Properties Using Graph-Based Signatures. Journal of Medicinal Chemistry. 2015. doi:10.1021/acs.jmedchem.5b00104.</w:t>
      </w:r>
    </w:p>
    <w:p>
      <w:pPr>
        <w:pStyle w:val="Compact"/>
        <w:numPr>
          <w:ilvl w:val="0"/>
          <w:numId w:val="1002"/>
        </w:numPr>
      </w:pPr>
      <w:r>
        <w:t xml:space="preserve">Yang H, Lou C, Sun L et al. admetSAR 2.0: web-service for prediction and optimization of chemical ADMET properties. Bioinformatics. 2019. doi:10.1093/bioinformatics/bty707.</w:t>
      </w:r>
    </w:p>
    <w:p>
      <w:pPr>
        <w:pStyle w:val="Compact"/>
        <w:numPr>
          <w:ilvl w:val="0"/>
          <w:numId w:val="1002"/>
        </w:numPr>
      </w:pPr>
      <w:r>
        <w:t xml:space="preserve">Daina A, Michielin O, Zoete V. SwissTargetPrediction: updated data and new features for efficient prediction of protein targets of small molecules. Nucleic Acids Research. 2019. doi:10.1093/nar/gkz382.</w:t>
      </w:r>
    </w:p>
    <w:p>
      <w:pPr>
        <w:pStyle w:val="Compact"/>
        <w:numPr>
          <w:ilvl w:val="0"/>
          <w:numId w:val="1002"/>
        </w:numPr>
      </w:pPr>
      <w:r>
        <w:t xml:space="preserve">Wilson E. Probable Inference, the Law of Succession, and Statistical Inference. Journal of the American Statistical Association. 1927. doi:10.1080/01621459.1927.10502953.</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2026-09-16T00:36:47Z</dcterms:created>
  <dcterms:modified xsi:type="dcterms:W3CDTF">2026-09-16T00:36:47Z</dcterms:modified>
</cp:coreProperties>
</file>

<file path=docProps/custom.xml><?xml version="1.0" encoding="utf-8"?>
<Properties xmlns="http://schemas.openxmlformats.org/officeDocument/2006/custom-properties" xmlns:vt="http://schemas.openxmlformats.org/officeDocument/2006/docPropsVTypes"/>
</file>