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ata-manifest"/>
    <w:p>
      <w:pPr>
        <w:pStyle w:val="Heading1"/>
      </w:pPr>
      <w:r>
        <w:t xml:space="preserve">Data manifest</w:t>
      </w:r>
    </w:p>
    <w:p>
      <w:pPr>
        <w:pStyle w:val="FirstParagraph"/>
      </w:pPr>
      <w:r>
        <w:t xml:space="preserve">Every data file behind the deployed panel, what it contains, and how it was made. All values are</w:t>
      </w:r>
      <w:r>
        <w:t xml:space="preserve"> </w:t>
      </w:r>
      <w:r>
        <w:t xml:space="preserve">measured (ChEMBL 37, BindingDB, B3DB, Therapeutics Data Commons, MoleculeNet, NPASS 3.0); nothing is</w:t>
      </w:r>
      <w:r>
        <w:t xml:space="preserve"> </w:t>
      </w:r>
      <w:r>
        <w:t xml:space="preserve">imputed. Regenerate any file by running the script named beside it. Counts below are read live by</w:t>
      </w:r>
      <w:r>
        <w:t xml:space="preserve"> </w:t>
      </w:r>
      <w:r>
        <w:rPr>
          <w:rStyle w:val="VerbatimChar"/>
        </w:rPr>
        <w:t xml:space="preserve">tools/build_data_manifest.py</w:t>
      </w:r>
      <w:r>
        <w:t xml:space="preserve"> </w:t>
      </w:r>
      <w:r>
        <w:t xml:space="preserve">and reflect the repository as of 2026-09-17.</w:t>
      </w:r>
    </w:p>
    <w:p>
      <w:pPr>
        <w:pStyle w:val="BodyText"/>
      </w:pPr>
      <w:r>
        <w:t xml:space="preserve">This replaces an earlier version of this document built around</w:t>
      </w:r>
      <w:r>
        <w:t xml:space="preserve"> </w:t>
      </w:r>
      <w:r>
        <w:rPr>
          <w:rStyle w:val="VerbatimChar"/>
        </w:rPr>
        <w:t xml:space="preserve">data/processed/compound_library.csv</w:t>
      </w:r>
      <w:r>
        <w:t xml:space="preserve">,</w:t>
      </w:r>
      <w:r>
        <w:t xml:space="preserve"> </w:t>
      </w:r>
      <w:r>
        <w:t xml:space="preserve">a 61,317-compound, thirteen-endpoint snapshot from before the panel grew to its current scope. That</w:t>
      </w:r>
      <w:r>
        <w:t xml:space="preserve"> </w:t>
      </w:r>
      <w:r>
        <w:t xml:space="preserve">file and the scripts that built it (</w:t>
      </w:r>
      <w:r>
        <w:rPr>
          <w:rStyle w:val="VerbatimChar"/>
        </w:rPr>
        <w:t xml:space="preserve">src/brainsafe/data/build_compound_library.py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src/brainsafe/viz/make_figures.py</w:t>
      </w:r>
      <w:r>
        <w:t xml:space="preserve">) still exist on disk but are no longer part of the deployed</w:t>
      </w:r>
      <w:r>
        <w:t xml:space="preserve"> </w:t>
      </w:r>
      <w:r>
        <w:t xml:space="preserve">pipeline; nothing below points to them.</w:t>
      </w:r>
    </w:p>
    <w:bookmarkStart w:id="18" w:name="the-training-data"/>
    <w:p>
      <w:pPr>
        <w:pStyle w:val="Heading2"/>
      </w:pPr>
      <w:r>
        <w:t xml:space="preserve">The training data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data/endpoints/&lt;TARGET&gt;.csv</w:t>
      </w:r>
      <w:r>
        <w:t xml:space="preserve"> </w:t>
      </w:r>
      <w:r>
        <w:t xml:space="preserve">(63 files) - one file per target: the core</w:t>
      </w:r>
      <w:r>
        <w:t xml:space="preserve"> </w:t>
      </w:r>
      <w:r>
        <w:t xml:space="preserve">target-potency and activity endpoints, the binder panel (including withdrawn endpoints, kept</w:t>
      </w:r>
      <w:r>
        <w:t xml:space="preserve"> </w:t>
      </w:r>
      <w:r>
        <w:t xml:space="preserve">rather than deleted), and blood-brain-barrier labels. Columns:</w:t>
      </w:r>
      <w:r>
        <w:t xml:space="preserve"> </w:t>
      </w:r>
      <w:r>
        <w:rPr>
          <w:rStyle w:val="VerbatimChar"/>
        </w:rPr>
        <w:t xml:space="preserve">smiles, label, pchembl, year, source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records ChEMBL, BindingDB, or</w:t>
      </w:r>
      <w:r>
        <w:t xml:space="preserve"> </w:t>
      </w:r>
      <w:r>
        <w:rPr>
          <w:rStyle w:val="VerbatimChar"/>
        </w:rPr>
        <w:t xml:space="preserve">ChEMBL_inactive</w:t>
      </w:r>
      <w:r>
        <w:t xml:space="preserve"> </w:t>
      </w:r>
      <w:r>
        <w:t xml:space="preserve">for a censored bound</w:t>
      </w:r>
      <w:r>
        <w:t xml:space="preserve"> </w:t>
      </w:r>
      <w:r>
        <w:t xml:space="preserve">recovered as a measured non-binder. These are exactly what each model is trained and tested 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data/adme/&lt;ENDPOINT&gt;.csv</w:t>
      </w:r>
      <w:r>
        <w:t xml:space="preserve"> </w:t>
      </w:r>
      <w:r>
        <w:t xml:space="preserve">(9 files) - the nine ADME and exposure endpoints</w:t>
      </w:r>
      <w:r>
        <w:t xml:space="preserve"> </w:t>
      </w:r>
      <w:r>
        <w:t xml:space="preserve">beyond BBB (Caco-2 permeability, hepatocyte clearance, unbound brain-to-plasma ratio,</w:t>
      </w:r>
      <w:r>
        <w:t xml:space="preserve"> </w:t>
      </w:r>
      <w:r>
        <w:t xml:space="preserve">lipophilicity, logBB, P-glycoprotein inhibition and substrate status, plasma-protein binding,</w:t>
      </w:r>
      <w:r>
        <w:t xml:space="preserve"> </w:t>
      </w:r>
      <w:r>
        <w:t xml:space="preserve">aqueous solubility).</w:t>
      </w:r>
    </w:p>
    <w:p>
      <w:pPr>
        <w:pStyle w:val="Compact"/>
        <w:numPr>
          <w:ilvl w:val="0"/>
          <w:numId w:val="1001"/>
        </w:numPr>
      </w:pPr>
      <w:r>
        <w:t xml:space="preserve">Together, the</w:t>
      </w:r>
      <w:r>
        <w:t xml:space="preserve"> </w:t>
      </w:r>
      <w:r>
        <w:rPr>
          <w:b/>
          <w:bCs/>
        </w:rPr>
        <w:t xml:space="preserve">55 tables behind currently deployed models</w:t>
      </w:r>
      <w:r>
        <w:t xml:space="preserve"> </w:t>
      </w:r>
      <w:r>
        <w:t xml:space="preserve">hold</w:t>
      </w:r>
      <w:r>
        <w:t xml:space="preserve"> </w:t>
      </w:r>
      <w:r>
        <w:rPr>
          <w:b/>
          <w:bCs/>
        </w:rPr>
        <w:t xml:space="preserve">228,200 measured compound-endpoint records</w:t>
      </w:r>
      <w:r>
        <w:t xml:space="preserve">, a median of</w:t>
      </w:r>
      <w:r>
        <w:t xml:space="preserve"> </w:t>
      </w:r>
      <w:r>
        <w:t xml:space="preserve">3,789 rows per table (range 387 to 10,276).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Unique compounds.</w:t>
      </w:r>
      <w:r>
        <w:t xml:space="preserve"> </w:t>
      </w:r>
      <w:r>
        <w:t xml:space="preserve">170,619</w:t>
      </w:r>
      <w:r>
        <w:t xml:space="preserve"> </w:t>
      </w:r>
      <w:r>
        <w:t xml:space="preserve">distinct SMILES strings appear across the endpoint tables, of which</w:t>
      </w:r>
      <w:r>
        <w:t xml:space="preserve"> </w:t>
      </w:r>
      <w:r>
        <w:t xml:space="preserve">2 could not be parsed. The remaining</w:t>
      </w:r>
      <w:r>
        <w:t xml:space="preserve"> </w:t>
      </w:r>
      <w:r>
        <w:t xml:space="preserve">strings collapse to</w:t>
      </w:r>
      <w:r>
        <w:t xml:space="preserve"> </w:t>
      </w:r>
      <w:r>
        <w:rPr>
          <w:b/>
          <w:bCs/>
        </w:rPr>
        <w:t xml:space="preserve">169,341</w:t>
      </w:r>
      <w:r>
        <w:rPr>
          <w:b/>
          <w:bCs/>
        </w:rPr>
        <w:t xml:space="preserve"> </w:t>
      </w:r>
      <w:r>
        <w:rPr>
          <w:b/>
          <w:bCs/>
        </w:rPr>
        <w:t xml:space="preserve">distinct InChIKeys</w:t>
      </w:r>
      <w:r>
        <w:t xml:space="preserve"> </w:t>
      </w:r>
      <w:r>
        <w:t xml:space="preserve">of the desalted, neutralised parent</w:t>
      </w:r>
      <w:r>
        <w:t xml:space="preserve"> </w:t>
      </w:r>
      <w:r>
        <w:t xml:space="preserve">(1,276 SMILES strings were salts,</w:t>
      </w:r>
      <w:r>
        <w:t xml:space="preserve"> </w:t>
      </w:r>
      <w:r>
        <w:t xml:space="preserve">tautomers or charge states of a compound already counted) — this is the compound count the</w:t>
      </w:r>
      <w:r>
        <w:t xml:space="preserve"> </w:t>
      </w:r>
      <w:r>
        <w:t xml:space="preserve">manuscript’s training-data paragraph states.</w:t>
      </w:r>
      <w:r>
        <w:t xml:space="preserve"> </w:t>
      </w:r>
      <w:r>
        <w:t xml:space="preserve">Computed by</w:t>
      </w:r>
      <w:r>
        <w:t xml:space="preserve"> </w:t>
      </w:r>
      <w:r>
        <w:rPr>
          <w:rStyle w:val="VerbatimChar"/>
        </w:rPr>
        <w:t xml:space="preserve">src/brainsafe/evaluation/unique_compound_count.py</w:t>
      </w:r>
      <w:r>
        <w:t xml:space="preserve">;</w:t>
      </w:r>
      <w:r>
        <w:t xml:space="preserve"> </w:t>
      </w:r>
      <w:r>
        <w:t xml:space="preserve">full breakdown in</w:t>
      </w:r>
      <w:r>
        <w:t xml:space="preserve"> </w:t>
      </w:r>
      <w:r>
        <w:rPr>
          <w:rStyle w:val="VerbatimChar"/>
        </w:rPr>
        <w:t xml:space="preserve">results/tables/unique_compound_count.csv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Provenance per endpoint</w:t>
      </w:r>
      <w:r>
        <w:t xml:space="preserve"> </w:t>
      </w:r>
      <w:r>
        <w:t xml:space="preserve">(how many compounds from each source, actives/inactives):</w:t>
      </w:r>
      <w:r>
        <w:t xml:space="preserve"> </w:t>
      </w:r>
      <w:r>
        <w:rPr>
          <w:rStyle w:val="VerbatimChar"/>
        </w:rPr>
        <w:t xml:space="preserve">results/tables/endpoint_rebuild_provenance.csv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Recovery of the negative class from censored bounds</w:t>
      </w:r>
      <w:r>
        <w:t xml:space="preserve">, and its effect on class balance per</w:t>
      </w:r>
      <w:r>
        <w:t xml:space="preserve"> </w:t>
      </w:r>
      <w:r>
        <w:t xml:space="preserve">endpoint:</w:t>
      </w:r>
      <w:r>
        <w:t xml:space="preserve"> </w:t>
      </w:r>
      <w:r>
        <w:rPr>
          <w:rStyle w:val="VerbatimChar"/>
        </w:rPr>
        <w:t xml:space="preserve">results/tables/expansion_inactives.csv</w:t>
      </w:r>
      <w:r>
        <w:t xml:space="preserve">, built by</w:t>
      </w:r>
      <w:r>
        <w:t xml:space="preserve"> </w:t>
      </w:r>
      <w:r>
        <w:rPr>
          <w:rStyle w:val="VerbatimChar"/>
        </w:rPr>
        <w:t xml:space="preserve">src/brainsafe/data/recover_expansion_inactives.py</w:t>
      </w:r>
      <w:r>
        <w:t xml:space="preserve">.</w:t>
      </w:r>
    </w:p>
    <w:bookmarkEnd w:id="18"/>
    <w:bookmarkStart w:id="19" w:name="cross-validation---all-data-saved"/>
    <w:p>
      <w:pPr>
        <w:pStyle w:val="Heading2"/>
      </w:pPr>
      <w:r>
        <w:t xml:space="preserve">Cross-validation - all data saved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results/tables/rf_cv_folds.csv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rf_cv_summary.csv</w:t>
      </w:r>
      <w:r>
        <w:t xml:space="preserve"> </w:t>
      </w:r>
      <w:r>
        <w:t xml:space="preserve">- per-fold and summary metrics for</w:t>
      </w:r>
      <w:r>
        <w:t xml:space="preserve"> </w:t>
      </w:r>
      <w:r>
        <w:t xml:space="preserve">the core target-potency, activity and exposure endpoints, ten folds under both a random split and</w:t>
      </w:r>
      <w:r>
        <w:t xml:space="preserve"> </w:t>
      </w:r>
      <w:r>
        <w:t xml:space="preserve">a scaffold-grouped split (Bemis-Murcko).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results/tables/binder_cv_folds.csv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binder_cv_summary.csv</w:t>
      </w:r>
      <w:r>
        <w:t xml:space="preserve"> </w:t>
      </w:r>
      <w:r>
        <w:t xml:space="preserve">- the same for the</w:t>
      </w:r>
      <w:r>
        <w:t xml:space="preserve"> </w:t>
      </w:r>
      <w:r>
        <w:t xml:space="preserve">binder panel, scaffold-grouped only, against measured inactives.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results/tables/model_comparison.csv</w:t>
      </w:r>
      <w:r>
        <w:t xml:space="preserve"> </w:t>
      </w:r>
      <w:r>
        <w:t xml:space="preserve">- the like-for-like comparison against XGBoost,</w:t>
      </w:r>
      <w:r>
        <w:t xml:space="preserve"> </w:t>
      </w:r>
      <w:r>
        <w:t xml:space="preserve">histogram gradient boosting, logistic regression and nearest-neighbour read-across.</w:t>
      </w:r>
    </w:p>
    <w:bookmarkEnd w:id="19"/>
    <w:bookmarkStart w:id="20" w:name="Xd130bd6c561287773bad5468c49167ff0c8acd9"/>
    <w:p>
      <w:pPr>
        <w:pStyle w:val="Heading2"/>
      </w:pPr>
      <w:r>
        <w:t xml:space="preserve">Background specificity and applicability domain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models_rf/ad_reference.pkl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src/brainsafe/models/pools.py</w:t>
      </w:r>
      <w:r>
        <w:t xml:space="preserve"> </w:t>
      </w:r>
      <w:r>
        <w:t xml:space="preserve">- the background library,</w:t>
      </w:r>
      <w:r>
        <w:t xml:space="preserve"> </w:t>
      </w:r>
      <w:r>
        <w:t xml:space="preserve">partitioned into three disjoint pools by a stable hash of the canonical structure (one supplies</w:t>
      </w:r>
      <w:r>
        <w:t xml:space="preserve"> </w:t>
      </w:r>
      <w:r>
        <w:t xml:space="preserve">decoys, one sets thresholds, one measures the false-positive rate), so a compound’s pool is a</w:t>
      </w:r>
      <w:r>
        <w:t xml:space="preserve"> </w:t>
      </w:r>
      <w:r>
        <w:t xml:space="preserve">property of the molecule rather than of run order.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results/tables/background_specificity_disjoint.csv</w:t>
      </w:r>
      <w:r>
        <w:t xml:space="preserve"> </w:t>
      </w:r>
      <w:r>
        <w:t xml:space="preserve">- the background false-positive rate at</w:t>
      </w:r>
      <w:r>
        <w:t xml:space="preserve"> </w:t>
      </w:r>
      <w:r>
        <w:t xml:space="preserve">the currently deployed threshold, measured on the evaluation pool, for every deployed binder</w:t>
      </w:r>
      <w:r>
        <w:t xml:space="preserve"> </w:t>
      </w:r>
      <w:r>
        <w:t xml:space="preserve">endpoint. Built by</w:t>
      </w:r>
      <w:r>
        <w:t xml:space="preserve"> </w:t>
      </w:r>
      <w:r>
        <w:rPr>
          <w:rStyle w:val="VerbatimChar"/>
        </w:rPr>
        <w:t xml:space="preserve">src/brainsafe/evaluation/background_specificity_disjoint.py</w:t>
      </w:r>
      <w:r>
        <w:t xml:space="preserve">; this is the</w:t>
      </w:r>
      <w:r>
        <w:t xml:space="preserve"> </w:t>
      </w:r>
      <w:r>
        <w:t xml:space="preserve">figure the manuscript’s Methods section quotes.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results/tables/inversion_validation.csv</w:t>
      </w:r>
      <w:r>
        <w:t xml:space="preserve"> </w:t>
      </w:r>
      <w:r>
        <w:t xml:space="preserve">- the applicability-domain adversarial check.</w:t>
      </w:r>
    </w:p>
    <w:bookmarkEnd w:id="20"/>
    <w:bookmarkStart w:id="21" w:name="X9fb6481f2f94c4be1b3f2c5cb7488c51f38570e"/>
    <w:p>
      <w:pPr>
        <w:pStyle w:val="Heading2"/>
      </w:pPr>
      <w:r>
        <w:t xml:space="preserve">External and prospective validation (held out of training)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results/tables/external_bbb_validation.csv</w:t>
      </w:r>
      <w:r>
        <w:t xml:space="preserve"> </w:t>
      </w:r>
      <w:r>
        <w:t xml:space="preserve">- the barrier model against FDA-curated approved</w:t>
      </w:r>
      <w:r>
        <w:t xml:space="preserve"> </w:t>
      </w:r>
      <w:r>
        <w:t xml:space="preserve">drugs absent from B3DB by InChIKey.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results/tables/external_prospective.csv</w:t>
      </w:r>
      <w:r>
        <w:t xml:space="preserve"> </w:t>
      </w:r>
      <w:r>
        <w:t xml:space="preserve">- every qualifying endpoint refitted on its</w:t>
      </w:r>
      <w:r>
        <w:t xml:space="preserve"> </w:t>
      </w:r>
      <w:r>
        <w:t xml:space="preserve">pre-cutoff rows, decision threshold frozen before the cutoff, tested on compounds first published</w:t>
      </w:r>
      <w:r>
        <w:t xml:space="preserve"> </w:t>
      </w:r>
      <w:r>
        <w:t xml:space="preserve">afterwards.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results/tables/external_novelty_strata.csv</w:t>
      </w:r>
      <w:r>
        <w:t xml:space="preserve"> </w:t>
      </w:r>
      <w:r>
        <w:t xml:space="preserve">- recall against maximum Tanimoto similarity to</w:t>
      </w:r>
      <w:r>
        <w:t xml:space="preserve"> </w:t>
      </w:r>
      <w:r>
        <w:t xml:space="preserve">the training actives, across three independently built test sets (by date, at random, by curator).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results/tables/external_natural_products_summary.csv</w:t>
      </w:r>
      <w:r>
        <w:t xml:space="preserve"> </w:t>
      </w:r>
      <w:r>
        <w:t xml:space="preserve">- the three targets tested for</w:t>
      </w:r>
      <w:r>
        <w:t xml:space="preserve"> </w:t>
      </w:r>
      <w:r>
        <w:t xml:space="preserve">natural-product coverage, and the endpoints where genuinely external NPASS data existed to score.</w:t>
      </w:r>
    </w:p>
    <w:bookmarkEnd w:id="21"/>
    <w:bookmarkStart w:id="22" w:name="models"/>
    <w:p>
      <w:pPr>
        <w:pStyle w:val="Heading2"/>
      </w:pPr>
      <w:r>
        <w:t xml:space="preserve">Models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models_rf/&lt;TARGET&gt;.joblib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&lt;TARGET&gt;_binder.joblib</w:t>
      </w:r>
      <w:r>
        <w:t xml:space="preserve"> </w:t>
      </w:r>
      <w:r>
        <w:t xml:space="preserve">(74 files) - the deployed</w:t>
      </w:r>
      <w:r>
        <w:t xml:space="preserve"> </w:t>
      </w:r>
      <w:r>
        <w:t xml:space="preserve">estimators, refit on all available data after cross-validation.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models_rf/&lt;TARGET&gt;_meta.json</w:t>
      </w:r>
      <w:r>
        <w:t xml:space="preserve"> </w:t>
      </w:r>
      <w:r>
        <w:t xml:space="preserve">(51 files) - training size, positives, features,</w:t>
      </w:r>
      <w:r>
        <w:t xml:space="preserve"> </w:t>
      </w:r>
      <w:r>
        <w:t xml:space="preserve">hyperparameters, calibration method.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models_rf/binder_modes.json</w:t>
      </w:r>
      <w:r>
        <w:t xml:space="preserve"> </w:t>
      </w:r>
      <w:r>
        <w:t xml:space="preserve">- the binder panel registry: threshold, AUROC and sensitivity</w:t>
      </w:r>
      <w:r>
        <w:t xml:space="preserve"> </w:t>
      </w:r>
      <w:r>
        <w:t xml:space="preserve">against measured inactives, deployment status, and the recorded reason for every withdrawal.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results/tables/MODEL_INVENTORY.csv</w:t>
      </w:r>
      <w:r>
        <w:t xml:space="preserve"> </w:t>
      </w:r>
      <w:r>
        <w:t xml:space="preserve">- one row per trained estimator, family, task, training</w:t>
      </w:r>
      <w:r>
        <w:t xml:space="preserve"> </w:t>
      </w:r>
      <w:r>
        <w:t xml:space="preserve">size, validation scheme, calibration, deployment status.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models_manifest.json</w:t>
      </w:r>
      <w:r>
        <w:t xml:space="preserve"> </w:t>
      </w:r>
      <w:r>
        <w:t xml:space="preserve">- SHA-256 checksum of every shipped model file, so a download is</w:t>
      </w:r>
      <w:r>
        <w:t xml:space="preserve"> </w:t>
      </w:r>
      <w:r>
        <w:t xml:space="preserve">verified rather than trusted.</w:t>
      </w:r>
    </w:p>
    <w:bookmarkEnd w:id="22"/>
    <w:bookmarkStart w:id="23" w:name="figures"/>
    <w:p>
      <w:pPr>
        <w:pStyle w:val="Heading2"/>
      </w:pPr>
      <w:r>
        <w:t xml:space="preserve">Figures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manuscript/figures/*.png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) - built by the scripts in</w:t>
      </w:r>
      <w:r>
        <w:t xml:space="preserve"> </w:t>
      </w:r>
      <w:r>
        <w:rPr>
          <w:rStyle w:val="VerbatimChar"/>
        </w:rPr>
        <w:t xml:space="preserve">src/brainsafe/figures/</w:t>
      </w:r>
      <w:r>
        <w:t xml:space="preserve"> </w:t>
      </w:r>
      <w:r>
        <w:t xml:space="preserve">(12 scripts:</w:t>
      </w:r>
      <w:r>
        <w:t xml:space="preserve"> </w:t>
      </w:r>
      <w:r>
        <w:t xml:space="preserve">fig01_architecture, fig02_feature_vector, fig03_cv_design, fig04_pools_and_thresholds, fig05_negative_class, fig06_validation, fig07_binder_panel, fig08_use_case, fig09_model_atlas, fig10_endpoint_selection, fig11_external_validation, fig_graphical_abstract), each reading the results tables named in</w:t>
      </w:r>
      <w:r>
        <w:t xml:space="preserve"> </w:t>
      </w:r>
      <w:r>
        <w:t xml:space="preserve">its own docstring rather than a value typed into the script.</w:t>
      </w:r>
      <w:r>
        <w:t xml:space="preserve"> </w:t>
      </w:r>
      <w:r>
        <w:rPr>
          <w:rStyle w:val="VerbatimChar"/>
        </w:rPr>
        <w:t xml:space="preserve">style.py</w:t>
      </w:r>
      <w:r>
        <w:t xml:space="preserve"> </w:t>
      </w:r>
      <w:r>
        <w:t xml:space="preserve">in the same directory is</w:t>
      </w:r>
      <w:r>
        <w:t xml:space="preserve"> </w:t>
      </w:r>
      <w:r>
        <w:t xml:space="preserve">the single shared colour palette, font and layout convention every figure uses.</w:t>
      </w:r>
    </w:p>
    <w:bookmarkEnd w:id="23"/>
    <w:bookmarkStart w:id="24" w:name="falsification-suite"/>
    <w:p>
      <w:pPr>
        <w:pStyle w:val="Heading2"/>
      </w:pPr>
      <w:r>
        <w:t xml:space="preserve">Falsification suite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inversion/results/*.csv</w:t>
      </w:r>
      <w:r>
        <w:t xml:space="preserve"> </w:t>
      </w:r>
      <w:r>
        <w:t xml:space="preserve">- the per-hypothesis evidence for the ten-hypothesis falsification</w:t>
      </w:r>
      <w:r>
        <w:t xml:space="preserve"> </w:t>
      </w:r>
      <w:r>
        <w:t xml:space="preserve">suite (H1-H10).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inversion/results/VERDICTS.csv</w:t>
      </w:r>
      <w:r>
        <w:t xml:space="preserve"> </w:t>
      </w:r>
      <w:r>
        <w:t xml:space="preserve">- one verdict per hypothesis, computed from the CSVs above by</w:t>
      </w:r>
      <w:r>
        <w:t xml:space="preserve"> </w:t>
      </w:r>
      <w:r>
        <w:rPr>
          <w:rStyle w:val="VerbatimChar"/>
        </w:rPr>
        <w:t xml:space="preserve">inversion/summarise.py</w:t>
      </w:r>
      <w:r>
        <w:t xml:space="preserve"> </w:t>
      </w:r>
      <w:r>
        <w:t xml:space="preserve">rather than asserted.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inversion/REPORT.md</w:t>
      </w:r>
      <w:r>
        <w:t xml:space="preserve"> </w:t>
      </w:r>
      <w:r>
        <w:t xml:space="preserve">- the falsification narrative.</w:t>
      </w:r>
    </w:p>
    <w:bookmarkEnd w:id="24"/>
    <w:bookmarkStart w:id="25" w:name="provenance-and-decisions"/>
    <w:p>
      <w:pPr>
        <w:pStyle w:val="Heading2"/>
      </w:pPr>
      <w:r>
        <w:t xml:space="preserve">Provenance and decisions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data/raw/measured_endpoints_SOURCE.md</w:t>
      </w:r>
      <w:r>
        <w:t xml:space="preserve"> </w:t>
      </w:r>
      <w:r>
        <w:t xml:space="preserve">- every source, URL, filter, licence.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docs/decisions_log.md</w:t>
      </w:r>
      <w:r>
        <w:t xml:space="preserve"> </w:t>
      </w:r>
      <w:r>
        <w:t xml:space="preserve">- dated methodological decisions and the evidence behind each.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docs/ENDPOINT_JUSTIFICATION.md</w:t>
      </w:r>
      <w:r>
        <w:t xml:space="preserve"> </w:t>
      </w:r>
      <w:r>
        <w:t xml:space="preserve">- why these targets, and exactly how each endpoint’s training</w:t>
      </w:r>
      <w:r>
        <w:t xml:space="preserve"> </w:t>
      </w:r>
      <w:r>
        <w:t xml:space="preserve">and test values are obtained.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docs/TECHNICAL_REPORT.md</w:t>
      </w:r>
      <w:r>
        <w:t xml:space="preserve"> </w:t>
      </w:r>
      <w:r>
        <w:t xml:space="preserve">- the full methods and results narrative, of which this manifest</w:t>
      </w:r>
      <w:r>
        <w:t xml:space="preserve"> </w:t>
      </w:r>
      <w:r>
        <w:t xml:space="preserve">and the endpoint justification are companion reference documents.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tools/build_data_manifest.py</w:t>
      </w:r>
      <w:r>
        <w:rPr>
          <w:i/>
          <w:iCs/>
        </w:rPr>
        <w:t xml:space="preserve">. 88 tables currently sit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results/tables/</w:t>
      </w:r>
      <w:r>
        <w:rPr>
          <w:i/>
          <w:iCs/>
        </w:rPr>
        <w:t xml:space="preserve">; not all are named individually above, and the full list is browsable directly in</w:t>
      </w:r>
      <w:r>
        <w:rPr>
          <w:i/>
          <w:iCs/>
        </w:rPr>
        <w:t xml:space="preserve"> </w:t>
      </w:r>
      <w:r>
        <w:rPr>
          <w:i/>
          <w:iCs/>
        </w:rPr>
        <w:t xml:space="preserve">that directory or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submission_package/08_VALIDATION_RESULTS/</w:t>
      </w:r>
      <w:r>
        <w:rPr>
          <w:i/>
          <w:iCs/>
        </w:rPr>
        <w:t xml:space="preserve"> </w:t>
      </w:r>
      <w:r>
        <w:rPr>
          <w:i/>
          <w:iCs/>
        </w:rPr>
        <w:t xml:space="preserve">for a reviewer working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assembled package.</w:t>
      </w:r>
    </w:p>
    <w:bookmarkEnd w:id="25"/>
    <w:bookmarkEnd w:id="26"/>
    <w:sectPr>
      <w:footerReference r:id="rId9" w:type="default"/>
      <w:footnotePr>
        <w:numRestart w:val="eachSect"/>
      </w:footnotePr>
      <w:pgSz w:h="16838" w:w="11906"/>
      <w:pgMar w:bottom="1440" w:left="1440" w:right="1440" w:top="1440"/>
      <w:lnNumType w:countBy="1" w:distance="360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uppressLineNumbers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276" w:lineRule="auto"/>
      <w:contextualSpacing/>
      <w:jc w:val="left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 w:before="0" w:line="240" w:lineRule="auto"/>
      <w:jc w:val="left"/>
    </w:pPr>
    <w:rPr>
      <w:rFonts w:ascii="Times New Roman" w:cs="Times New Roman" w:cstheme="majorBidi" w:eastAsiaTheme="majorEastAsia" w:hAnsi="Times New Roman"/>
      <w:i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80" w:before="0" w:line="240" w:lineRule="auto"/>
      <w:jc w:val="left"/>
    </w:pPr>
    <w:rPr>
      <w:rFonts w:ascii="Times New Roman" w:cs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200" w:before="0" w:line="240" w:lineRule="auto"/>
      <w:jc w:val="left"/>
    </w:pPr>
    <w:rPr>
      <w:rFonts w:ascii="Times New Roman" w:cs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80" w:before="120" w:line="240" w:lineRule="auto"/>
      <w:jc w:val="left"/>
    </w:pPr>
    <w:rPr>
      <w:rFonts w:ascii="Times New Roman" w:cs="Times New Roman" w:hAnsi="Times New Roman"/>
      <w:b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200" w:before="0" w:line="240" w:lineRule="auto"/>
      <w:jc w:val="left"/>
    </w:pPr>
    <w:rPr>
      <w:rFonts w:ascii="Times New Roman" w:cs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240" w:lineRule="auto"/>
      <w:ind w:hanging="357"/>
      <w:jc w:val="left"/>
    </w:pPr>
    <w:rPr>
      <w:rFonts w:ascii="Times New Roman" w:cs="Times New Roman" w:hAnsi="Times New Roman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 w:line="240" w:lineRule="auto"/>
      <w:jc w:val="left"/>
      <w:outlineLvl w:val="0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 w:line="240" w:lineRule="auto"/>
      <w:jc w:val="left"/>
      <w:outlineLvl w:val="1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40" w:lineRule="auto"/>
      <w:jc w:val="left"/>
      <w:outlineLvl w:val="2"/>
    </w:pPr>
    <w:rPr>
      <w:rFonts w:ascii="Times New Roman" w:cs="Times New Roman" w:cstheme="majorBidi" w:eastAsiaTheme="majorEastAsia" w:hAnsi="Times New Roman"/>
      <w:b/>
      <w:i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3"/>
    </w:pPr>
    <w:rPr>
      <w:rFonts w:ascii="Times New Roman" w:cs="Times New Roman" w:cstheme="majorBidi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4"/>
    </w:pPr>
    <w:rPr>
      <w:rFonts w:ascii="Times New Roman" w:cs="Times New Roman" w:cstheme="majorBidi" w:eastAsiaTheme="majorEastAsia" w:hAnsi="Times New Roman"/>
      <w:b/>
      <w:i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5"/>
    </w:pPr>
    <w:rPr>
      <w:rFonts w:ascii="Times New Roman" w:cs="Times New Roman" w:cstheme="majorBidi" w:eastAsiaTheme="majorEastAsia" w:hAnsi="Times New Roman"/>
      <w:b/>
      <w:i/>
      <w:iCs/>
      <w:color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6"/>
    </w:pPr>
    <w:rPr>
      <w:rFonts w:ascii="Times New Roman" w:cs="Times New Roman" w:cstheme="majorBidi" w:eastAsiaTheme="majorEastAsia" w:hAnsi="Times New Roman"/>
      <w:b/>
      <w:i/>
      <w:color w:val="000000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7"/>
    </w:pPr>
    <w:rPr>
      <w:rFonts w:ascii="Times New Roman" w:cs="Times New Roman" w:cstheme="majorBidi" w:eastAsiaTheme="majorEastAsia" w:hAnsi="Times New Roman"/>
      <w:b/>
      <w:i/>
      <w:iCs/>
      <w:color w:val="000000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8"/>
    </w:pPr>
    <w:rPr>
      <w:rFonts w:ascii="Times New Roman" w:cs="Times New Roman" w:cstheme="majorBidi" w:eastAsiaTheme="majorEastAsia" w:hAnsi="Times New Roman"/>
      <w:b/>
      <w:i/>
      <w:color w:val="000000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200" w:before="0" w:line="240" w:lineRule="auto"/>
      <w:ind w:firstLine="0" w:left="480" w:right="480"/>
      <w:jc w:val="left"/>
    </w:pPr>
    <w:rPr>
      <w:rFonts w:ascii="Times New Roman" w:cs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80" w:before="0" w:line="240" w:lineRule="auto"/>
      <w:jc w:val="left"/>
    </w:pPr>
    <w:rPr>
      <w:rFonts w:ascii="Times New Roman" w:cs="Times New Roman" w:hAnsi="Times New Roman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000000" w:space="0" w:sz="8" w:val="single"/>
        <w:bottom w:color="000000" w:space="0" w:sz="8" w:val="single"/>
        <w:left w:val="nil"/>
        <w:right w:val="nil"/>
        <w:insideH w:val="nil"/>
        <w:insideV w:val="nil"/>
      </w:tblBorders>
    </w:tblPr>
    <w:tblStylePr w:type="firstRow">
      <w:rPr>
        <w:b/>
      </w:rPr>
      <w:tcPr>
        <w:tcBorders>
          <w:bottom w:color="000000" w:sz="6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120" w:line="240" w:lineRule="auto"/>
      <w:jc w:val="left"/>
    </w:pPr>
    <w:rPr>
      <w:rFonts w:ascii="Times New Roman" w:cs="Times New Roman" w:hAnsi="Times New Roman"/>
      <w:b/>
      <w:i/>
      <w:sz w:val="22"/>
    </w:rPr>
  </w:style>
  <w:style w:customStyle="1" w:styleId="TableCaption" w:type="paragraph">
    <w:name w:val="Table Caption"/>
    <w:basedOn w:val="Caption"/>
    <w:pPr>
      <w:keepNext/>
      <w:spacing w:after="120" w:before="120" w:line="240" w:lineRule="auto"/>
      <w:jc w:val="left"/>
    </w:pPr>
    <w:rPr>
      <w:rFonts w:ascii="Times New Roman" w:cs="Times New Roman" w:hAnsi="Times New Roman"/>
      <w:b/>
      <w:sz w:val="22"/>
    </w:rPr>
  </w:style>
  <w:style w:customStyle="1" w:styleId="ImageCaption" w:type="paragraph">
    <w:name w:val="Image Caption"/>
    <w:basedOn w:val="Caption"/>
    <w:pPr>
      <w:spacing w:after="200" w:before="120" w:line="240" w:lineRule="auto"/>
      <w:jc w:val="left"/>
    </w:pPr>
    <w:rPr>
      <w:rFonts w:ascii="Times New Roman" w:cs="Times New Roman" w:hAnsi="Times New Roman"/>
      <w:b/>
      <w:sz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2026-09-17T16:30:20Z</dcterms:created>
  <dcterms:modified xsi:type="dcterms:W3CDTF">2026-09-17T16:30:20Z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