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A consolidated, manuscript-ready account of the data, model and validation as they stand after the</w:t>
      </w:r>
      <w:r>
        <w:t xml:space="preserve"> </w:t>
      </w:r>
      <w:r>
        <w:t xml:space="preserve">2026-07 revision. Every number traces to a file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; scripts are named</w:t>
      </w:r>
      <w:r>
        <w:t xml:space="preserve"> </w:t>
      </w:r>
      <w:r>
        <w:t xml:space="preserve">so each step is reproducible.</w:t>
      </w:r>
    </w:p>
    <w:bookmarkStart w:id="18" w:name="data-sources-measured-only"/>
    <w:p>
      <w:pPr>
        <w:pStyle w:val="Heading2"/>
      </w:pPr>
      <w:r>
        <w:t xml:space="preserve">Data sources (measured only)</w:t>
      </w:r>
    </w:p>
    <w:p>
      <w:pPr>
        <w:pStyle w:val="FirstParagraph"/>
      </w:pPr>
      <w:r>
        <w:t xml:space="preserve">All supervised labels are measured experimental values; no qualitative annotation is used as a label.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activity</w:t>
      </w:r>
      <w:r>
        <w:t xml:space="preserve">, ChEMBL 37 (release 2026-05-01) and BindingDB, two independent public</w:t>
      </w:r>
      <w:r>
        <w:t xml:space="preserve"> </w:t>
      </w:r>
      <w:r>
        <w:t xml:space="preserve">databases, pooled at the compound level for eleven human targets (AChE, BChE, BACE1, GSK-3-beta,</w:t>
      </w:r>
      <w:r>
        <w:t xml:space="preserve"> </w:t>
      </w:r>
      <w:r>
        <w:t xml:space="preserve">MAO-A, MAO-B, hERG; and D2, A2A, 5-HT2A, SERT as regressors). Activities with a defined potency</w:t>
      </w:r>
      <w:r>
        <w:t xml:space="preserve"> </w:t>
      </w:r>
      <w:r>
        <w:t xml:space="preserve">(ChEMBL pChEMBL, or a BindingDB IC50/Ki/Kd/EC50 in nM converted to -log10 molar) are retained and</w:t>
      </w:r>
      <w:r>
        <w:t xml:space="preserve"> </w:t>
      </w:r>
      <w:r>
        <w:t xml:space="preserve">the per-compound median across both sources is taken.</w:t>
      </w:r>
      <w:r>
        <w:t xml:space="preserve"> </w:t>
      </w:r>
      <w:r>
        <w:rPr>
          <w:rStyle w:val="VerbatimChar"/>
        </w:rPr>
        <w:t xml:space="preserve">src/brainsafe/data/{fetch_bindingdb, rebuild_endpoints}.py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 inactives</w:t>
      </w:r>
      <w:r>
        <w:t xml:space="preserve">, for the protein-target classifiers, genuine negatives from PubChem</w:t>
      </w:r>
      <w:r>
        <w:t xml:space="preserve"> </w:t>
      </w:r>
      <w:r>
        <w:t xml:space="preserve">BioAssay high-throughput screens are added, excluding any compound ever active for that target and</w:t>
      </w:r>
      <w:r>
        <w:t xml:space="preserve"> </w:t>
      </w:r>
      <w:r>
        <w:t xml:space="preserve">never overriding a dose-response active.</w:t>
      </w:r>
      <w:r>
        <w:t xml:space="preserve"> </w:t>
      </w:r>
      <w:r>
        <w:rPr>
          <w:rStyle w:val="VerbatimChar"/>
        </w:rPr>
        <w:t xml:space="preserve">src/brainsafe/data/{fetch_pubchem_inactives, rebuild_with_inactives}.py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Blood-brain barrier</w:t>
      </w:r>
      <w:r>
        <w:t xml:space="preserve">, B3DB measured permeability labels (Meng et al., Sci Data 2021). A further</w:t>
      </w:r>
      <w:r>
        <w:t xml:space="preserve"> </w:t>
      </w:r>
      <w:r>
        <w:t xml:space="preserve">306 FDA-curated approved-drug compounds absent from B3DB are held out for external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Antioxidant</w:t>
      </w:r>
      <w:r>
        <w:t xml:space="preserve">, ChEMBL DPPH radical-scavenging assays; IC50/EC50 converted to pIC50.</w:t>
      </w:r>
    </w:p>
    <w:bookmarkEnd w:id="18"/>
    <w:bookmarkStart w:id="19" w:name="curation-and-standardisation"/>
    <w:p>
      <w:pPr>
        <w:pStyle w:val="Heading2"/>
      </w:pPr>
      <w:r>
        <w:t xml:space="preserve">Curation and standardisation</w:t>
      </w:r>
    </w:p>
    <w:p>
      <w:pPr>
        <w:pStyle w:val="FirstParagraph"/>
      </w:pPr>
      <w:r>
        <w:t xml:space="preserve">Every structure is passed through one pipeline: parse with RDKit, keep the largest organic fragment</w:t>
      </w:r>
      <w:r>
        <w:t xml:space="preserve"> </w:t>
      </w:r>
      <w:r>
        <w:t xml:space="preserve">(salt/counter-ion removal), sanitise, generate the canonical SMILES and standard InChIKey, and</w:t>
      </w:r>
      <w:r>
        <w:t xml:space="preserve"> </w:t>
      </w:r>
      <w:r>
        <w:t xml:space="preserve">deduplicate by InChIKey. The original source record and the standardised training variant are both</w:t>
      </w:r>
      <w:r>
        <w:t xml:space="preserve"> </w:t>
      </w:r>
      <w:r>
        <w:t xml:space="preserve">retained (</w:t>
      </w:r>
      <w:r>
        <w:rPr>
          <w:rStyle w:val="VerbatimChar"/>
        </w:rPr>
        <w:t xml:space="preserve">data/README.md</w:t>
      </w:r>
      <w:r>
        <w:t xml:space="preserve">). Classification labels: active at pChEMBL &gt;= 6, inactive at &lt; 5; the 5-6</w:t>
      </w:r>
      <w:r>
        <w:t xml:space="preserve"> </w:t>
      </w:r>
      <w:r>
        <w:t xml:space="preserve">grey zone is dropped so the two classes are unambiguous.</w:t>
      </w:r>
    </w:p>
    <w:bookmarkEnd w:id="19"/>
    <w:bookmarkStart w:id="20" w:name="feature-representation"/>
    <w:p>
      <w:pPr>
        <w:pStyle w:val="Heading2"/>
      </w:pPr>
      <w:r>
        <w:t xml:space="preserve">Feature representation</w:t>
      </w:r>
    </w:p>
    <w:p>
      <w:pPr>
        <w:pStyle w:val="FirstParagraph"/>
      </w:pPr>
      <w:r>
        <w:t xml:space="preserve">Each compound is encoded as 1,036 numeric features: a 1024-bit ECFP-4 Morgan fingerprint (radius 2)</w:t>
      </w:r>
      <w:r>
        <w:t xml:space="preserve"> </w:t>
      </w:r>
      <w:r>
        <w:t xml:space="preserve">and twelve interpretable physicochemical descriptors (molecular weight, cLogP, TPSA, H-bond</w:t>
      </w:r>
      <w:r>
        <w:t xml:space="preserve"> </w:t>
      </w:r>
      <w:r>
        <w:t xml:space="preserve">donors/acceptors, rotatable bonds, aromatic rings, sp3 fraction, ring count, heavy-atom count, formal</w:t>
      </w:r>
      <w:r>
        <w:t xml:space="preserve"> </w:t>
      </w:r>
      <w:r>
        <w:t xml:space="preserve">charge, QED). The fingerprint is folded, so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collision-free: bit k stores</w:t>
      </w:r>
      <w:r>
        <w:t xml:space="preserve"> </w:t>
      </w:r>
      <w:r>
        <w:rPr>
          <w:rStyle w:val="VerbatimChar"/>
        </w:rPr>
        <w:t xml:space="preserve">hash(environment) % 1024</w:t>
      </w:r>
      <w:r>
        <w:t xml:space="preserve"> </w:t>
      </w:r>
      <w:r>
        <w:t xml:space="preserve">and therefore denotes a set of substructures rather than one. On 20,000</w:t>
      </w:r>
      <w:r>
        <w:t xml:space="preserve"> </w:t>
      </w:r>
      <w:r>
        <w:t xml:space="preserve">structures from the endpoint tables, 52,882 distinct atomic environments map onto the 1,024 bits and</w:t>
      </w:r>
      <w:r>
        <w:t xml:space="preserve"> </w:t>
      </w:r>
      <w:r>
        <w:t xml:space="preserve">every bit carries more than one, a median of 52 and a maximum of 73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results/tables/fingerprint_collisions.csv</w:t>
      </w:r>
      <w:r>
        <w:t xml:space="preserve">). An earlier edition of this file stated the opposite.</w:t>
      </w:r>
      <w:r>
        <w:t xml:space="preserve"> </w:t>
      </w:r>
      <w:r>
        <w:t xml:space="preserve">The consequence is interpretive: an important bit names a set of environments, not a motif.</w:t>
      </w:r>
      <w:r>
        <w:t xml:space="preserve"> </w:t>
      </w:r>
      <w:r>
        <w:t xml:space="preserve">Categorical metadata is encoded reversibly and separately and never enters the feature matrix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src/brainsafe/features/{featurize,encodings}.py</w:t>
      </w:r>
      <w:r>
        <w:t xml:space="preserve">).</w:t>
      </w:r>
    </w:p>
    <w:bookmarkEnd w:id="20"/>
    <w:bookmarkStart w:id="21" w:name="models"/>
    <w:p>
      <w:pPr>
        <w:pStyle w:val="Heading2"/>
      </w:pPr>
      <w:r>
        <w:t xml:space="preserve">Models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Primary: random forest</w:t>
      </w:r>
      <w:r>
        <w:t xml:space="preserve"> </w:t>
      </w:r>
      <w:r>
        <w:t xml:space="preserve">per endpoint (300 trees, min_samples_leaf 2, balanced class weights for</w:t>
      </w:r>
      <w:r>
        <w:t xml:space="preserve"> </w:t>
      </w:r>
      <w:r>
        <w:t xml:space="preserve">classification), one classifier for each of the eight classification endpoints and one regressor</w:t>
      </w:r>
      <w:r>
        <w:t xml:space="preserve"> </w:t>
      </w:r>
      <w:r>
        <w:t xml:space="preserve">for each of the five regression endpoints (</w:t>
      </w:r>
      <w:r>
        <w:rPr>
          <w:rStyle w:val="VerbatimChar"/>
        </w:rPr>
        <w:t xml:space="preserve">src/brainsafe/models/train_rf.py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Estimator comparison</w:t>
      </w:r>
      <w:r>
        <w:t xml:space="preserve">, random forest was compared against XGBoost and histogram gradient</w:t>
      </w:r>
      <w:r>
        <w:t xml:space="preserve"> </w:t>
      </w:r>
      <w:r>
        <w:t xml:space="preserve">boosting under identical features and folds. Random forest is best or tied on all eight classifiers</w:t>
      </w:r>
      <w:r>
        <w:t xml:space="preserve"> </w:t>
      </w:r>
      <w:r>
        <w:t xml:space="preserve">(mean scaffold AUROC 0.914 vs 0.905 vs 0.901); gradient boosting is marginally better on the</w:t>
      </w:r>
      <w:r>
        <w:t xml:space="preserve"> </w:t>
      </w:r>
      <w:r>
        <w:t xml:space="preserve">receptor regressions. All differences are within about 0.02, so the estimator is not the limiting</w:t>
      </w:r>
      <w:r>
        <w:t xml:space="preserve"> </w:t>
      </w:r>
      <w:r>
        <w:t xml:space="preserve">factor (</w:t>
      </w:r>
      <w:r>
        <w:rPr>
          <w:rStyle w:val="VerbatimChar"/>
        </w:rPr>
        <w:t xml:space="preserve">src/brainsafe/evaluation/model_comparison.py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 neural network</w:t>
      </w:r>
      <w:r>
        <w:t xml:space="preserve">, a Graph Isomorphism Network (pure PyTorch) was trained on the raw</w:t>
      </w:r>
      <w:r>
        <w:t xml:space="preserve"> </w:t>
      </w:r>
      <w:r>
        <w:t xml:space="preserve">molecular graph and compared to the random forest on an identical scaffold hold-out. At this data</w:t>
      </w:r>
      <w:r>
        <w:t xml:space="preserve"> </w:t>
      </w:r>
      <w:r>
        <w:t xml:space="preserve">scale (2,000-8,500 compounds) the random forest wins on every endpoint tested, consistent with the</w:t>
      </w:r>
      <w:r>
        <w:t xml:space="preserve"> </w:t>
      </w:r>
      <w:r>
        <w:t xml:space="preserve">literature that graph networks require far larger data or pretraining to overtake fingerprints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src/brainsafe/gnn/</w:t>
      </w:r>
      <w:r>
        <w:t xml:space="preserve">).</w:t>
      </w:r>
    </w:p>
    <w:bookmarkEnd w:id="21"/>
    <w:bookmarkStart w:id="22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Cross-validation</w:t>
      </w:r>
      <w:r>
        <w:t xml:space="preserve">, every endpoint is evaluated by random 10-fold and scaffold-grouped 10-fold</w:t>
      </w:r>
      <w:r>
        <w:t xml:space="preserve"> </w:t>
      </w:r>
      <w:r>
        <w:t xml:space="preserve">(Bemis-Murcko GroupKFold). The scaffold split, which holds whole scaffolds out, is the headline</w:t>
      </w:r>
      <w:r>
        <w:t xml:space="preserve"> </w:t>
      </w:r>
      <w:r>
        <w:t xml:space="preserve">estimate of generalisation to new chemistry. Every compound’s out-of-fold prediction and fold id</w:t>
      </w:r>
      <w:r>
        <w:t xml:space="preserve"> </w:t>
      </w:r>
      <w:r>
        <w:t xml:space="preserve">are saved (</w:t>
      </w:r>
      <w:r>
        <w:rPr>
          <w:rStyle w:val="VerbatimChar"/>
        </w:rPr>
        <w:t xml:space="preserve">data/processed/cv_predictions/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Probability calibration</w:t>
      </w:r>
      <w:r>
        <w:t xml:space="preserve">, isotonic calibration per classifier, measured honestly on out-of-fold</w:t>
      </w:r>
      <w:r>
        <w:t xml:space="preserve"> </w:t>
      </w:r>
      <w:r>
        <w:t xml:space="preserve">predictions; mean expected calibration error 0.072 -&gt; 0.012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src/brainsafe/models/calibrate.py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Applicability domain</w:t>
      </w:r>
      <w:r>
        <w:t xml:space="preserve">, nearest-neighbour ECFP-4 Tanimoto; a prediction is in domain at maximum</w:t>
      </w:r>
      <w:r>
        <w:t xml:space="preserve"> </w:t>
      </w:r>
      <w:r>
        <w:t xml:space="preserve">Tanimoto &gt;= 0.30. Library-wide predictions outside the domain are flagged as extrapolation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src/brainsafe/evaluation/applicability_domain.py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External validation</w:t>
      </w:r>
      <w:r>
        <w:t xml:space="preserve">, the BBB model applied to 306 FDA-approved drugs absent from training gives</w:t>
      </w:r>
      <w:r>
        <w:t xml:space="preserve"> </w:t>
      </w:r>
      <w:r>
        <w:t xml:space="preserve">AUROC 0.774 (</w:t>
      </w:r>
      <w:r>
        <w:rPr>
          <w:rStyle w:val="VerbatimChar"/>
        </w:rPr>
        <w:t xml:space="preserve">src/brainsafe/evaluation/external_validation.py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Data-addition audits</w:t>
      </w:r>
      <w:r>
        <w:t xml:space="preserve">, each data change is compared against the prior baseline. Adding BindingDB</w:t>
      </w:r>
      <w:r>
        <w:t xml:space="preserve"> </w:t>
      </w:r>
      <w:r>
        <w:t xml:space="preserve">moved the scaffold headline by a mean of -0.0002 (no inflation); the PubChem-inactive addition is</w:t>
      </w:r>
      <w:r>
        <w:t xml:space="preserve"> </w:t>
      </w:r>
      <w:r>
        <w:t xml:space="preserve">audited both for the metric change and for easy-negative bias (similarity of added inactives to</w:t>
      </w:r>
      <w:r>
        <w:t xml:space="preserve"> </w:t>
      </w:r>
      <w:r>
        <w:t xml:space="preserve">actives) (</w:t>
      </w:r>
      <w:r>
        <w:rPr>
          <w:rStyle w:val="VerbatimChar"/>
        </w:rPr>
        <w:t xml:space="preserve">src/brainsafe/evaluation/{audit_expansion,audit_inactives}.py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retention</w:t>
      </w:r>
      <w:r>
        <w:t xml:space="preserve">, block ablation (fingerprint vs descriptors vs both) and descriptor</w:t>
      </w:r>
      <w:r>
        <w:t xml:space="preserve"> </w:t>
      </w:r>
      <w:r>
        <w:t xml:space="preserve">permutation importance; both blocks are retained on measured evidence and the important descriptors</w:t>
      </w:r>
      <w:r>
        <w:t xml:space="preserve"> </w:t>
      </w:r>
      <w:r>
        <w:t xml:space="preserve">are physically sensible (TPSA for BBB, cLogP for hERG)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src/brainsafe/evaluation/feature_analysis.py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Learning curves</w:t>
      </w:r>
      <w:r>
        <w:t xml:space="preserve">, scaffold-honest curves show BBB is data-saturated whereas BACE1, MAO-A and the</w:t>
      </w:r>
      <w:r>
        <w:t xml:space="preserve"> </w:t>
      </w:r>
      <w:r>
        <w:t xml:space="preserve">receptors are still improving, quantifying where more data would 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src/brainsafe/evaluation/learning_curve.py</w:t>
      </w:r>
      <w:r>
        <w:t xml:space="preserve">).</w:t>
      </w:r>
    </w:p>
    <w:bookmarkEnd w:id="22"/>
    <w:bookmarkStart w:id="23" w:name="adme-exposure-layer-ladder-b"/>
    <w:p>
      <w:pPr>
        <w:pStyle w:val="Heading2"/>
      </w:pPr>
      <w:r>
        <w:t xml:space="preserve">ADME / exposure layer (ladder B)</w:t>
      </w:r>
    </w:p>
    <w:p>
      <w:pPr>
        <w:pStyle w:val="FirstParagraph"/>
      </w:pPr>
      <w:r>
        <w:t xml:space="preserve">Beyond target engagement, nine measured ADME / exposure endpoints govern whether an achievable dose</w:t>
      </w:r>
      <w:r>
        <w:t xml:space="preserve"> </w:t>
      </w:r>
      <w:r>
        <w:t xml:space="preserve">delivers free drug to a brain target: aqueous solubility (AqSolDB, 9,573), lipophilicity (logD, 4,200),</w:t>
      </w:r>
      <w:r>
        <w:t xml:space="preserve"> </w:t>
      </w:r>
      <w:r>
        <w:t xml:space="preserve">Caco-2 passive permeability (897), P-glycoprotein inhibition (1,212) and substrate/efflux (ChEMBL</w:t>
      </w:r>
      <w:r>
        <w:t xml:space="preserve"> </w:t>
      </w:r>
      <w:r>
        <w:t xml:space="preserve">efflux ratio, 1,371), plasma-protein binding (1,797), hepatocyte clearance (1,020), logBB (B3DB, 1,058)</w:t>
      </w:r>
      <w:r>
        <w:t xml:space="preserve"> </w:t>
      </w:r>
      <w:r>
        <w:t xml:space="preserve">and, directly,</w:t>
      </w:r>
      <w:r>
        <w:t xml:space="preserve"> </w:t>
      </w:r>
      <w:r>
        <w:rPr>
          <w:b/>
          <w:bCs/>
        </w:rPr>
        <w:t xml:space="preserve">K_p,uu</w:t>
      </w:r>
      <w:r>
        <w:t xml:space="preserve"> </w:t>
      </w:r>
      <w:r>
        <w:t xml:space="preserve">(unbound brain-to-plasma; ChEMBL</w:t>
      </w:r>
      <w:r>
        <w:t xml:space="preserve"> </w:t>
      </w:r>
      <w:r>
        <w:rPr>
          <w:rStyle w:val="VerbatimChar"/>
        </w:rPr>
        <w:t xml:space="preserve">K(p,uu,brain)</w:t>
      </w:r>
      <w:r>
        <w:t xml:space="preserve">, 566). Sources: TDC / Harvard</w:t>
      </w:r>
      <w:r>
        <w:t xml:space="preserve"> </w:t>
      </w:r>
      <w:r>
        <w:t xml:space="preserve">Dataverse, MoleculeNet, B3DB and ChEMBL; ~23,000 measured compounds. Each is modelled with the same</w:t>
      </w:r>
      <w:r>
        <w:t xml:space="preserve"> </w:t>
      </w:r>
      <w:r>
        <w:t xml:space="preserve">random-forest, 10-fold protocol (</w:t>
      </w:r>
      <w:r>
        <w:rPr>
          <w:rStyle w:val="VerbatimChar"/>
        </w:rPr>
        <w:t xml:space="preserve">src/brainsafe/adme/</w:t>
      </w:r>
      <w:r>
        <w:t xml:space="preserve">). Scaffold performance ranges from strong (P-gp</w:t>
      </w:r>
      <w:r>
        <w:t xml:space="preserve"> </w:t>
      </w:r>
      <w:r>
        <w:t xml:space="preserve">inhibition AUROC 0.937, solubility R2 0.763) through moderate (K_p,uu R2 0.35, logBB 0.46, Caco-2 0.59)</w:t>
      </w:r>
      <w:r>
        <w:t xml:space="preserve"> </w:t>
      </w:r>
      <w:r>
        <w:t xml:space="preserve">to weak and disclosed (hepatocyte clearance R2 0.19). A combined readout (</w:t>
      </w:r>
      <w:r>
        <w:rPr>
          <w:rStyle w:val="VerbatimChar"/>
        </w:rPr>
        <w:t xml:space="preserve">cns_exposure.py</w:t>
      </w:r>
      <w:r>
        <w:t xml:space="preserve">) uses the</w:t>
      </w:r>
      <w:r>
        <w:t xml:space="preserve"> </w:t>
      </w:r>
      <w:r>
        <w:t xml:space="preserve">directly-modelled K_p,uu (&gt;= 0.3 = meaningful free brain exposure) as the primary free-brain-exposure</w:t>
      </w:r>
      <w:r>
        <w:t xml:space="preserve"> </w:t>
      </w:r>
      <w:r>
        <w:t xml:space="preserve">call, supported by BBB penetration, logBB, permeability, P-gp substrate and free fraction; on known</w:t>
      </w:r>
      <w:r>
        <w:t xml:space="preserve"> </w:t>
      </w:r>
      <w:r>
        <w:t xml:space="preserve">drugs it correctly ranks central (diazepam, donepezil) versus peripheral / effluxed (atenolol,</w:t>
      </w:r>
      <w:r>
        <w:t xml:space="preserve"> </w:t>
      </w:r>
      <w:r>
        <w:t xml:space="preserve">loperamide) compounds. Detail:</w:t>
      </w:r>
      <w:r>
        <w:t xml:space="preserve"> </w:t>
      </w:r>
      <w:r>
        <w:rPr>
          <w:rStyle w:val="VerbatimChar"/>
        </w:rPr>
        <w:t xml:space="preserve">docs/ADME_RESULTS.md</w:t>
      </w:r>
      <w:r>
        <w:t xml:space="preserve">.</w:t>
      </w:r>
    </w:p>
    <w:bookmarkEnd w:id="23"/>
    <w:bookmarkStart w:id="24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Random seed 42 throughout. Environment: Python 3.13, RDKit 2026.03.2, scikit-learn 1.8, XGBoost 3.3,</w:t>
      </w:r>
      <w:r>
        <w:t xml:space="preserve"> </w:t>
      </w:r>
      <w:r>
        <w:t xml:space="preserve">PyTorch 2.12 (CPU). Trained-model binaries and large structure libraries are regenerable and are not</w:t>
      </w:r>
      <w:r>
        <w:t xml:space="preserve"> </w:t>
      </w:r>
      <w:r>
        <w:t xml:space="preserve">committed; every table and figure is produced by the scripts above.</w:t>
      </w:r>
    </w:p>
    <w:bookmarkEnd w:id="24"/>
    <w:bookmarkEnd w:id="25"/>
    <w:sectPr>
      <w:footerReference r:id="rId9" w:type="default"/>
      <w:footnotePr>
        <w:numRestart w:val="eachSect"/>
      </w:footnotePr>
      <w:pgSz w:h="16838" w:w="11906"/>
      <w:pgMar w:bottom="1440" w:left="1440" w:right="1440" w:top="1440"/>
      <w:lnNumType w:countBy="1" w:distance="360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200" w:before="0" w:line="240" w:lineRule="auto"/>
      <w:jc w:val="left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76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  <w:jc w:val="left"/>
    </w:pPr>
    <w:rPr>
      <w:rFonts w:ascii="Times New Roman" w:cs="Times New Roman" w:cstheme="majorBidi" w:eastAsiaTheme="majorEastAsia" w:hAnsi="Times New Roman"/>
      <w:i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120" w:line="240" w:lineRule="auto"/>
      <w:jc w:val="left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00" w:before="0" w:line="240" w:lineRule="auto"/>
      <w:jc w:val="left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  <w:ind w:hanging="357"/>
      <w:jc w:val="left"/>
    </w:pPr>
    <w:rPr>
      <w:rFonts w:ascii="Times New Roman" w:cs="Times New Roman" w:hAnsi="Times New Roman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2"/>
    </w:pPr>
    <w:rPr>
      <w:rFonts w:ascii="Times New Roman" w:cs="Times New Roman" w:cstheme="majorBidi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4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5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6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7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 w:line="240" w:lineRule="auto"/>
      <w:jc w:val="left"/>
      <w:outlineLvl w:val="8"/>
    </w:pPr>
    <w:rPr>
      <w:rFonts w:ascii="Times New Roman" w:cs="Times New Roman" w:cstheme="majorBidi" w:eastAsiaTheme="majorEastAsia" w:hAnsi="Times New Roman"/>
      <w:b/>
      <w:i/>
      <w:color w:val="000000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0" w:line="240" w:lineRule="auto"/>
      <w:ind w:firstLine="0" w:left="480" w:right="480"/>
      <w:jc w:val="left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cs="Times New Roman" w:hAnsi="Times New Roman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color="000000" w:sz="6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120" w:line="240" w:lineRule="auto"/>
      <w:jc w:val="left"/>
    </w:pPr>
    <w:rPr>
      <w:rFonts w:ascii="Times New Roman" w:cs="Times New Roman" w:hAnsi="Times New Roman"/>
      <w:b/>
      <w:i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ImageCaption" w:type="paragraph">
    <w:name w:val="Image Caption"/>
    <w:basedOn w:val="Caption"/>
    <w:pPr>
      <w:spacing w:after="200" w:before="120" w:line="240" w:lineRule="auto"/>
      <w:jc w:val="left"/>
    </w:pPr>
    <w:rPr>
      <w:rFonts w:ascii="Times New Roman" w:cs="Times New Roman" w:hAnsi="Times New Roman"/>
      <w:b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2026-09-17T16:30:20Z</dcterms:created>
  <dcterms:modified xsi:type="dcterms:W3CDTF">2026-09-17T16:30:20Z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