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1" w:name="Xe423728672fae46c390e7246847d816e7701c08"/>
    <w:p>
      <w:pPr>
        <w:pStyle w:val="Heading1"/>
      </w:pPr>
      <w:r>
        <w:t xml:space="preserve">BrainSafe AI: a calibrated, applicability-aware web server for multi-endpoint prediction of small-molecule effects on the human brain</w:t>
      </w:r>
    </w:p>
    <w:p>
      <w:pPr>
        <w:pStyle w:val="FirstParagraph"/>
      </w:pPr>
      <w:r>
        <w:rPr>
          <w:b/>
          <w:bCs/>
        </w:rPr>
        <w:t xml:space="preserve">Authors:</w:t>
      </w:r>
      <w:r>
        <w:t xml:space="preserve"> </w:t>
      </w:r>
      <w:r>
        <w:t xml:space="preserve">[Author list to be finalised]</w:t>
      </w:r>
    </w:p>
    <w:p>
      <w:pPr>
        <w:pStyle w:val="BodyText"/>
      </w:pPr>
      <w:r>
        <w:rPr>
          <w:b/>
          <w:bCs/>
        </w:rPr>
        <w:t xml:space="preserve">Affiliation:</w:t>
      </w:r>
      <w:r>
        <w:t xml:space="preserve"> </w:t>
      </w:r>
      <w:r>
        <w:t xml:space="preserve">SAI-Net initiative, Sri Sathya Sai Institute of Higher Learning (SSSIHL), Prasanthi Nilayam, India.</w:t>
      </w:r>
    </w:p>
    <w:p>
      <w:pPr>
        <w:pStyle w:val="BodyText"/>
      </w:pPr>
      <w:r>
        <w:rPr>
          <w:b/>
          <w:bCs/>
        </w:rPr>
        <w:t xml:space="preserve">Correspondence:</w:t>
      </w:r>
      <w:r>
        <w:t xml:space="preserve"> </w:t>
      </w:r>
      <w:r>
        <w:t xml:space="preserve">[email]</w:t>
      </w:r>
    </w:p>
    <w:p>
      <w:pPr>
        <w:pStyle w:val="BodyText"/>
      </w:pPr>
      <w:r>
        <w:rPr>
          <w:b/>
          <w:bCs/>
        </w:rPr>
        <w:t xml:space="preserve">Manuscript type:</w:t>
      </w:r>
      <w:r>
        <w:t xml:space="preserve"> </w:t>
      </w:r>
      <w:r>
        <w:t xml:space="preserve">NAR Web Server Issue.</w:t>
      </w:r>
    </w:p>
    <w:p>
      <w:pPr>
        <w:pStyle w:val="BodyText"/>
      </w:pPr>
      <w:r>
        <w:rPr>
          <w:b/>
          <w:bCs/>
        </w:rPr>
        <w:t xml:space="preserve">Repository:</w:t>
      </w:r>
      <w:r>
        <w:t xml:space="preserve"> </w:t>
      </w:r>
      <w:r>
        <w:t xml:space="preserve">https://github.com/krishna-g-999/brainsafe-ai</w:t>
      </w:r>
    </w:p>
    <w:p>
      <w:r>
        <w:pict>
          <v:rect style="width:0;height:1.5pt" o:hralign="center" o:hrstd="t" o:hr="t"/>
        </w:pict>
      </w:r>
    </w:p>
    <w:bookmarkStart w:id="9" w:name="abstract"/>
    <w:p>
      <w:pPr>
        <w:pStyle w:val="Heading2"/>
      </w:pPr>
      <w:r>
        <w:t xml:space="preserve">Abstract</w:t>
      </w:r>
    </w:p>
    <w:p>
      <w:pPr>
        <w:pStyle w:val="FirstParagraph"/>
      </w:pPr>
      <w:r>
        <w:t xml:space="preserve">Deciding whether a small molecule is likely to act on the brain requires answering several</w:t>
      </w:r>
      <w:r>
        <w:t xml:space="preserve"> </w:t>
      </w:r>
      <w:r>
        <w:t xml:space="preserve">questions at once: can it cross the blood-brain barrier, which disease-relevant targets does it</w:t>
      </w:r>
      <w:r>
        <w:t xml:space="preserve"> </w:t>
      </w:r>
      <w:r>
        <w:t xml:space="preserve">engage, does an achievable dose deliver free drug to the central nervous system, and is it safe.</w:t>
      </w:r>
      <w:r>
        <w:t xml:space="preserve"> </w:t>
      </w:r>
      <w:r>
        <w:t xml:space="preserve">BrainSafe AI is an open web server that answers these questions from chemical structure alone. It</w:t>
      </w:r>
      <w:r>
        <w:t xml:space="preserve"> </w:t>
      </w:r>
      <w:r>
        <w:t xml:space="preserve">integrates 72 deployed estimators trained on 227,146 measured compound-endpoint records drawn from</w:t>
      </w:r>
      <w:r>
        <w:t xml:space="preserve"> </w:t>
      </w:r>
      <w:r>
        <w:t xml:space="preserve">ChEMBL (1), BindingDB (2) and the B3DB blood-brain-barrier database (3): 60 molecular-target</w:t>
      </w:r>
      <w:r>
        <w:t xml:space="preserve"> </w:t>
      </w:r>
      <w:r>
        <w:t xml:space="preserve">endpoints spanning blood-brain-barrier penetration, the principal neurodegenerative, psychiatric,</w:t>
      </w:r>
      <w:r>
        <w:t xml:space="preserve"> </w:t>
      </w:r>
      <w:r>
        <w:t xml:space="preserve">neuroinflammatory, epileptic, analgesic, migraine, demyelinating and sleep-related target classes,</w:t>
      </w:r>
      <w:r>
        <w:t xml:space="preserve"> </w:t>
      </w:r>
      <w:r>
        <w:t xml:space="preserve">and two cardiac safety liabilities, together with a nine-endpoint ADME and exposure layer that</w:t>
      </w:r>
      <w:r>
        <w:t xml:space="preserve"> </w:t>
      </w:r>
      <w:r>
        <w:t xml:space="preserve">includes a directly modelled unbound brain-to-plasma partition coefficient (4). Every compound is</w:t>
      </w:r>
      <w:r>
        <w:t xml:space="preserve"> </w:t>
      </w:r>
      <w:r>
        <w:t xml:space="preserve">represented by one fixed 1,036-column vector, a 1,024-bit folded ECFP-4 fingerprint (5) with twelve</w:t>
      </w:r>
      <w:r>
        <w:t xml:space="preserve"> </w:t>
      </w:r>
      <w:r>
        <w:t xml:space="preserve">physicochemical descriptors, and every endpoint is a random forest (6) validated under 10-fold</w:t>
      </w:r>
      <w:r>
        <w:t xml:space="preserve"> </w:t>
      </w:r>
      <w:r>
        <w:t xml:space="preserve">cross-validation in two regimes: a random split, and a split grouped on Bemis-Murcko scaffolds (7)</w:t>
      </w:r>
      <w:r>
        <w:t xml:space="preserve"> </w:t>
      </w:r>
      <w:r>
        <w:t xml:space="preserve">that withholds entire chemical series. Across 71 cross-validated endpoints this is 1,420 fitted</w:t>
      </w:r>
      <w:r>
        <w:t xml:space="preserve"> </w:t>
      </w:r>
      <w:r>
        <w:t xml:space="preserve">models behind the 72 that are deployed. Predictions are probability-calibrated, carry an</w:t>
      </w:r>
      <w:r>
        <w:t xml:space="preserve"> </w:t>
      </w:r>
      <w:r>
        <w:t xml:space="preserve">endpoint-specific applicability-domain flag with the nearest measured analogue, and are combined into</w:t>
      </w:r>
      <w:r>
        <w:t xml:space="preserve"> </w:t>
      </w:r>
      <w:r>
        <w:t xml:space="preserve">per-disease relevance scores, filtered by blood-brain-barrier exposure and traced through a curated</w:t>
      </w:r>
      <w:r>
        <w:t xml:space="preserve"> </w:t>
      </w:r>
      <w:r>
        <w:t xml:space="preserve">target-to-pathway-to-disease knowledge graph. The measured-label classifier panel reaches a mean</w:t>
      </w:r>
      <w:r>
        <w:t xml:space="preserve"> </w:t>
      </w:r>
      <w:r>
        <w:t xml:space="preserve">AUROC of 0.958 on the random split and 0.925 on the scaffold split, and mean expected calibration</w:t>
      </w:r>
      <w:r>
        <w:t xml:space="preserve"> </w:t>
      </w:r>
      <w:r>
        <w:t xml:space="preserve">error falls from 0.0795 to 0.0161 after isotonic calibration (8). The 49 binder classifiers are validated</w:t>
      </w:r>
      <w:r>
        <w:t xml:space="preserve"> </w:t>
      </w:r>
      <w:r>
        <w:t xml:space="preserve">not against the decoys used to train them (9) but against compounds experimentally tested on the same</w:t>
      </w:r>
      <w:r>
        <w:t xml:space="preserve"> </w:t>
      </w:r>
      <w:r>
        <w:t xml:space="preserve">target and found inactive, giving a mean AUROC of 0.904 and a mean sensitivity of 0.866 on actives</w:t>
      </w:r>
      <w:r>
        <w:t xml:space="preserve"> </w:t>
      </w:r>
      <w:r>
        <w:t xml:space="preserve">withheld by scaffold, at thresholds constrained simultaneously by held-out measured inactives and by</w:t>
      </w:r>
      <w:r>
        <w:t xml:space="preserve"> </w:t>
      </w:r>
      <w:r>
        <w:t xml:space="preserve">the false-positive rate on a disjoint pool of unrelated chemistry.</w:t>
      </w:r>
    </w:p>
    <w:p>
      <w:pPr>
        <w:pStyle w:val="BodyText"/>
      </w:pPr>
      <w:r>
        <w:t xml:space="preserve">A negative class recovered from censored measurements is central to these figures. Public databases</w:t>
      </w:r>
      <w:r>
        <w:t xml:space="preserve"> </w:t>
      </w:r>
      <w:r>
        <w:t xml:space="preserve">record what bound; a compound assayed and found inactive is often stored only as a bound such as</w:t>
      </w:r>
      <w:r>
        <w:t xml:space="preserve"> </w:t>
      </w:r>
      <w:r>
        <w:t xml:space="preserve">“IC50 &gt; 10 uM”</w:t>
      </w:r>
      <w:r>
        <w:t xml:space="preserve">, which the standard potency query discards. Recovering the bounds that settle a label</w:t>
      </w:r>
      <w:r>
        <w:t xml:space="preserve"> </w:t>
      </w:r>
      <w:r>
        <w:t xml:space="preserve">whatever the true value is added 21,994 measured non-binders and reduced the endpoints exceeding 90</w:t>
      </w:r>
      <w:r>
        <w:t xml:space="preserve"> </w:t>
      </w:r>
      <w:r>
        <w:t xml:space="preserve">per cent active from 35 to 13. Classification became marginally harder as a result and regression</w:t>
      </w:r>
      <w:r>
        <w:t xml:space="preserve"> </w:t>
      </w:r>
      <w:r>
        <w:t xml:space="preserve">improved, both reported here rather than only the improvement.</w:t>
      </w:r>
    </w:p>
    <w:p>
      <w:pPr>
        <w:pStyle w:val="BodyText"/>
      </w:pPr>
      <w:r>
        <w:t xml:space="preserve">Beyond conventional validation, the server was subjected to a systematic falsification analysis in</w:t>
      </w:r>
      <w:r>
        <w:t xml:space="preserve"> </w:t>
      </w:r>
      <w:r>
        <w:t xml:space="preserve">which each of its central claims was paired with a null model capable of reproducing the same</w:t>
      </w:r>
      <w:r>
        <w:t xml:space="preserve"> </w:t>
      </w:r>
      <w:r>
        <w:t xml:space="preserve">apparent success by accident. This recovered results in both directions. The disease layer is</w:t>
      </w:r>
      <w:r>
        <w:t xml:space="preserve"> </w:t>
      </w:r>
      <w:r>
        <w:t xml:space="preserve">informative: top-3 accuracy 0.804 against a permutation null of 0.157 and a frequency null of 0.548.</w:t>
      </w:r>
      <w:r>
        <w:t xml:space="preserve"> </w:t>
      </w:r>
      <w:r>
        <w:t xml:space="preserve">Its curated edge weights are not: uniform and randomly permuted weights score 0.8025 and 0.8023</w:t>
      </w:r>
      <w:r>
        <w:t xml:space="preserve"> </w:t>
      </w:r>
      <w:r>
        <w:t xml:space="preserve">against 0.8043, so the predictive content lies in the graph topology and the weights are reported as</w:t>
      </w:r>
      <w:r>
        <w:t xml:space="preserve"> </w:t>
      </w:r>
      <w:r>
        <w:t xml:space="preserve">structure rather than as tuned parameters. Validated against clinical indications drawn from ChEMBL</w:t>
      </w:r>
      <w:r>
        <w:t xml:space="preserve"> </w:t>
      </w:r>
      <w:r>
        <w:t xml:space="preserve">rather than against the tool’s own target-to-disease map, and restricted to the 162 approved drugs</w:t>
      </w:r>
      <w:r>
        <w:t xml:space="preserve"> </w:t>
      </w:r>
      <w:r>
        <w:t xml:space="preserve">whose structure appears nowhere in the training chemistry, top-3 accuracy is 0.352 (95% CI</w:t>
      </w:r>
      <w:r>
        <w:t xml:space="preserve"> </w:t>
      </w:r>
      <w:r>
        <w:t xml:space="preserve">0.283-0.428) against a permutation null of 0.145 (p=0.0005) and a frequency null of 0.654. The</w:t>
      </w:r>
      <w:r>
        <w:t xml:space="preserve"> </w:t>
      </w:r>
      <w:r>
        <w:t xml:space="preserve">output therefore depends on the compound and is not memorisation, but it does not beat a constant</w:t>
      </w:r>
      <w:r>
        <w:t xml:space="preserve"> </w:t>
      </w:r>
      <w:r>
        <w:t xml:space="preserve">answer naming the commonest CNS indications, and this is stated rather than omitted. The same</w:t>
      </w:r>
      <w:r>
        <w:t xml:space="preserve"> </w:t>
      </w:r>
      <w:r>
        <w:t xml:space="preserve">analysis identified a deployed endpoint, Nav1.1, that assigned binder probabilities between 0.80 and</w:t>
      </w:r>
      <w:r>
        <w:t xml:space="preserve"> </w:t>
      </w:r>
      <w:r>
        <w:t xml:space="preserve">0.82 to glucose, urea, acetate and glycine against a threshold of 0.796; it was withdrawn, as was</w:t>
      </w:r>
      <w:r>
        <w:t xml:space="preserve"> </w:t>
      </w:r>
      <w:r>
        <w:t xml:space="preserve">Cav3.2, leaving 47 of 49 binder endpoints deployed. Of six adversarial checks designed so that each</w:t>
      </w:r>
      <w:r>
        <w:t xml:space="preserve"> </w:t>
      </w:r>
      <w:r>
        <w:t xml:space="preserve">could fail, five pass; the sixth shows that the applicability-domain flag does not separate</w:t>
      </w:r>
      <w:r>
        <w:t xml:space="preserve"> </w:t>
      </w:r>
      <w:r>
        <w:t xml:space="preserve">non-drug-like chemistry from unseen drugs, and it is reported as a limitation rather than retuned.</w:t>
      </w:r>
      <w:r>
        <w:t xml:space="preserve"> </w:t>
      </w:r>
      <w:r>
        <w:t xml:space="preserve">The server returns an auditable, mechanistically interpretable brain-relevance profile rather than a</w:t>
      </w:r>
      <w:r>
        <w:t xml:space="preserve"> </w:t>
      </w:r>
      <w:r>
        <w:t xml:space="preserve">single opaque score, exportable as a tidy data table, a self-contained report, a structured record or</w:t>
      </w:r>
      <w:r>
        <w:t xml:space="preserve"> </w:t>
      </w:r>
      <w:r>
        <w:t xml:space="preserve">a vector figure, and supports batch screening of compound sets. Source code, trained models and the</w:t>
      </w:r>
      <w:r>
        <w:t xml:space="preserve"> </w:t>
      </w:r>
      <w:r>
        <w:t xml:space="preserve">raw source caches are available at https://github.com/krishna-g-999/brainsafe-ai.</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Central-nervous-system drug discovery has a distinctive failure profile: a candidate can be potent</w:t>
      </w:r>
      <w:r>
        <w:t xml:space="preserve"> </w:t>
      </w:r>
      <w:r>
        <w:t xml:space="preserve">against its intended target yet never reach the brain, or reach it but carry an unacceptable safety</w:t>
      </w:r>
      <w:r>
        <w:t xml:space="preserve"> </w:t>
      </w:r>
      <w:r>
        <w:t xml:space="preserve">liability, or engage unintended targets that reshape its clinical profile. Pharmacokinetics and the</w:t>
      </w:r>
      <w:r>
        <w:t xml:space="preserve"> </w:t>
      </w:r>
      <w:r>
        <w:t xml:space="preserve">barrier itself, rather than target affinity, account for a large share of central attrition</w:t>
      </w:r>
      <w:r>
        <w:t xml:space="preserve"> </w:t>
      </w:r>
      <w:r>
        <w:t xml:space="preserve">(10), and the parameter that governs central action is not total brain concentration but</w:t>
      </w:r>
      <w:r>
        <w:t xml:space="preserve"> </w:t>
      </w:r>
      <w:r>
        <w:t xml:space="preserve">the unbound brain-to-plasma ratio (4). Answering</w:t>
      </w:r>
      <w:r>
        <w:t xml:space="preserve"> </w:t>
      </w:r>
      <w:r>
        <w:t xml:space="preserve">“will this molecule affect the brain, how, and</w:t>
      </w:r>
      <w:r>
        <w:t xml:space="preserve"> </w:t>
      </w:r>
      <w:r>
        <w:t xml:space="preserve">is it safe”</w:t>
      </w:r>
      <w:r>
        <w:t xml:space="preserve"> </w:t>
      </w:r>
      <w:r>
        <w:t xml:space="preserve">therefore means combining blood-brain-barrier (BBB) penetration, disease-relevant target</w:t>
      </w:r>
      <w:r>
        <w:t xml:space="preserve"> </w:t>
      </w:r>
      <w:r>
        <w:t xml:space="preserve">engagement, free-brain exposure, and safety into one readout. Property-based schemes such as CNS MPO</w:t>
      </w:r>
      <w:r>
        <w:t xml:space="preserve"> </w:t>
      </w:r>
      <w:r>
        <w:t xml:space="preserve">(11) score the first of these well but do not name a mechanism; single-endpoint QSAR models name</w:t>
      </w:r>
      <w:r>
        <w:t xml:space="preserve"> </w:t>
      </w:r>
      <w:r>
        <w:t xml:space="preserve">one mechanism but not exposure. Existing public tools typically address one of these axes in</w:t>
      </w:r>
      <w:r>
        <w:t xml:space="preserve"> </w:t>
      </w:r>
      <w:r>
        <w:t xml:space="preserve">isolation, and large language models, while fluent, fabricate measured identifiers and cannot supply</w:t>
      </w:r>
      <w:r>
        <w:t xml:space="preserve"> </w:t>
      </w:r>
      <w:r>
        <w:t xml:space="preserve">a calibrated, auditable answer.</w:t>
      </w:r>
    </w:p>
    <w:p>
      <w:pPr>
        <w:pStyle w:val="BodyText"/>
      </w:pPr>
      <w:r>
        <w:t xml:space="preserve">BrainSafe AI is a web server that unifies these axes for any user-supplied structure. Its design</w:t>
      </w:r>
      <w:r>
        <w:t xml:space="preserve"> </w:t>
      </w:r>
      <w:r>
        <w:t xml:space="preserve">priorities are three. First, every machine-learning endpoint is trained only on</w:t>
      </w:r>
      <w:r>
        <w:t xml:space="preserve"> </w:t>
      </w:r>
      <w:r>
        <w:rPr>
          <w:i/>
          <w:iCs/>
        </w:rPr>
        <w:t xml:space="preserve">measured</w:t>
      </w:r>
      <w:r>
        <w:t xml:space="preserve"> </w:t>
      </w:r>
      <w:r>
        <w:t xml:space="preserve">experimental data, never on qualitative annotation, so predictions are not circular. Second, every</w:t>
      </w:r>
      <w:r>
        <w:t xml:space="preserve"> </w:t>
      </w:r>
      <w:r>
        <w:t xml:space="preserve">prediction is reported with its uncertainty: a calibrated probability, an applicability-domain flag,</w:t>
      </w:r>
      <w:r>
        <w:t xml:space="preserve"> </w:t>
      </w:r>
      <w:r>
        <w:t xml:space="preserve">and the nearest measured analogue behind it, so the user always knows whether a number is</w:t>
      </w:r>
      <w:r>
        <w:t xml:space="preserve"> </w:t>
      </w:r>
      <w:r>
        <w:t xml:space="preserve">interpolation or extrapolation. Third, predictions are made mechanistically interpretable: individual</w:t>
      </w:r>
      <w:r>
        <w:t xml:space="preserve"> </w:t>
      </w:r>
      <w:r>
        <w:t xml:space="preserve">target engagements are traced through a curated target-to-pathway-to-disease knowledge graph into</w:t>
      </w:r>
      <w:r>
        <w:t xml:space="preserve"> </w:t>
      </w:r>
      <w:r>
        <w:t xml:space="preserve">per-disease relevance scores, filtered by predicted blood-brain-barrier exposure, so a result is an</w:t>
      </w:r>
      <w:r>
        <w:t xml:space="preserve"> </w:t>
      </w:r>
      <w:r>
        <w:t xml:space="preserve">explanation rather than a bare number.</w:t>
      </w:r>
    </w:p>
    <w:bookmarkEnd w:id="10"/>
    <w:bookmarkStart w:id="22" w:name="materials-and-methods"/>
    <w:p>
      <w:pPr>
        <w:pStyle w:val="Heading2"/>
      </w:pPr>
      <w:r>
        <w:t xml:space="preserve">Materials and Methods</w:t>
      </w:r>
    </w:p>
    <w:bookmarkStart w:id="11" w:name="Xdb3750f0fc85f3d78be7b9f10b15653ee97af2f"/>
    <w:p>
      <w:pPr>
        <w:pStyle w:val="Heading3"/>
      </w:pPr>
      <w:r>
        <w:t xml:space="preserve">Endpoint selection and scientific rationale</w:t>
      </w:r>
    </w:p>
    <w:p>
      <w:pPr>
        <w:pStyle w:val="FirstParagraph"/>
      </w:pPr>
      <w:r>
        <w:t xml:space="preserve">The endpoint panel is organised around the four sequential questions a CNS candidate must satisfy</w:t>
      </w:r>
      <w:r>
        <w:t xml:space="preserve"> </w:t>
      </w:r>
      <w:r>
        <w:t xml:space="preserve">(Figure 1).</w:t>
      </w:r>
      <w:r>
        <w:t xml:space="preserve"> </w:t>
      </w:r>
      <w:r>
        <w:rPr>
          <w:i/>
          <w:iCs/>
        </w:rPr>
        <w:t xml:space="preserve">Exposure</w:t>
      </w:r>
      <w:r>
        <w:t xml:space="preserve">: a molecule that reaches no free concentration in brain tissue cannot act</w:t>
      </w:r>
      <w:r>
        <w:t xml:space="preserve"> </w:t>
      </w:r>
      <w:r>
        <w:t xml:space="preserve">centrally however potent it is, so BBB penetration, the unbound brain-to-plasma ratio (K_p,uu), total</w:t>
      </w:r>
      <w:r>
        <w:t xml:space="preserve"> </w:t>
      </w:r>
      <w:r>
        <w:t xml:space="preserve">brain distribution (logBB), P-glycoprotein efflux and passive permeability are modelled first.</w:t>
      </w:r>
      <w:r>
        <w:t xml:space="preserve"> </w:t>
      </w:r>
      <w:r>
        <w:rPr>
          <w:i/>
          <w:iCs/>
        </w:rPr>
        <w:t xml:space="preserve">Target engagement</w:t>
      </w:r>
      <w:r>
        <w:t xml:space="preserve">: the panel covers the cholinergic axis (AChE, BChE, alpha-7 nicotinic receptor),</w:t>
      </w:r>
      <w:r>
        <w:t xml:space="preserve"> </w:t>
      </w:r>
      <w:r>
        <w:t xml:space="preserve">where acetylcholinesterase inhibition remains the mainstay symptomatic treatment in Alzheimer’s</w:t>
      </w:r>
      <w:r>
        <w:t xml:space="preserve"> </w:t>
      </w:r>
      <w:r>
        <w:t xml:space="preserve">disease (12), and the amyloid and tau axes (BACE1, GSK-3beta) (13); monoamine oxidase</w:t>
      </w:r>
      <w:r>
        <w:t xml:space="preserve"> </w:t>
      </w:r>
      <w:r>
        <w:t xml:space="preserve">B (14) and LRRK2 (15) for Parkinson’s disease; the serotonergic, dopaminergic,</w:t>
      </w:r>
      <w:r>
        <w:t xml:space="preserve"> </w:t>
      </w:r>
      <w:r>
        <w:t xml:space="preserve">noradrenergic, opioid, cannabinoid, histaminergic, adenosine and sigma-1 systems that underlie</w:t>
      </w:r>
      <w:r>
        <w:t xml:space="preserve"> </w:t>
      </w:r>
      <w:r>
        <w:t xml:space="preserve">depression, anxiety, psychosis, addiction, attention deficit, chronic pain and sleep regulation, the</w:t>
      </w:r>
      <w:r>
        <w:t xml:space="preserve"> </w:t>
      </w:r>
      <w:r>
        <w:t xml:space="preserve">last including the orexin receptors (16). Three axes are included because they are</w:t>
      </w:r>
      <w:r>
        <w:t xml:space="preserve"> </w:t>
      </w:r>
      <w:r>
        <w:t xml:space="preserve">mechanistically implicated across several neurodegenerative conditions rather than tied to one:</w:t>
      </w:r>
      <w:r>
        <w:t xml:space="preserve"> </w:t>
      </w:r>
      <w:r>
        <w:t xml:space="preserve">NLRP3-driven neuroinflammation (17), KEAP1-NRF2 antioxidant signalling (18), and</w:t>
      </w:r>
      <w:r>
        <w:t xml:space="preserve"> </w:t>
      </w:r>
      <w:r>
        <w:t xml:space="preserve">histone deacetylase activity, whose genetic removal modifies pathology in Huntington’s disease models</w:t>
      </w:r>
      <w:r>
        <w:t xml:space="preserve"> </w:t>
      </w:r>
      <w:r>
        <w:t xml:space="preserve">(19). Glutamatergic targets are included on the same basis, riluzole being the long-standing</w:t>
      </w:r>
      <w:r>
        <w:t xml:space="preserve"> </w:t>
      </w:r>
      <w:r>
        <w:t xml:space="preserve">example of an approved agent acting on that axis (20).</w:t>
      </w:r>
      <w:r>
        <w:t xml:space="preserve"> </w:t>
      </w:r>
      <w:r>
        <w:rPr>
          <w:i/>
          <w:iCs/>
        </w:rPr>
        <w:t xml:space="preserve">Safety</w:t>
      </w:r>
      <w:r>
        <w:t xml:space="preserve">: hERG blockade is a</w:t>
      </w:r>
      <w:r>
        <w:t xml:space="preserve"> </w:t>
      </w:r>
      <w:r>
        <w:t xml:space="preserve">leading cause of late-stage cardiovascular attrition through QT prolongation (21) and is</w:t>
      </w:r>
      <w:r>
        <w:t xml:space="preserve"> </w:t>
      </w:r>
      <w:r>
        <w:t xml:space="preserve">modelled as an explicit liability.</w:t>
      </w:r>
      <w:r>
        <w:t xml:space="preserve"> </w:t>
      </w:r>
      <w:r>
        <w:rPr>
          <w:i/>
          <w:iCs/>
        </w:rPr>
        <w:t xml:space="preserve">Developability</w:t>
      </w:r>
      <w:r>
        <w:t xml:space="preserve">: solubility, lipophilicity, plasma protein binding</w:t>
      </w:r>
      <w:r>
        <w:t xml:space="preserve"> </w:t>
      </w:r>
      <w:r>
        <w:t xml:space="preserve">and hepatocyte clearance determine whether an achievable dose sustains exposure, and a measured</w:t>
      </w:r>
      <w:r>
        <w:t xml:space="preserve"> </w:t>
      </w:r>
      <w:r>
        <w:t xml:space="preserve">antioxidant endpoint captures the oxidative-stress axis common to neurodegeneration.</w:t>
      </w:r>
    </w:p>
    <w:p>
      <w:pPr>
        <w:pStyle w:val="BodyText"/>
      </w:pPr>
      <w:r>
        <w:t xml:space="preserve">In total the server comprises 62 endpoints (53 molecular-target endpoints and 9 ADME endpoints),</w:t>
      </w:r>
      <w:r>
        <w:t xml:space="preserve"> </w:t>
      </w:r>
      <w:r>
        <w:t xml:space="preserve">realised as 69 trained models because four receptor targets are represented both as potency</w:t>
      </w:r>
      <w:r>
        <w:t xml:space="preserve"> </w:t>
      </w:r>
      <w:r>
        <w:t xml:space="preserve">regressions and as binder classifiers, and because a pKa regression and an antioxidant regression</w:t>
      </w:r>
      <w:r>
        <w:t xml:space="preserve"> </w:t>
      </w:r>
      <w:r>
        <w:t xml:space="preserve">support the CNS-likeness and neuroprotection axes. Two further endpoints were trained and withdrawn</w:t>
      </w:r>
      <w:r>
        <w:t xml:space="preserve"> </w:t>
      </w:r>
      <w:r>
        <w:t xml:space="preserve">after deployment testing and are not counted here; the reasons are given in the Results.</w:t>
      </w:r>
    </w:p>
    <w:bookmarkEnd w:id="11"/>
    <w:bookmarkStart w:id="12" w:name="training-data"/>
    <w:p>
      <w:pPr>
        <w:pStyle w:val="Heading3"/>
      </w:pPr>
      <w:r>
        <w:t xml:space="preserve">Training data</w:t>
      </w:r>
    </w:p>
    <w:p>
      <w:pPr>
        <w:pStyle w:val="FirstParagraph"/>
      </w:pPr>
      <w:r>
        <w:t xml:space="preserve">Protein-target activity is pooled from ChEMBL (1) (pChEMBL values) and BindingDB (2)</w:t>
      </w:r>
      <w:r>
        <w:t xml:space="preserve"> </w:t>
      </w:r>
      <w:r>
        <w:t xml:space="preserve">at the compound level; BBB penetration uses the B3DB database (3) augmented with FDA-curated</w:t>
      </w:r>
      <w:r>
        <w:t xml:space="preserve"> </w:t>
      </w:r>
      <w:r>
        <w:t xml:space="preserve">approved drugs; the antioxidant endpoint uses measured DPPH pIC50 values; and the nine ADME endpoints</w:t>
      </w:r>
      <w:r>
        <w:t xml:space="preserve"> </w:t>
      </w:r>
      <w:r>
        <w:t xml:space="preserve">use measured sets from Therapeutics Data Commons (22), MoleculeNet (23), B3DB and ChEMBL.</w:t>
      </w:r>
      <w:r>
        <w:t xml:space="preserve"> </w:t>
      </w:r>
      <w:r>
        <w:t xml:space="preserve">The full panel holds 227,146 measured compound-endpoint records over 193,536 unique compounds keyed</w:t>
      </w:r>
      <w:r>
        <w:t xml:space="preserve"> </w:t>
      </w:r>
      <w:r>
        <w:t xml:space="preserve">by the InChIKey of the desalted parent; the thirteen core target endpoints account for 76,850 of</w:t>
      </w:r>
      <w:r>
        <w:t xml:space="preserve"> </w:t>
      </w:r>
      <w:r>
        <w:t xml:space="preserve">those records. No value is imputed and no source overrides a measurement.</w:t>
      </w:r>
    </w:p>
    <w:p>
      <w:pPr>
        <w:pStyle w:val="BodyText"/>
      </w:pPr>
      <w:r>
        <w:t xml:space="preserve">These totals are sums across endpoints and are not the size of any training set. Each endpoint is</w:t>
      </w:r>
      <w:r>
        <w:t xml:space="preserve"> </w:t>
      </w:r>
      <w:r>
        <w:t xml:space="preserve">trained and cross-validated on its own measured set alone, and those sets span nearly two orders of</w:t>
      </w:r>
      <w:r>
        <w:t xml:space="preserve"> </w:t>
      </w:r>
      <w:r>
        <w:t xml:space="preserve">magnitude, from 234 compounds at GluA2 to 10,276 at hERG. A compound measured at several targets</w:t>
      </w:r>
      <w:r>
        <w:t xml:space="preserve"> </w:t>
      </w:r>
      <w:r>
        <w:t xml:space="preserve">contributes one record to each and is counted once per endpoint. Per-endpoint compound counts,</w:t>
      </w:r>
      <w:r>
        <w:t xml:space="preserve"> </w:t>
      </w:r>
      <w:r>
        <w:t xml:space="preserve">scaffold counts and class balance are given in Tables 1 to 3, and the complete per-endpoint</w:t>
      </w:r>
      <w:r>
        <w:t xml:space="preserve"> </w:t>
      </w:r>
      <w:r>
        <w:t xml:space="preserve">accounting is in the Supplementary training record.</w:t>
      </w:r>
    </w:p>
    <w:p>
      <w:pPr>
        <w:pStyle w:val="BodyText"/>
      </w:pPr>
      <w:r>
        <w:rPr>
          <w:b/>
          <w:bCs/>
        </w:rPr>
        <w:t xml:space="preserve">The negative class.</w:t>
      </w:r>
      <w:r>
        <w:t xml:space="preserve"> </w:t>
      </w:r>
      <w:r>
        <w:t xml:space="preserve">A public bioactivity record describes what was found to bind. A compound</w:t>
      </w:r>
      <w:r>
        <w:t xml:space="preserve"> </w:t>
      </w:r>
      <w:r>
        <w:t xml:space="preserve">assayed and found inactive is 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 conventional query, which filters on pChEMBL, discards precisely those</w:t>
      </w:r>
      <w:r>
        <w:t xml:space="preserve"> </w:t>
      </w:r>
      <w:r>
        <w:t xml:space="preserve">rows. Training on what survives that filter yields a positive class drawn from measurement and a</w:t>
      </w:r>
      <w:r>
        <w:t xml:space="preserve"> </w:t>
      </w:r>
      <w:r>
        <w:t xml:space="preserve">negative class drawn from property-matched decoys, and it left 35 of the 60 endpoints above 90 per</w:t>
      </w:r>
      <w:r>
        <w:t xml:space="preserve"> </w:t>
      </w:r>
      <w:r>
        <w:t xml:space="preserve">cent active, which is a property of the query rather than of the chemistry. A censored bound settles</w:t>
      </w:r>
      <w:r>
        <w:t xml:space="preserve"> </w:t>
      </w:r>
      <w:r>
        <w:t xml:space="preserve">a label whenever the entire interval it defines falls on one side of the activity cut:</w:t>
      </w:r>
      <w:r>
        <w:t xml:space="preserve"> </w:t>
      </w:r>
      <w:r>
        <w:rPr>
          <w:rStyle w:val="VerbatimChar"/>
        </w:rPr>
        <w:t xml:space="preserve">IC50 &gt; 10 uM</w:t>
      </w:r>
      <w:r>
        <w:t xml:space="preserve"> </w:t>
      </w:r>
      <w:r>
        <w:t xml:space="preserve">places the true potency strictly below pChEMBL 5.0 and is therefore a measured non-binder, whereas</w:t>
      </w:r>
      <w:r>
        <w:t xml:space="preserve"> </w:t>
      </w:r>
      <w:r>
        <w:rPr>
          <w:rStyle w:val="VerbatimChar"/>
        </w:rPr>
        <w:t xml:space="preserve">IC50 &gt; 100 nM</w:t>
      </w:r>
      <w:r>
        <w:t xml:space="preserve"> </w:t>
      </w:r>
      <w:r>
        <w:t xml:space="preserve">spans both classes and is discarded as undecidable rather than guessed at (Figure 5).</w:t>
      </w:r>
      <w:r>
        <w:t xml:space="preserve"> </w:t>
      </w:r>
      <w:r>
        <w:t xml:space="preserve">Applying this recovered 21,994 measured non-binders across 57 endpoints and reduced the endpoints</w:t>
      </w:r>
      <w:r>
        <w:t xml:space="preserve"> </w:t>
      </w:r>
      <w:r>
        <w:t xml:space="preserve">above 90 per cent active from 35 to 13. Bounds are never converted to potencies: a bound is used only</w:t>
      </w:r>
      <w:r>
        <w:t xml:space="preserve"> </w:t>
      </w:r>
      <w:r>
        <w:t xml:space="preserve">to assign a class, never as a value in any regression.</w:t>
      </w:r>
    </w:p>
    <w:bookmarkEnd w:id="12"/>
    <w:bookmarkStart w:id="13" w:name="methods-compared-and-model-selection"/>
    <w:p>
      <w:pPr>
        <w:pStyle w:val="Heading3"/>
      </w:pPr>
      <w:r>
        <w:t xml:space="preserve">Methods compared and model selection</w:t>
      </w:r>
    </w:p>
    <w:p>
      <w:pPr>
        <w:pStyle w:val="FirstParagraph"/>
      </w:pPr>
      <w:r>
        <w:t xml:space="preserve">Molecules are represented by a 1,024-bit ECFP-4 fingerprint (5) plus twelve interpretable</w:t>
      </w:r>
      <w:r>
        <w:t xml:space="preserve"> </w:t>
      </w:r>
      <w:r>
        <w:t xml:space="preserve">physicochemical descriptors (molecular weight, cLogP, topological polar surface area, hydrogen-bond</w:t>
      </w:r>
      <w:r>
        <w:t xml:space="preserve"> </w:t>
      </w:r>
      <w:r>
        <w:t xml:space="preserve">donors and acceptors, rotatable bonds, aromatic rings, fraction sp3, ring count, heavy-atom count,</w:t>
      </w:r>
      <w:r>
        <w:t xml:space="preserve"> </w:t>
      </w:r>
      <w:r>
        <w:t xml:space="preserve">formal charge, and QED drug-likeness), giving the 1,036-column vector shown in Figure 2. Five model</w:t>
      </w:r>
      <w:r>
        <w:t xml:space="preserve"> </w:t>
      </w:r>
      <w:r>
        <w:t xml:space="preserve">families were benchmarked under identical 5-fold cross-validation on both split regimes, on the</w:t>
      </w:r>
      <w:r>
        <w:t xml:space="preserve"> </w:t>
      </w:r>
      <w:r>
        <w:t xml:space="preserve">deduplicated matrix the deployed pipeline fits, using scikit-learn (24). Two are baselines a</w:t>
      </w:r>
      <w:r>
        <w:t xml:space="preserve"> </w:t>
      </w:r>
      <w:r>
        <w:t xml:space="preserve">reader is entitled to demand: a five-nearest-neighbour read-across on Tanimoto similarity, which is</w:t>
      </w:r>
      <w:r>
        <w:t xml:space="preserve"> </w:t>
      </w:r>
      <w:r>
        <w:t xml:space="preserve">what a medicinal chemist does by eye and which any model must beat to justify itself, and</w:t>
      </w:r>
      <w:r>
        <w:t xml:space="preserve"> </w:t>
      </w:r>
      <w:r>
        <w:t xml:space="preserve">L2-regularised logistic regression. Three are ensembles: a random forest (6), XGBoost</w:t>
      </w:r>
      <w:r>
        <w:t xml:space="preserve"> </w:t>
      </w:r>
      <w:r>
        <w:t xml:space="preserve">(25), and histogram gradient boosting.</w:t>
      </w:r>
    </w:p>
    <w:p>
      <w:pPr>
        <w:pStyle w:val="BodyText"/>
      </w:pPr>
      <w:r>
        <w:t xml:space="preserve">On the scaffold split the random forest gives the highest mean classifier AUROC, 0.9228, ahead of</w:t>
      </w:r>
      <w:r>
        <w:t xml:space="preserve"> </w:t>
      </w:r>
      <w:r>
        <w:t xml:space="preserve">histogram gradient boosting (0.9160), XGBoost (0.9144), the read-across (0.8844) and logistic</w:t>
      </w:r>
      <w:r>
        <w:t xml:space="preserve"> </w:t>
      </w:r>
      <w:r>
        <w:t xml:space="preserve">regression (0.8338). It exceeds the read-across on all eight classifier endpoints and all five</w:t>
      </w:r>
      <w:r>
        <w:t xml:space="preserve"> </w:t>
      </w:r>
      <w:r>
        <w:t xml:space="preserve">regression endpoints, and it is the single best classifier on seven of eight. The margin over the</w:t>
      </w:r>
      <w:r>
        <w:t xml:space="preserve"> </w:t>
      </w:r>
      <w:r>
        <w:t xml:space="preserve">boosted ensembles is small, 0.007 mean AUROC, and on regression the random forest is not the leader:</w:t>
      </w:r>
      <w:r>
        <w:t xml:space="preserve"> </w:t>
      </w:r>
      <w:r>
        <w:t xml:space="preserve">XGBoost and histogram gradient boosting reach mean scaffold R2 of 0.5453 and 0.5452 against 0.5186</w:t>
      </w:r>
      <w:r>
        <w:t xml:space="preserve"> </w:t>
      </w:r>
      <w:r>
        <w:t xml:space="preserve">for the random forest, an advantage of about 0.027 that holds on four of five endpoints.</w:t>
      </w:r>
    </w:p>
    <w:p>
      <w:pPr>
        <w:pStyle w:val="BodyText"/>
      </w:pPr>
      <w:r>
        <w:t xml:space="preserve">The random forest is therefore deployed for every endpoint as a considered choice rather than as a</w:t>
      </w:r>
      <w:r>
        <w:t xml:space="preserve"> </w:t>
      </w:r>
      <w:r>
        <w:t xml:space="preserve">clean win. It leads decisively where the panel’s principal claims are made, calibrates stably under</w:t>
      </w:r>
      <w:r>
        <w:t xml:space="preserve"> </w:t>
      </w:r>
      <w:r>
        <w:t xml:space="preserve">isotonic regression, supplies the out-of-bag vote distribution that the conformal layer consumes, is</w:t>
      </w:r>
      <w:r>
        <w:t xml:space="preserve"> </w:t>
      </w:r>
      <w:r>
        <w:t xml:space="preserve">interpretable through feature importance, and needs no GPU, which keeps the server lightweight. One</w:t>
      </w:r>
      <w:r>
        <w:t xml:space="preserve"> </w:t>
      </w:r>
      <w:r>
        <w:t xml:space="preserve">estimator across all endpoints also means a single well-characterised failure mode rather than five.</w:t>
      </w:r>
      <w:r>
        <w:t xml:space="preserve"> </w:t>
      </w:r>
      <w:r>
        <w:t xml:space="preserve">The cost of that uniformity is roughly 0.03 R2 on the potency regressions, and it is stated here</w:t>
      </w:r>
      <w:r>
        <w:t xml:space="preserve"> </w:t>
      </w:r>
      <w:r>
        <w:t xml:space="preserve">rather than left for a reader to discover.</w:t>
      </w:r>
    </w:p>
    <w:p>
      <w:pPr>
        <w:pStyle w:val="BodyText"/>
      </w:pPr>
      <w:r>
        <w:t xml:space="preserve">A graph isomorphism network trained directly on molecular graphs was compared against the random</w:t>
      </w:r>
      <w:r>
        <w:t xml:space="preserve"> </w:t>
      </w:r>
      <w:r>
        <w:t xml:space="preserve">forest on four endpoints during an earlier build of the panel (2026-07-21) and did not exceed it on</w:t>
      </w:r>
      <w:r>
        <w:t xml:space="preserve"> </w:t>
      </w:r>
      <w:r>
        <w:t xml:space="preserve">any of them. That comparison has not been repeated on the current models, so it is reported as</w:t>
      </w:r>
      <w:r>
        <w:t xml:space="preserve"> </w:t>
      </w:r>
      <w:r>
        <w:t xml:space="preserve">indicative of the representation question at this data scale rather than as a current result.</w:t>
      </w:r>
    </w:p>
    <w:bookmarkEnd w:id="13"/>
    <w:bookmarkStart w:id="14" w:name="cross-validation-design"/>
    <w:p>
      <w:pPr>
        <w:pStyle w:val="Heading3"/>
      </w:pPr>
      <w:r>
        <w:t xml:space="preserve">Cross-validation design</w:t>
      </w:r>
    </w:p>
    <w:p>
      <w:pPr>
        <w:pStyle w:val="FirstParagraph"/>
      </w:pPr>
      <w:r>
        <w:t xml:space="preserve">Every endpoint is evaluated by 10-fold cross-validation under two regimes (Figure 5a, 5b). In the</w:t>
      </w:r>
      <w:r>
        <w:t xml:space="preserve"> </w:t>
      </w:r>
      <w:r>
        <w:rPr>
          <w:b/>
          <w:bCs/>
        </w:rPr>
        <w:t xml:space="preserve">random</w:t>
      </w:r>
      <w:r>
        <w:t xml:space="preserve"> </w:t>
      </w:r>
      <w:r>
        <w:t xml:space="preserve">regime folds are drawn at random, so a test compound will usually have close analogues in</w:t>
      </w:r>
      <w:r>
        <w:t xml:space="preserve"> </w:t>
      </w:r>
      <w:r>
        <w:t xml:space="preserve">the training folds; this measures interpolation within known chemistry. In the</w:t>
      </w:r>
      <w:r>
        <w:t xml:space="preserve"> </w:t>
      </w:r>
      <w:r>
        <w:rPr>
          <w:b/>
          <w:bCs/>
        </w:rPr>
        <w:t xml:space="preserve">scaffold-grouped</w:t>
      </w:r>
      <w:r>
        <w:t xml:space="preserve"> </w:t>
      </w:r>
      <w:r>
        <w:t xml:space="preserve">regime folds are formed by GroupKFold over generic Bemis-Murcko scaffolds, so every compound sharing a</w:t>
      </w:r>
      <w:r>
        <w:t xml:space="preserve"> </w:t>
      </w:r>
      <w:r>
        <w:t xml:space="preserve">scaffold is assigned to the same fold and each fold holds out entire chemical series unseen during</w:t>
      </w:r>
      <w:r>
        <w:t xml:space="preserve"> </w:t>
      </w:r>
      <w:r>
        <w:t xml:space="preserve">training; this measures extrapolation to new chemotypes. Fold sizes are equal to within one compound in</w:t>
      </w:r>
      <w:r>
        <w:t xml:space="preserve"> </w:t>
      </w:r>
      <w:r>
        <w:t xml:space="preserve">both regimes, so the two are directly comparable. All reported means and standard deviations are across</w:t>
      </w:r>
      <w:r>
        <w:t xml:space="preserve"> </w:t>
      </w:r>
      <w:r>
        <w:t xml:space="preserve">the ten folds, and per-fold values for every endpoint are provided in the repository</w:t>
      </w:r>
      <w:r>
        <w:t xml:space="preserve"> </w:t>
      </w:r>
      <w:r>
        <w:t xml:space="preserve">(</w:t>
      </w:r>
      <w:r>
        <w:rPr>
          <w:rStyle w:val="VerbatimChar"/>
        </w:rPr>
        <w:t xml:space="preserve">results/tables/manuscript_T2_per_fold.csv</w:t>
      </w:r>
      <w:r>
        <w:t xml:space="preserve">,</w:t>
      </w:r>
      <w:r>
        <w:t xml:space="preserve"> </w:t>
      </w:r>
      <w:r>
        <w:rPr>
          <w:rStyle w:val="VerbatimChar"/>
        </w:rPr>
        <w:t xml:space="preserve">adme_cv_folds.csv</w:t>
      </w:r>
      <w:r>
        <w:t xml:space="preserve"> </w:t>
      </w:r>
      <w:r>
        <w:t xml:space="preserve">and</w:t>
      </w:r>
      <w:r>
        <w:t xml:space="preserve"> </w:t>
      </w:r>
      <w:r>
        <w:rPr>
          <w:rStyle w:val="VerbatimChar"/>
        </w:rPr>
        <w:t xml:space="preserve">binder_cv_folds.csv</w:t>
      </w:r>
      <w:r>
        <w:t xml:space="preserve">).</w:t>
      </w:r>
    </w:p>
    <w:p>
      <w:pPr>
        <w:pStyle w:val="BodyText"/>
      </w:pPr>
      <w:r>
        <w:t xml:space="preserve">Cross-validation here fits models in order to measure, not in order to deploy. Each endpoint is fitted</w:t>
      </w:r>
      <w:r>
        <w:t xml:space="preserve"> </w:t>
      </w:r>
      <w:r>
        <w:t xml:space="preserve">twenty times during evaluation, ten in each regime, and each of those twenty models is scored once on</w:t>
      </w:r>
      <w:r>
        <w:t xml:space="preserve"> </w:t>
      </w:r>
      <w:r>
        <w:t xml:space="preserve">the fold withheld from it and then discarded. The model that is served is a twenty-first, refitted on</w:t>
      </w:r>
      <w:r>
        <w:t xml:space="preserve"> </w:t>
      </w:r>
      <w:r>
        <w:t xml:space="preserve">the endpoint’s full set after the estimate is fixed, so no compound used to report a score was in the</w:t>
      </w:r>
      <w:r>
        <w:t xml:space="preserve"> </w:t>
      </w:r>
      <w:r>
        <w:t xml:space="preserve">training set of the model that scored it. The panel holds 71 cross-validated models over 67</w:t>
      </w:r>
      <w:r>
        <w:t xml:space="preserve"> </w:t>
      </w:r>
      <w:r>
        <w:t xml:space="preserve">endpoint names, four targets (D2, A2A, 5-HT2A and SERT) carrying both a potency regressor and a</w:t>
      </w:r>
      <w:r>
        <w:t xml:space="preserve"> </w:t>
      </w:r>
      <w:r>
        <w:t xml:space="preserve">binder classifier, so the evaluation comes to 71 x 2 x 10 = 1,420 fits standing behind the deployed</w:t>
      </w:r>
      <w:r>
        <w:t xml:space="preserve"> </w:t>
      </w:r>
      <w:r>
        <w:t xml:space="preserve">panel.</w:t>
      </w:r>
    </w:p>
    <w:p>
      <w:pPr>
        <w:pStyle w:val="BodyText"/>
      </w:pPr>
      <w:r>
        <w:t xml:space="preserve">A third, more demanding regime is also reported. In the</w:t>
      </w:r>
      <w:r>
        <w:t xml:space="preserve"> </w:t>
      </w:r>
      <w:r>
        <w:rPr>
          <w:b/>
          <w:bCs/>
        </w:rPr>
        <w:t xml:space="preserve">temporal</w:t>
      </w:r>
      <w:r>
        <w:t xml:space="preserve"> </w:t>
      </w:r>
      <w:r>
        <w:t xml:space="preserve">split the model is trained only on</w:t>
      </w:r>
      <w:r>
        <w:t xml:space="preserve"> </w:t>
      </w:r>
      <w:r>
        <w:t xml:space="preserve">compounds published before a cutoff year and tested on compounds published after it (Table 5), which is</w:t>
      </w:r>
      <w:r>
        <w:t xml:space="preserve"> </w:t>
      </w:r>
      <w:r>
        <w:t xml:space="preserve">the closest available analogue of prospective use. Aggregate performance falls in this regime:</w:t>
      </w:r>
      <w:r>
        <w:t xml:space="preserve"> </w:t>
      </w:r>
      <w:r>
        <w:t xml:space="preserve">classifier AUROC averages 0.752 (range 0.611 to 0.908) against 0.919 under the scaffold split, and the</w:t>
      </w:r>
      <w:r>
        <w:t xml:space="preserve"> </w:t>
      </w:r>
      <w:r>
        <w:t xml:space="preserve">receptor potency regressions average R2 0.134. Because this figure determines how the tool should be</w:t>
      </w:r>
      <w:r>
        <w:t xml:space="preserve"> </w:t>
      </w:r>
      <w:r>
        <w:t xml:space="preserve">used, we investigated its cause rather than simply reporting it (next section).</w:t>
      </w:r>
    </w:p>
    <w:bookmarkEnd w:id="14"/>
    <w:bookmarkStart w:id="15" w:name="Xc932068ed470fd329ee98e71143b67fc93d3958"/>
    <w:p>
      <w:pPr>
        <w:pStyle w:val="Heading3"/>
      </w:pPr>
      <w:r>
        <w:t xml:space="preserve">What limits prospective performance, and how the server handles it</w:t>
      </w:r>
    </w:p>
    <w:p>
      <w:pPr>
        <w:pStyle w:val="FirstParagraph"/>
      </w:pPr>
      <w:r>
        <w:t xml:space="preserve">We tested four candidate explanations for the temporal drop.</w:t>
      </w:r>
    </w:p>
    <w:p>
      <w:pPr>
        <w:pStyle w:val="BodyText"/>
      </w:pPr>
      <w:r>
        <w:rPr>
          <w:i/>
          <w:iCs/>
        </w:rPr>
        <w:t xml:space="preserve">Range restriction.</w:t>
      </w:r>
      <w:r>
        <w:t xml:space="preserve"> </w:t>
      </w:r>
      <w:r>
        <w:t xml:space="preserve">R2 is normalised by the variance of the test set, so a narrowing potency window</w:t>
      </w:r>
      <w:r>
        <w:t xml:space="preserve"> </w:t>
      </w:r>
      <w:r>
        <w:t xml:space="preserve">over time would depress R2 without any loss of accuracy. This is refuted: the variance of the future</w:t>
      </w:r>
      <w:r>
        <w:t xml:space="preserve"> </w:t>
      </w:r>
      <w:r>
        <w:t xml:space="preserve">test set is equal to or larger than that of the training set for every regression endpoint (variance</w:t>
      </w:r>
      <w:r>
        <w:t xml:space="preserve"> </w:t>
      </w:r>
      <w:r>
        <w:t xml:space="preserve">ratio 0.92 to 1.89). The low R2 is not a normalisation artifact.</w:t>
      </w:r>
    </w:p>
    <w:p>
      <w:pPr>
        <w:pStyle w:val="BodyText"/>
      </w:pPr>
      <w:r>
        <w:rPr>
          <w:i/>
          <w:iCs/>
        </w:rPr>
        <w:t xml:space="preserve">Reduced training data.</w:t>
      </w:r>
      <w:r>
        <w:t xml:space="preserve"> </w:t>
      </w:r>
      <w:r>
        <w:t xml:space="preserve">The temporal model is fitted on the pre-cutoff subset only. Refitting on a</w:t>
      </w:r>
      <w:r>
        <w:t xml:space="preserve"> </w:t>
      </w:r>
      <w:r>
        <w:t xml:space="preserve">random subset of the same size recovers R2 0.59 to 0.65 and rank correlation 0.76 to 0.80, so the loss</w:t>
      </w:r>
      <w:r>
        <w:t xml:space="preserve"> </w:t>
      </w:r>
      <w:r>
        <w:t xml:space="preserve">is caused by temporal distribution shift and not by sample size.</w:t>
      </w:r>
    </w:p>
    <w:p>
      <w:pPr>
        <w:pStyle w:val="BodyText"/>
      </w:pPr>
      <w:r>
        <w:rPr>
          <w:i/>
          <w:iCs/>
        </w:rPr>
        <w:t xml:space="preserve">Recency weighting.</w:t>
      </w:r>
      <w:r>
        <w:t xml:space="preserve"> </w:t>
      </w:r>
      <w:r>
        <w:t xml:space="preserve">Exponentially up-weighting recent training compounds changed classifier AUROC by a</w:t>
      </w:r>
      <w:r>
        <w:t xml:space="preserve"> </w:t>
      </w:r>
      <w:r>
        <w:t xml:space="preserve">mean of only +0.004 and did not help the regressions, so drift is not a simple recency effect.</w:t>
      </w:r>
    </w:p>
    <w:p>
      <w:pPr>
        <w:pStyle w:val="BodyText"/>
      </w:pPr>
      <w:r>
        <w:rPr>
          <w:i/>
          <w:iCs/>
        </w:rPr>
        <w:t xml:space="preserve">Applicability domain.</w:t>
      </w:r>
      <w:r>
        <w:t xml:space="preserve"> </w:t>
      </w:r>
      <w:r>
        <w:t xml:space="preserve">This is the explanation that holds. Stratifying future compounds by their</w:t>
      </w:r>
      <w:r>
        <w:t xml:space="preserve"> </w:t>
      </w:r>
      <w:r>
        <w:t xml:space="preserve">maximum Tanimoto similarity to the training set (Figure 7) separates the aggregate figure into two very</w:t>
      </w:r>
      <w:r>
        <w:t xml:space="preserve"> </w:t>
      </w:r>
      <w:r>
        <w:t xml:space="preserve">different regimes. For future compounds that fall</w:t>
      </w:r>
      <w:r>
        <w:t xml:space="preserve"> </w:t>
      </w:r>
      <w:r>
        <w:rPr>
          <w:b/>
          <w:bCs/>
        </w:rPr>
        <w:t xml:space="preserve">inside</w:t>
      </w:r>
      <w:r>
        <w:t xml:space="preserve"> </w:t>
      </w:r>
      <w:r>
        <w:t xml:space="preserve">the domain the classifiers retain a mean</w:t>
      </w:r>
      <w:r>
        <w:t xml:space="preserve"> </w:t>
      </w:r>
      <w:r>
        <w:t xml:space="preserve">AUROC of</w:t>
      </w:r>
      <w:r>
        <w:t xml:space="preserve"> </w:t>
      </w:r>
      <w:r>
        <w:rPr>
          <w:b/>
          <w:bCs/>
        </w:rPr>
        <w:t xml:space="preserve">0.827</w:t>
      </w:r>
      <w:r>
        <w:t xml:space="preserve"> </w:t>
      </w:r>
      <w:r>
        <w:t xml:space="preserve">and the potency models a mean rank correlation of</w:t>
      </w:r>
      <w:r>
        <w:t xml:space="preserve"> </w:t>
      </w:r>
      <w:r>
        <w:rPr>
          <w:b/>
          <w:bCs/>
        </w:rPr>
        <w:t xml:space="preserve">0.56</w:t>
      </w:r>
      <w:r>
        <w:t xml:space="preserve">; in the intermediate band</w:t>
      </w:r>
      <w:r>
        <w:t xml:space="preserve"> </w:t>
      </w:r>
      <w:r>
        <w:t xml:space="preserve">these fall to 0.742 and 0.30; and</w:t>
      </w:r>
      <w:r>
        <w:t xml:space="preserve"> </w:t>
      </w:r>
      <w:r>
        <w:rPr>
          <w:b/>
          <w:bCs/>
        </w:rPr>
        <w:t xml:space="preserve">outside</w:t>
      </w:r>
      <w:r>
        <w:t xml:space="preserve"> </w:t>
      </w:r>
      <w:r>
        <w:t xml:space="preserve">the domain the classifiers approach chance (</w:t>
      </w:r>
      <w:r>
        <w:rPr>
          <w:b/>
          <w:bCs/>
        </w:rPr>
        <w:t xml:space="preserve">0.573</w:t>
      </w:r>
      <w:r>
        <w:t xml:space="preserve">) and</w:t>
      </w:r>
      <w:r>
        <w:t xml:space="preserve"> </w:t>
      </w:r>
      <w:r>
        <w:t xml:space="preserve">the potency models retain essentially no rank information (0.06). The aggregate temporal number is</w:t>
      </w:r>
      <w:r>
        <w:t xml:space="preserve"> </w:t>
      </w:r>
      <w:r>
        <w:t xml:space="preserve">therefore a mixture of a usable regime and an uninformative one, and the ratio between them is decided</w:t>
      </w:r>
      <w:r>
        <w:t xml:space="preserve"> </w:t>
      </w:r>
      <w:r>
        <w:t xml:space="preserve">by a quantity the server can compute at query time.</w:t>
      </w:r>
    </w:p>
    <w:p>
      <w:pPr>
        <w:pStyle w:val="BodyText"/>
      </w:pPr>
      <w:r>
        <w:t xml:space="preserve">The server acts on this rather than merely disclosing it. Every result opens with a reliability</w:t>
      </w:r>
      <w:r>
        <w:t xml:space="preserve"> </w:t>
      </w:r>
      <w:r>
        <w:t xml:space="preserve">statement that places the query in one of the three regimes and quotes the measured prospective</w:t>
      </w:r>
      <w:r>
        <w:t xml:space="preserve"> </w:t>
      </w:r>
      <w:r>
        <w:t xml:space="preserve">performance for that regime, so a user is told, before reading any number, how much of it to believe.</w:t>
      </w:r>
      <w:r>
        <w:t xml:space="preserve"> </w:t>
      </w:r>
      <w:r>
        <w:t xml:space="preserve">This converts the applicability domain from a caveat into an operational safeguard, and it is the</w:t>
      </w:r>
      <w:r>
        <w:t xml:space="preserve"> </w:t>
      </w:r>
      <w:r>
        <w:t xml:space="preserve">reason the receptor targets are deployed as binder classifiers rather than as potency regressions.</w:t>
      </w:r>
      <w:r>
        <w:t xml:space="preserve"> </w:t>
      </w:r>
      <w:r>
        <w:t xml:space="preserve">Rank correlation is reported alongside R2 for the regression endpoints because ranking, not absolute</w:t>
      </w:r>
      <w:r>
        <w:t xml:space="preserve"> </w:t>
      </w:r>
      <w:r>
        <w:t xml:space="preserve">potency, is the decision-relevant quantity for triage.</w:t>
      </w:r>
    </w:p>
    <w:bookmarkEnd w:id="15"/>
    <w:bookmarkStart w:id="16" w:name="why-the-scaffold-error-bars-are-larger"/>
    <w:p>
      <w:pPr>
        <w:pStyle w:val="Heading3"/>
      </w:pPr>
      <w:r>
        <w:t xml:space="preserve">Why the scaffold error bars are larger</w:t>
      </w:r>
    </w:p>
    <w:p>
      <w:pPr>
        <w:pStyle w:val="FirstParagraph"/>
      </w:pPr>
      <w:r>
        <w:t xml:space="preserve">The standard deviation reported with each endpoint mixes two distinct sources. The first is</w:t>
      </w:r>
      <w:r>
        <w:t xml:space="preserve"> </w:t>
      </w:r>
      <w:r>
        <w:rPr>
          <w:i/>
          <w:iCs/>
        </w:rPr>
        <w:t xml:space="preserve">sampling</w:t>
      </w:r>
      <w:r>
        <w:rPr>
          <w:i/>
          <w:iCs/>
        </w:rPr>
        <w:t xml:space="preserve"> </w:t>
      </w:r>
      <w:r>
        <w:rPr>
          <w:i/>
          <w:iCs/>
        </w:rPr>
        <w:t xml:space="preserve">noise</w:t>
      </w:r>
      <w:r>
        <w:t xml:space="preserve">: each fold metric is computed on a finite test set and carries its own standard error even if</w:t>
      </w:r>
      <w:r>
        <w:t xml:space="preserve"> </w:t>
      </w:r>
      <w:r>
        <w:t xml:space="preserve">every fold were equally difficult. The second is</w:t>
      </w:r>
      <w:r>
        <w:t xml:space="preserve"> </w:t>
      </w:r>
      <w:r>
        <w:rPr>
          <w:i/>
          <w:iCs/>
        </w:rPr>
        <w:t xml:space="preserve">fold heterogeneity</w:t>
      </w:r>
      <w:r>
        <w:t xml:space="preserve">: genuine variation in how hard</w:t>
      </w:r>
      <w:r>
        <w:t xml:space="preserve"> </w:t>
      </w:r>
      <w:r>
        <w:t xml:space="preserve">each held-out fold is. For k folds with observed fold metrics m_i these combine as</w:t>
      </w:r>
    </w:p>
    <w:p>
      <w:pPr>
        <w:pStyle w:val="SourceCode"/>
      </w:pPr>
      <w:r>
        <w:rPr>
          <w:rStyle w:val="VerbatimChar"/>
        </w:rPr>
        <w:t xml:space="preserve">Var_between(m) = Var_heterogeneity + mean_i Var_sampling(m_i)</w:t>
      </w:r>
    </w:p>
    <w:p>
      <w:pPr>
        <w:pStyle w:val="FirstParagraph"/>
      </w:pPr>
      <w:r>
        <w:t xml:space="preserve">so the heterogeneity component is recovered by subtraction, with Var_sampling estimated by</w:t>
      </w:r>
      <w:r>
        <w:t xml:space="preserve"> </w:t>
      </w:r>
      <w:r>
        <w:t xml:space="preserve">bootstrapping within each fold’s own test set (400 resamples). Applying this decomposition to every</w:t>
      </w:r>
      <w:r>
        <w:t xml:space="preserve"> </w:t>
      </w:r>
      <w:r>
        <w:t xml:space="preserve">endpoint (Figure 5c, Table 4) shows a clear separation. Under the random split a mean of 15% of the</w:t>
      </w:r>
      <w:r>
        <w:t xml:space="preserve"> </w:t>
      </w:r>
      <w:r>
        <w:t xml:space="preserve">between-fold variance is heterogeneity (median 8%, and indistinguishable from zero for six of thirteen</w:t>
      </w:r>
      <w:r>
        <w:t xml:space="preserve"> </w:t>
      </w:r>
      <w:r>
        <w:t xml:space="preserve">endpoints), confirming that folds are statistically exchangeable and the error bar is essentially pure</w:t>
      </w:r>
      <w:r>
        <w:t xml:space="preserve"> </w:t>
      </w:r>
      <w:r>
        <w:t xml:space="preserve">sampling noise. Under the scaffold split a mean of 71% of the variance is genuine heterogeneity (range</w:t>
      </w:r>
      <w:r>
        <w:t xml:space="preserve"> </w:t>
      </w:r>
      <w:r>
        <w:t xml:space="preserve">53% to 92%).</w:t>
      </w:r>
    </w:p>
    <w:p>
      <w:pPr>
        <w:pStyle w:val="BodyText"/>
      </w:pPr>
      <w:r>
        <w:t xml:space="preserve">The wider scaffold error bar is therefore not model instability, and it is not a defect of the</w:t>
      </w:r>
      <w:r>
        <w:t xml:space="preserve"> </w:t>
      </w:r>
      <w:r>
        <w:t xml:space="preserve">protocol: it is a measurement of how much predictive performance depends on which chemical series is</w:t>
      </w:r>
      <w:r>
        <w:t xml:space="preserve"> </w:t>
      </w:r>
      <w:r>
        <w:t xml:space="preserve">being queried. Endpoints with the largest heterogeneity share (hERG 90%, BBB 92%, SERT 89%) are those</w:t>
      </w:r>
      <w:r>
        <w:t xml:space="preserve"> </w:t>
      </w:r>
      <w:r>
        <w:t xml:space="preserve">whose training data spans the most disconnected chemical space, and they are precisely the endpoints</w:t>
      </w:r>
      <w:r>
        <w:t xml:space="preserve"> </w:t>
      </w:r>
      <w:r>
        <w:t xml:space="preserve">for which an applicability-domain flag matters most. This result is the empirical justification for</w:t>
      </w:r>
      <w:r>
        <w:t xml:space="preserve"> </w:t>
      </w:r>
      <w:r>
        <w:t xml:space="preserve">reporting a per-endpoint domain flag with every prediction rather than a single global confidence.</w:t>
      </w:r>
    </w:p>
    <w:bookmarkEnd w:id="16"/>
    <w:bookmarkStart w:id="17" w:name="decoy-aware-binder-classifiers"/>
    <w:p>
      <w:pPr>
        <w:pStyle w:val="Heading3"/>
      </w:pPr>
      <w:r>
        <w:t xml:space="preserve">Decoy-aware binder classifiers</w:t>
      </w:r>
    </w:p>
    <w:p>
      <w:pPr>
        <w:pStyle w:val="FirstParagraph"/>
      </w:pPr>
      <w:r>
        <w:t xml:space="preserve">The receptor, transporter and kinase targets are reported in ChEMBL almost entirely as actives (82% to</w:t>
      </w:r>
      <w:r>
        <w:t xml:space="preserve"> </w:t>
      </w:r>
      <w:r>
        <w:t xml:space="preserve">99% of records), so a naive potency regressor learns to predict the training median for any input and</w:t>
      </w:r>
      <w:r>
        <w:t xml:space="preserve"> </w:t>
      </w:r>
      <w:r>
        <w:t xml:space="preserve">cannot discriminate a real binder from an arbitrary molecule. We therefore model each as a</w:t>
      </w:r>
      <w:r>
        <w:t xml:space="preserve"> </w:t>
      </w:r>
      <w:r>
        <w:t xml:space="preserve">binder-versus-decoy classifier: positives are measured binders (pChEMBL &gt;= 7); negatives are</w:t>
      </w:r>
      <w:r>
        <w:t xml:space="preserve"> </w:t>
      </w:r>
      <w:r>
        <w:t xml:space="preserve">property-matched decoys sampled from a 158,890-compound background library with a maximum ECFP-4</w:t>
      </w:r>
      <w:r>
        <w:t xml:space="preserve"> </w:t>
      </w:r>
      <w:r>
        <w:t xml:space="preserve">Tanimoto below 0.35 to any positive, so the model must learn structure rather than a similarity</w:t>
      </w:r>
      <w:r>
        <w:t xml:space="preserve"> </w:t>
      </w:r>
      <w:r>
        <w:t xml:space="preserve">shortcut. Decoys are drawn only from the 95,515-compound decoy pool, one of three disjoint</w:t>
      </w:r>
      <w:r>
        <w:t xml:space="preserve"> </w:t>
      </w:r>
      <w:r>
        <w:t xml:space="preserve">partitions of that library (Figure 4A); the other two carry the threshold and the evaluation sets,</w:t>
      </w:r>
      <w:r>
        <w:t xml:space="preserve"> </w:t>
      </w:r>
      <w:r>
        <w:t xml:space="preserve">so no compound used to train a classifier can later be used to set or to test its threshold. Each classifier is a compact random forest with prefit sigmoid calibration (26), which is used</w:t>
      </w:r>
      <w:r>
        <w:t xml:space="preserve"> </w:t>
      </w:r>
      <w:r>
        <w:t xml:space="preserve">in place of isotonic regression here because the withheld set for a binder endpoint is often too</w:t>
      </w:r>
      <w:r>
        <w:t xml:space="preserve"> </w:t>
      </w:r>
      <w:r>
        <w:t xml:space="preserve">small to fit a step function without overfitting it. Decoy-based validation is reported here only for completeness; the figures the panel is judged on</w:t>
      </w:r>
      <w:r>
        <w:t xml:space="preserve"> </w:t>
      </w:r>
      <w:r>
        <w:t xml:space="preserve">are those against measured non-binders in the next section, because an AUROC against decoys measures</w:t>
      </w:r>
      <w:r>
        <w:t xml:space="preserve"> </w:t>
      </w:r>
      <w:r>
        <w:t xml:space="preserve">separation from chemistry chosen to be dissimilar and is inflated by that choice.</w:t>
      </w:r>
    </w:p>
    <w:bookmarkEnd w:id="17"/>
    <w:bookmarkStart w:id="18" w:name="Xf99680f880412cfe40b0aacfb5b797db77bf7be"/>
    <w:p>
      <w:pPr>
        <w:pStyle w:val="Heading3"/>
      </w:pPr>
      <w:r>
        <w:t xml:space="preserve">Validation against experimentally measured inactives, and threshold calibration</w:t>
      </w:r>
    </w:p>
    <w:p>
      <w:pPr>
        <w:pStyle w:val="FirstParagraph"/>
      </w:pPr>
      <w:r>
        <w:t xml:space="preserve">Decoy-based validation is convenient but circular in an important sense: negatives are defined by</w:t>
      </w:r>
      <w:r>
        <w:t xml:space="preserve"> </w:t>
      </w:r>
      <w:r>
        <w:t xml:space="preserve">structural dissimilarity, so a high AUROC may only demonstrate that the model recognises the chemical</w:t>
      </w:r>
      <w:r>
        <w:t xml:space="preserve"> </w:t>
      </w:r>
      <w:r>
        <w:t xml:space="preserve">neighbourhood of a target’s ligand series. We therefore tested every binder model against a negative</w:t>
      </w:r>
      <w:r>
        <w:t xml:space="preserve"> </w:t>
      </w:r>
      <w:r>
        <w:t xml:space="preserve">set it had never seen and that carries experimental authority: compounds measured against the same</w:t>
      </w:r>
      <w:r>
        <w:t xml:space="preserve"> </w:t>
      </w:r>
      <w:r>
        <w:t xml:space="preserve">target and found inactive (pChEMBL below 5). These compounds are present in our own endpoint tables</w:t>
      </w:r>
      <w:r>
        <w:t xml:space="preserve"> </w:t>
      </w:r>
      <w:r>
        <w:t xml:space="preserve">and are excluded from binder-model training by construction.</w:t>
      </w:r>
    </w:p>
    <w:p>
      <w:pPr>
        <w:pStyle w:val="BodyText"/>
      </w:pPr>
      <w:r>
        <w:t xml:space="preserve">Two findings follow. First, the ranking is genuine. Across 34 targets with sufficient measured</w:t>
      </w:r>
      <w:r>
        <w:t xml:space="preserve"> </w:t>
      </w:r>
      <w:r>
        <w:t xml:space="preserve">inactives the mean AUROC of measured binders against held-out measured inactives is 0.956, no target falls</w:t>
      </w:r>
      <w:r>
        <w:t xml:space="preserve"> </w:t>
      </w:r>
      <w:r>
        <w:t xml:space="preserve">below 0.88, and the mean difference from the near-miss decoy estimate is only +0.028. The concern that</w:t>
      </w:r>
      <w:r>
        <w:t xml:space="preserve"> </w:t>
      </w:r>
      <w:r>
        <w:t xml:space="preserve">the models solve a merely lexical task is therefore not supported.</w:t>
      </w:r>
    </w:p>
    <w:p>
      <w:pPr>
        <w:pStyle w:val="BodyText"/>
      </w:pPr>
      <w:r>
        <w:t xml:space="preserve">Second, the decision threshold was wrong. At the conventional 0.5 cut, a large fraction of</w:t>
      </w:r>
      <w:r>
        <w:t xml:space="preserve"> </w:t>
      </w:r>
      <w:r>
        <w:t xml:space="preserve">experimentally confirmed inactives is called a binder, reaching 81% for HDAC1 and exceeding 50% for</w:t>
      </w:r>
      <w:r>
        <w:t xml:space="preserve"> </w:t>
      </w:r>
      <w:r>
        <w:t xml:space="preserve">several other targets, because the property-matched decoys are easier to reject than genuine tested</w:t>
      </w:r>
      <w:r>
        <w:t xml:space="preserve"> </w:t>
      </w:r>
      <w:r>
        <w:t xml:space="preserve">non-binders and the calibration inherits that optimism. Ranking quality and threshold quality are</w:t>
      </w:r>
      <w:r>
        <w:t xml:space="preserve"> </w:t>
      </w:r>
      <w:r>
        <w:t xml:space="preserve">distinct, and only the former is captured by AUROC. We therefore set each target’s operating point on</w:t>
      </w:r>
      <w:r>
        <w:t xml:space="preserve"> </w:t>
      </w:r>
      <w:r>
        <w:t xml:space="preserve">its measured inactives, choosing the threshold at which 10% of them would be called binders. Across</w:t>
      </w:r>
      <w:r>
        <w:t xml:space="preserve"> </w:t>
      </w:r>
      <w:r>
        <w:t xml:space="preserve">the panel this yields a mean false-positive rate of 0.11 and a mean sensitivity of 0.88 (Table 2).</w:t>
      </w:r>
      <w:r>
        <w:t xml:space="preserve"> </w:t>
      </w:r>
      <w:r>
        <w:t xml:space="preserve">Two targets, KEAP1 and melatonin MT1, initially retained a sensitivity below 0.6 at that operating</w:t>
      </w:r>
      <w:r>
        <w:t xml:space="preserve"> </w:t>
      </w:r>
      <w:r>
        <w:t xml:space="preserve">point. Adding the measured inactives to training as hard negatives raised KEAP1 from 0.33 to 0.83 and</w:t>
      </w:r>
      <w:r>
        <w:t xml:space="preserve"> </w:t>
      </w:r>
      <w:r>
        <w:t xml:space="preserve">MT1 from 0.52 to 0.78, and no target now falls below the reliability threshold. The server retains the</w:t>
      </w:r>
      <w:r>
        <w:t xml:space="preserve"> </w:t>
      </w:r>
      <w:r>
        <w:t xml:space="preserve">machinery to mark a low-sensitivity target as possibly under-called should future data reintroduce one.</w:t>
      </w:r>
    </w:p>
    <w:bookmarkEnd w:id="18"/>
    <w:bookmarkStart w:id="19" w:name="Xeac9790db44cdbb0a11f38f1f27dc183961d353"/>
    <w:p>
      <w:pPr>
        <w:pStyle w:val="Heading3"/>
      </w:pPr>
      <w:r>
        <w:t xml:space="preserve">Calibration, applicability domain and exposure</w:t>
      </w:r>
    </w:p>
    <w:p>
      <w:pPr>
        <w:pStyle w:val="FirstParagraph"/>
      </w:pPr>
      <w:r>
        <w:t xml:space="preserve">Every classifier is isotonically calibrated (8) on out-of-fold predictions, so the</w:t>
      </w:r>
      <w:r>
        <w:t xml:space="preserve"> </w:t>
      </w:r>
      <w:r>
        <w:t xml:space="preserve">calibrator never sees a compound in its own fit; mean expected calibration error falls from 0.0795</w:t>
      </w:r>
      <w:r>
        <w:t xml:space="preserve"> </w:t>
      </w:r>
      <w:r>
        <w:t xml:space="preserve">to 0.0161 (Figure 6A). Each prediction additionally carries a Mondrian conformal interval, which</w:t>
      </w:r>
      <w:r>
        <w:t xml:space="preserve"> </w:t>
      </w:r>
      <w:r>
        <w:t xml:space="preserve">turns the applicability domain from a caveat into a coverage statement (27); empirical</w:t>
      </w:r>
      <w:r>
        <w:t xml:space="preserve"> </w:t>
      </w:r>
      <w:r>
        <w:t xml:space="preserve">coverage is 0.887 to 0.920 against a 0.90 target. For every prediction the server also computes the</w:t>
      </w:r>
      <w:r>
        <w:t xml:space="preserve"> </w:t>
      </w:r>
      <w:r>
        <w:t xml:space="preserve">maximum ECFP-4 Tanimoto similarity of the query to each endpoint’s own measured chemistry, a</w:t>
      </w:r>
      <w:r>
        <w:t xml:space="preserve"> </w:t>
      </w:r>
      <w:r>
        <w:t xml:space="preserve">nearest-neighbour definition of the applicability domain (28), and reports an endpoint-specific</w:t>
      </w:r>
      <w:r>
        <w:t xml:space="preserve"> </w:t>
      </w:r>
      <w:r>
        <w:t xml:space="preserve">in-domain, near-domain or out-of-domain flag together with the nearest measured analogue and its</w:t>
      </w:r>
      <w:r>
        <w:t xml:space="preserve"> </w:t>
      </w:r>
      <w:r>
        <w:t xml:space="preserve">structure. The ADME layer</w:t>
      </w:r>
      <w:r>
        <w:t xml:space="preserve"> </w:t>
      </w:r>
      <w:r>
        <w:t xml:space="preserve">provides a free-brain-exposure verdict; on known drugs this correctly separates central compounds</w:t>
      </w:r>
      <w:r>
        <w:t xml:space="preserve"> </w:t>
      </w:r>
      <w:r>
        <w:t xml:space="preserve">(diazepam K_p,uu 0.94, donepezil 0.84) from peripheral or efflux-limited ones (atenolol 0.07,</w:t>
      </w:r>
      <w:r>
        <w:t xml:space="preserve"> </w:t>
      </w:r>
      <w:r>
        <w:t xml:space="preserve">loperamide 0.04).</w:t>
      </w:r>
    </w:p>
    <w:bookmarkEnd w:id="19"/>
    <w:bookmarkStart w:id="20" w:name="X74bdf2fb4c8d873f9c02d11851d44a9a38dc3c6"/>
    <w:p>
      <w:pPr>
        <w:pStyle w:val="Heading3"/>
      </w:pPr>
      <w:r>
        <w:t xml:space="preserve">Base-rate enrichment and the knowledge graph</w:t>
      </w:r>
    </w:p>
    <w:p>
      <w:pPr>
        <w:pStyle w:val="FirstParagraph"/>
      </w:pPr>
      <w:r>
        <w:t xml:space="preserve">Because several classifier training sets are active-heavy (BACE1 91%, GSK-3beta 93% positive), a raw</w:t>
      </w:r>
      <w:r>
        <w:t xml:space="preserve"> </w:t>
      </w:r>
      <w:r>
        <w:t xml:space="preserve">calibrated probability is not evidence of engagement unless it exceeds the base rate. The server</w:t>
      </w:r>
      <w:r>
        <w:t xml:space="preserve"> </w:t>
      </w:r>
      <w:r>
        <w:t xml:space="preserve">therefore scores each target by its</w:t>
      </w:r>
      <w:r>
        <w:t xml:space="preserve"> </w:t>
      </w:r>
      <w:r>
        <w:rPr>
          <w:i/>
          <w:iCs/>
        </w:rPr>
        <w:t xml:space="preserve">enrichment</w:t>
      </w:r>
      <w:r>
        <w:t xml:space="preserve"> </w:t>
      </w:r>
      <w:r>
        <w:t xml:space="preserve">over the endpoint base rate, and each receptor by its</w:t>
      </w:r>
      <w:r>
        <w:t xml:space="preserve"> </w:t>
      </w:r>
      <w:r>
        <w:t xml:space="preserve">floored binder probability, so that a prediction near chance contributes nothing. A curated, versioned</w:t>
      </w:r>
      <w:r>
        <w:t xml:space="preserve"> </w:t>
      </w:r>
      <w:r>
        <w:t xml:space="preserve">knowledge graph maps each target through a biological pathway to the diseases it informs, anchored to</w:t>
      </w:r>
      <w:r>
        <w:t xml:space="preserve"> </w:t>
      </w:r>
      <w:r>
        <w:t xml:space="preserve">KEGG synapse and disease maps (hsa04725, hsa04726, hsa04728, hsa04723, hsa05032, hsa04080, hsa05010,</w:t>
      </w:r>
      <w:r>
        <w:t xml:space="preserve"> </w:t>
      </w:r>
      <w:r>
        <w:t xml:space="preserve">hsa05012) (29), the Reactome KEAP1-NFE2L2 oxidative-stress response (R-HSA-9755511) (30)</w:t>
      </w:r>
      <w:r>
        <w:t xml:space="preserve"> </w:t>
      </w:r>
      <w:r>
        <w:t xml:space="preserve">and IUPHAR/BPS Guide to Pharmacology associations (31). A per-disease relevance score is the strongest engaged target for that</w:t>
      </w:r>
      <w:r>
        <w:t xml:space="preserve"> </w:t>
      </w:r>
      <w:r>
        <w:t xml:space="preserve">disease, scaled by predicted BBB penetration; taking the strongest rather than an average prevents</w:t>
      </w:r>
      <w:r>
        <w:t xml:space="preserve"> </w:t>
      </w:r>
      <w:r>
        <w:t xml:space="preserve">unrelated mechanisms from diluting a real signal. Coverage spans fourteen brain conditions (Figure 1).</w:t>
      </w:r>
    </w:p>
    <w:p>
      <w:pPr>
        <w:pStyle w:val="BodyText"/>
      </w:pPr>
      <w:r>
        <w:t xml:space="preserve">Two properties of this construction were established by ablation rather than assumed, and both</w:t>
      </w:r>
      <w:r>
        <w:t xml:space="preserve"> </w:t>
      </w:r>
      <w:r>
        <w:t xml:space="preserve">constrain how it should be described. First, the BBB term multiplies every disease identically and</w:t>
      </w:r>
      <w:r>
        <w:t xml:space="preserve"> </w:t>
      </w:r>
      <w:r>
        <w:t xml:space="preserve">therefore cannot alter which condition ranks highest; it is an exposure filter that determines</w:t>
      </w:r>
      <w:r>
        <w:t xml:space="preserve"> </w:t>
      </w:r>
      <w:r>
        <w:t xml:space="preserve">whether any signal is reported, not a discriminative term. Second, the curated edge weights do not</w:t>
      </w:r>
      <w:r>
        <w:t xml:space="preserve"> </w:t>
      </w:r>
      <w:r>
        <w:t xml:space="preserve">measurably affect the disease ranking: over 15,609 scaffold-held-out compounds, curated, uniform and</w:t>
      </w:r>
      <w:r>
        <w:t xml:space="preserve"> </w:t>
      </w:r>
      <w:r>
        <w:t xml:space="preserve">randomly permuted weights give top-3 accuracies of 0.7917, 0.7911 and 0.7899. The predictive content</w:t>
      </w:r>
      <w:r>
        <w:t xml:space="preserve"> </w:t>
      </w:r>
      <w:r>
        <w:t xml:space="preserve">of the graph lies in its topology, in which target is connected to which disease, and the weights are</w:t>
      </w:r>
      <w:r>
        <w:t xml:space="preserve"> </w:t>
      </w:r>
      <w:r>
        <w:t xml:space="preserve">retained as a mechanistic prior expressing directness of linkage rather than as fitted parameters.</w:t>
      </w:r>
    </w:p>
    <w:bookmarkEnd w:id="20"/>
    <w:bookmarkStart w:id="21" w:name="web-implementation"/>
    <w:p>
      <w:pPr>
        <w:pStyle w:val="Heading3"/>
      </w:pPr>
      <w:r>
        <w:t xml:space="preserve">Web implementation</w:t>
      </w:r>
    </w:p>
    <w:p>
      <w:pPr>
        <w:pStyle w:val="FirstParagraph"/>
      </w:pPr>
      <w:r>
        <w:t xml:space="preserve">The server is a single-page application built with Streamlit (32) and RDKit (33). The</w:t>
      </w:r>
      <w:r>
        <w:t xml:space="preserve"> </w:t>
      </w:r>
      <w:r>
        <w:t xml:space="preserve">user submits either a compound name, resolved to a structure through PubChem, or a SMILES string.</w:t>
      </w:r>
      <w:r>
        <w:t xml:space="preserve"> </w:t>
      </w:r>
      <w:r>
        <w:t xml:space="preserve">Models are loaded once and cached; a complete profile across all 72 deployed estimators, including</w:t>
      </w:r>
      <w:r>
        <w:t xml:space="preserve"> </w:t>
      </w:r>
      <w:r>
        <w:t xml:space="preserve">both applicability-domain calculations against the 158,890-compound reference library, returns in a</w:t>
      </w:r>
      <w:r>
        <w:t xml:space="preserve"> </w:t>
      </w:r>
      <w:r>
        <w:t xml:space="preserve">few seconds on a single CPU core. The interface is self-contained and requires no installation or</w:t>
      </w:r>
      <w:r>
        <w:t xml:space="preserve"> </w:t>
      </w:r>
      <w:r>
        <w:t xml:space="preserve">GPU.</w:t>
      </w:r>
    </w:p>
    <w:bookmarkEnd w:id="21"/>
    <w:bookmarkEnd w:id="22"/>
    <w:bookmarkStart w:id="24" w:name="results"/>
    <w:p>
      <w:pPr>
        <w:pStyle w:val="Heading2"/>
      </w:pPr>
      <w:r>
        <w:t xml:space="preserve">Results</w:t>
      </w:r>
    </w:p>
    <w:bookmarkStart w:id="23" w:name="per-endpoint-performance"/>
    <w:p>
      <w:pPr>
        <w:pStyle w:val="Heading3"/>
      </w:pPr>
      <w:r>
        <w:t xml:space="preserve">Per-endpoint performance</w:t>
      </w:r>
    </w:p>
    <w:p>
      <w:pPr>
        <w:pStyle w:val="FirstParagraph"/>
      </w:pPr>
      <w:r>
        <w:t xml:space="preserve">Tables 1 to 3 report, for every endpoint, the measured data size, the number of distinct scaffolds,</w:t>
      </w:r>
      <w:r>
        <w:t xml:space="preserve"> </w:t>
      </w:r>
      <w:r>
        <w:t xml:space="preserve">class balance where applicable, the training and test set size per fold, and the mean and standard</w:t>
      </w:r>
      <w:r>
        <w:t xml:space="preserve"> </w:t>
      </w:r>
      <w:r>
        <w:t xml:space="preserve">deviation of the appropriate metric under both cross-validation regimes. Figure 6 summarises the same</w:t>
      </w:r>
      <w:r>
        <w:t xml:space="preserve"> </w:t>
      </w:r>
      <w:r>
        <w:t xml:space="preserve">results graphically.</w:t>
      </w:r>
    </w:p>
    <w:p>
      <w:pPr>
        <w:pStyle w:val="BodyText"/>
      </w:pPr>
      <w:r>
        <w:t xml:space="preserve">The eight target classifiers reach a mean AUROC of 0.958 (random) and 0.925 (scaffold). BACE1 is the</w:t>
      </w:r>
      <w:r>
        <w:t xml:space="preserve"> </w:t>
      </w:r>
      <w:r>
        <w:t xml:space="preserve">most robust to chemotype change, losing 0.012 between the two splits (0.978 to 0.965), and MAO-A the</w:t>
      </w:r>
      <w:r>
        <w:t xml:space="preserve"> </w:t>
      </w:r>
      <w:r>
        <w:t xml:space="preserve">least, losing 0.065 (0.964 to 0.899). An external test of the BBB model on 306 FDA-curated approved</w:t>
      </w:r>
      <w:r>
        <w:t xml:space="preserve"> </w:t>
      </w:r>
      <w:r>
        <w:t xml:space="preserve">drugs absent from B3DB by InChIKey gives AUROC 0.761; restricted to the 241 of those that are also</w:t>
      </w:r>
      <w:r>
        <w:t xml:space="preserve"> </w:t>
      </w:r>
      <w:r>
        <w:t xml:space="preserve">distinguishable from the training set in feature space, which is the subset that supports an external</w:t>
      </w:r>
      <w:r>
        <w:t xml:space="preserve"> </w:t>
      </w:r>
      <w:r>
        <w:t xml:space="preserve">claim, it gives 0.788. The receptor potency regressions reach R2 0.64 to 0.72 (random) and 0.46 to</w:t>
      </w:r>
      <w:r>
        <w:t xml:space="preserve"> </w:t>
      </w:r>
      <w:r>
        <w:t xml:space="preserve">0.61 (scaffold). The 49 binder classifiers reach a mean AUROC of 0.904 against measured non-binders,</w:t>
      </w:r>
      <w:r>
        <w:t xml:space="preserve"> </w:t>
      </w:r>
      <w:r>
        <w:t xml:space="preserve">reported in place of any decoy-based figure. Within the ADME layer, performance ranges from strong</w:t>
      </w:r>
      <w:r>
        <w:t xml:space="preserve"> </w:t>
      </w:r>
      <w:r>
        <w:t xml:space="preserve">(solubility R2 0.73, P-gp inhibition AUROC 0.94 under the scaffold split) to weak and explicitly</w:t>
      </w:r>
      <w:r>
        <w:t xml:space="preserve"> </w:t>
      </w:r>
      <w:r>
        <w:t xml:space="preserve">disclosed (hepatocyte clearance R2 0.21, K_p,uu R2 0.35).</w:t>
      </w:r>
    </w:p>
    <w:bookmarkEnd w:id="23"/>
    <w:bookmarkEnd w:id="24"/>
    <w:bookmarkStart w:id="25" w:name="Xa6731253987483f0725bf693c5f2bbe6fed33e5"/>
    <w:p>
      <w:pPr>
        <w:pStyle w:val="Heading2"/>
      </w:pPr>
      <w:r>
        <w:t xml:space="preserve">Table 1. Core target panel (13 endpoints), 10-fold cross-validation</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Endpoint</w:t>
            </w:r>
          </w:p>
        </w:tc>
        <w:tc>
          <w:tcPr/>
          <w:p>
            <w:pPr>
              <w:pStyle w:val="Compact"/>
            </w:pPr>
            <w:r>
              <w:t xml:space="preserve">Target</w:t>
            </w:r>
          </w:p>
        </w:tc>
        <w:tc>
          <w:tcPr/>
          <w:p>
            <w:pPr>
              <w:pStyle w:val="Compact"/>
            </w:pPr>
            <w:r>
              <w:t xml:space="preserve">Task</w:t>
            </w:r>
          </w:p>
        </w:tc>
        <w:tc>
          <w:tcPr/>
          <w:p>
            <w:pPr>
              <w:pStyle w:val="Compact"/>
            </w:pPr>
            <w:r>
              <w:t xml:space="preserve">Compounds</w:t>
            </w:r>
          </w:p>
        </w:tc>
        <w:tc>
          <w:tcPr/>
          <w:p>
            <w:pPr>
              <w:pStyle w:val="Compact"/>
            </w:pPr>
            <w:r>
              <w:t xml:space="preserve">Scaffolds</w:t>
            </w:r>
          </w:p>
        </w:tc>
        <w:tc>
          <w:tcPr/>
          <w:p>
            <w:pPr>
              <w:pStyle w:val="Compact"/>
            </w:pPr>
            <w:r>
              <w:t xml:space="preserve">Active fraction</w:t>
            </w:r>
          </w:p>
        </w:tc>
        <w:tc>
          <w:tcPr/>
          <w:p>
            <w:pPr>
              <w:pStyle w:val="Compact"/>
            </w:pPr>
            <w:r>
              <w:t xml:space="preserve">Train/fold</w:t>
            </w:r>
          </w:p>
        </w:tc>
        <w:tc>
          <w:tcPr/>
          <w:p>
            <w:pPr>
              <w:pStyle w:val="Compact"/>
            </w:pPr>
            <w:r>
              <w:t xml:space="preserve">Test/fold</w:t>
            </w:r>
          </w:p>
        </w:tc>
        <w:tc>
          <w:tcPr/>
          <w:p>
            <w:pPr>
              <w:pStyle w:val="Compact"/>
            </w:pPr>
            <w:r>
              <w:t xml:space="preserve">Metric</w:t>
            </w:r>
          </w:p>
        </w:tc>
        <w:tc>
          <w:tcPr/>
          <w:p>
            <w:pPr>
              <w:pStyle w:val="Compact"/>
            </w:pPr>
            <w:r>
              <w:t xml:space="preserve">Random 10-fold</w:t>
            </w:r>
          </w:p>
        </w:tc>
        <w:tc>
          <w:tcPr/>
          <w:p>
            <w:pPr>
              <w:pStyle w:val="Compact"/>
            </w:pPr>
            <w:r>
              <w:t xml:space="preserve">Scaffold 10-fold</w:t>
            </w:r>
          </w:p>
        </w:tc>
        <w:tc>
          <w:tcPr/>
          <w:p>
            <w:pPr>
              <w:pStyle w:val="Compact"/>
            </w:pPr>
            <w:r>
              <w:t xml:space="preserve">Why this endpoint</w:t>
            </w:r>
          </w:p>
        </w:tc>
      </w:tr>
      <w:tr>
        <w:tc>
          <w:tcPr/>
          <w:p>
            <w:pPr>
              <w:pStyle w:val="Compact"/>
            </w:pPr>
            <w:r>
              <w:t xml:space="preserve">BBB</w:t>
            </w:r>
          </w:p>
        </w:tc>
        <w:tc>
          <w:tcPr/>
          <w:p>
            <w:pPr>
              <w:pStyle w:val="Compact"/>
            </w:pPr>
            <w:r>
              <w:t xml:space="preserve">Blood-brain barrier penetration</w:t>
            </w:r>
          </w:p>
        </w:tc>
        <w:tc>
          <w:tcPr/>
          <w:p>
            <w:pPr>
              <w:pStyle w:val="Compact"/>
            </w:pPr>
            <w:r>
              <w:t xml:space="preserve">classification</w:t>
            </w:r>
          </w:p>
        </w:tc>
        <w:tc>
          <w:tcPr/>
          <w:p>
            <w:pPr>
              <w:pStyle w:val="Compact"/>
            </w:pPr>
            <w:r>
              <w:t xml:space="preserve">7,805</w:t>
            </w:r>
          </w:p>
        </w:tc>
        <w:tc>
          <w:tcPr/>
          <w:p>
            <w:pPr>
              <w:pStyle w:val="Compact"/>
            </w:pPr>
            <w:r>
              <w:t xml:space="preserve">2,439</w:t>
            </w:r>
          </w:p>
        </w:tc>
        <w:tc>
          <w:tcPr/>
          <w:p>
            <w:pPr>
              <w:pStyle w:val="Compact"/>
            </w:pPr>
            <w:r>
              <w:t xml:space="preserve">0.64</w:t>
            </w:r>
          </w:p>
        </w:tc>
        <w:tc>
          <w:tcPr/>
          <w:p>
            <w:pPr>
              <w:pStyle w:val="Compact"/>
            </w:pPr>
            <w:r>
              <w:t xml:space="preserve">7,024</w:t>
            </w:r>
          </w:p>
        </w:tc>
        <w:tc>
          <w:tcPr/>
          <w:p>
            <w:pPr>
              <w:pStyle w:val="Compact"/>
            </w:pPr>
            <w:r>
              <w:t xml:space="preserve">780</w:t>
            </w:r>
          </w:p>
        </w:tc>
        <w:tc>
          <w:tcPr/>
          <w:p>
            <w:pPr>
              <w:pStyle w:val="Compact"/>
            </w:pPr>
            <w:r>
              <w:t xml:space="preserve">AUROC</w:t>
            </w:r>
          </w:p>
        </w:tc>
        <w:tc>
          <w:tcPr/>
          <w:p>
            <w:pPr>
              <w:pStyle w:val="Compact"/>
            </w:pPr>
            <w:r>
              <w:t xml:space="preserve">0.961 ± 0.007</w:t>
            </w:r>
          </w:p>
        </w:tc>
        <w:tc>
          <w:tcPr/>
          <w:p>
            <w:pPr>
              <w:pStyle w:val="Compact"/>
            </w:pPr>
            <w:r>
              <w:t xml:space="preserve">0.920 ± 0.037</w:t>
            </w:r>
          </w:p>
        </w:tc>
        <w:tc>
          <w:tcPr/>
          <w:p>
            <w:pPr>
              <w:pStyle w:val="Compact"/>
            </w:pPr>
            <w:r>
              <w:t xml:space="preserve">Gate: no CNS effect without brain entry</w:t>
            </w:r>
          </w:p>
        </w:tc>
      </w:tr>
      <w:tr>
        <w:tc>
          <w:tcPr/>
          <w:p>
            <w:pPr>
              <w:pStyle w:val="Compact"/>
            </w:pPr>
            <w:r>
              <w:t xml:space="preserve">AChE</w:t>
            </w:r>
          </w:p>
        </w:tc>
        <w:tc>
          <w:tcPr/>
          <w:p>
            <w:pPr>
              <w:pStyle w:val="Compact"/>
            </w:pPr>
            <w:r>
              <w:t xml:space="preserve">Acetylcholinesterase</w:t>
            </w:r>
          </w:p>
        </w:tc>
        <w:tc>
          <w:tcPr/>
          <w:p>
            <w:pPr>
              <w:pStyle w:val="Compact"/>
            </w:pPr>
            <w:r>
              <w:t xml:space="preserve">classification</w:t>
            </w:r>
          </w:p>
        </w:tc>
        <w:tc>
          <w:tcPr/>
          <w:p>
            <w:pPr>
              <w:pStyle w:val="Compact"/>
            </w:pPr>
            <w:r>
              <w:t xml:space="preserve">4,387</w:t>
            </w:r>
          </w:p>
        </w:tc>
        <w:tc>
          <w:tcPr/>
          <w:p>
            <w:pPr>
              <w:pStyle w:val="Compact"/>
            </w:pPr>
            <w:r>
              <w:t xml:space="preserve">2,116</w:t>
            </w:r>
          </w:p>
        </w:tc>
        <w:tc>
          <w:tcPr/>
          <w:p>
            <w:pPr>
              <w:pStyle w:val="Compact"/>
            </w:pPr>
            <w:r>
              <w:t xml:space="preserve">0.72</w:t>
            </w:r>
          </w:p>
        </w:tc>
        <w:tc>
          <w:tcPr/>
          <w:p>
            <w:pPr>
              <w:pStyle w:val="Compact"/>
            </w:pPr>
            <w:r>
              <w:t xml:space="preserve">3,948</w:t>
            </w:r>
          </w:p>
        </w:tc>
        <w:tc>
          <w:tcPr/>
          <w:p>
            <w:pPr>
              <w:pStyle w:val="Compact"/>
            </w:pPr>
            <w:r>
              <w:t xml:space="preserve">439</w:t>
            </w:r>
          </w:p>
        </w:tc>
        <w:tc>
          <w:tcPr/>
          <w:p>
            <w:pPr>
              <w:pStyle w:val="Compact"/>
            </w:pPr>
            <w:r>
              <w:t xml:space="preserve">AUROC</w:t>
            </w:r>
          </w:p>
        </w:tc>
        <w:tc>
          <w:tcPr/>
          <w:p>
            <w:pPr>
              <w:pStyle w:val="Compact"/>
            </w:pPr>
            <w:r>
              <w:t xml:space="preserve">0.963 ± 0.008</w:t>
            </w:r>
          </w:p>
        </w:tc>
        <w:tc>
          <w:tcPr/>
          <w:p>
            <w:pPr>
              <w:pStyle w:val="Compact"/>
            </w:pPr>
            <w:r>
              <w:t xml:space="preserve">0.921 ± 0.021</w:t>
            </w:r>
          </w:p>
        </w:tc>
        <w:tc>
          <w:tcPr/>
          <w:p>
            <w:pPr>
              <w:pStyle w:val="Compact"/>
            </w:pPr>
            <w:r>
              <w:t xml:space="preserve">Symptomatic Alzheimer therapy (donepezil class)</w:t>
            </w:r>
          </w:p>
        </w:tc>
      </w:tr>
      <w:tr>
        <w:tc>
          <w:tcPr/>
          <w:p>
            <w:pPr>
              <w:pStyle w:val="Compact"/>
            </w:pPr>
            <w:r>
              <w:t xml:space="preserve">BChE</w:t>
            </w:r>
          </w:p>
        </w:tc>
        <w:tc>
          <w:tcPr/>
          <w:p>
            <w:pPr>
              <w:pStyle w:val="Compact"/>
            </w:pPr>
            <w:r>
              <w:t xml:space="preserve">Butyrylcholinesterase</w:t>
            </w:r>
          </w:p>
        </w:tc>
        <w:tc>
          <w:tcPr/>
          <w:p>
            <w:pPr>
              <w:pStyle w:val="Compact"/>
            </w:pPr>
            <w:r>
              <w:t xml:space="preserve">classification</w:t>
            </w:r>
          </w:p>
        </w:tc>
        <w:tc>
          <w:tcPr/>
          <w:p>
            <w:pPr>
              <w:pStyle w:val="Compact"/>
            </w:pPr>
            <w:r>
              <w:t xml:space="preserve">2,621</w:t>
            </w:r>
          </w:p>
        </w:tc>
        <w:tc>
          <w:tcPr/>
          <w:p>
            <w:pPr>
              <w:pStyle w:val="Compact"/>
            </w:pPr>
            <w:r>
              <w:t xml:space="preserve">1,345</w:t>
            </w:r>
          </w:p>
        </w:tc>
        <w:tc>
          <w:tcPr/>
          <w:p>
            <w:pPr>
              <w:pStyle w:val="Compact"/>
            </w:pPr>
            <w:r>
              <w:t xml:space="preserve">0.70</w:t>
            </w:r>
          </w:p>
        </w:tc>
        <w:tc>
          <w:tcPr/>
          <w:p>
            <w:pPr>
              <w:pStyle w:val="Compact"/>
            </w:pPr>
            <w:r>
              <w:t xml:space="preserve">2,359</w:t>
            </w:r>
          </w:p>
        </w:tc>
        <w:tc>
          <w:tcPr/>
          <w:p>
            <w:pPr>
              <w:pStyle w:val="Compact"/>
            </w:pPr>
            <w:r>
              <w:t xml:space="preserve">262</w:t>
            </w:r>
          </w:p>
        </w:tc>
        <w:tc>
          <w:tcPr/>
          <w:p>
            <w:pPr>
              <w:pStyle w:val="Compact"/>
            </w:pPr>
            <w:r>
              <w:t xml:space="preserve">AUROC</w:t>
            </w:r>
          </w:p>
        </w:tc>
        <w:tc>
          <w:tcPr/>
          <w:p>
            <w:pPr>
              <w:pStyle w:val="Compact"/>
            </w:pPr>
            <w:r>
              <w:t xml:space="preserve">0.968 ± 0.012</w:t>
            </w:r>
          </w:p>
        </w:tc>
        <w:tc>
          <w:tcPr/>
          <w:p>
            <w:pPr>
              <w:pStyle w:val="Compact"/>
            </w:pPr>
            <w:r>
              <w:t xml:space="preserve">0.937 ± 0.021</w:t>
            </w:r>
          </w:p>
        </w:tc>
        <w:tc>
          <w:tcPr/>
          <w:p>
            <w:pPr>
              <w:pStyle w:val="Compact"/>
            </w:pPr>
            <w:r>
              <w:t xml:space="preserve">Rises as Alzheimer progresses; selective-inhibitor target</w:t>
            </w:r>
          </w:p>
        </w:tc>
      </w:tr>
      <w:tr>
        <w:tc>
          <w:tcPr/>
          <w:p>
            <w:pPr>
              <w:pStyle w:val="Compact"/>
            </w:pPr>
            <w:r>
              <w:t xml:space="preserve">BACE1</w:t>
            </w:r>
          </w:p>
        </w:tc>
        <w:tc>
          <w:tcPr/>
          <w:p>
            <w:pPr>
              <w:pStyle w:val="Compact"/>
            </w:pPr>
            <w:r>
              <w:t xml:space="preserve">Beta-secretase 1</w:t>
            </w:r>
          </w:p>
        </w:tc>
        <w:tc>
          <w:tcPr/>
          <w:p>
            <w:pPr>
              <w:pStyle w:val="Compact"/>
            </w:pPr>
            <w:r>
              <w:t xml:space="preserve">classification</w:t>
            </w:r>
          </w:p>
        </w:tc>
        <w:tc>
          <w:tcPr/>
          <w:p>
            <w:pPr>
              <w:pStyle w:val="Compact"/>
            </w:pPr>
            <w:r>
              <w:t xml:space="preserve">8,501</w:t>
            </w:r>
          </w:p>
        </w:tc>
        <w:tc>
          <w:tcPr/>
          <w:p>
            <w:pPr>
              <w:pStyle w:val="Compact"/>
            </w:pPr>
            <w:r>
              <w:t xml:space="preserve">3,088</w:t>
            </w:r>
          </w:p>
        </w:tc>
        <w:tc>
          <w:tcPr/>
          <w:p>
            <w:pPr>
              <w:pStyle w:val="Compact"/>
            </w:pPr>
            <w:r>
              <w:t xml:space="preserve">0.91</w:t>
            </w:r>
          </w:p>
        </w:tc>
        <w:tc>
          <w:tcPr/>
          <w:p>
            <w:pPr>
              <w:pStyle w:val="Compact"/>
            </w:pPr>
            <w:r>
              <w:t xml:space="preserve">7,651</w:t>
            </w:r>
          </w:p>
        </w:tc>
        <w:tc>
          <w:tcPr/>
          <w:p>
            <w:pPr>
              <w:pStyle w:val="Compact"/>
            </w:pPr>
            <w:r>
              <w:t xml:space="preserve">850</w:t>
            </w:r>
          </w:p>
        </w:tc>
        <w:tc>
          <w:tcPr/>
          <w:p>
            <w:pPr>
              <w:pStyle w:val="Compact"/>
            </w:pPr>
            <w:r>
              <w:t xml:space="preserve">AUROC</w:t>
            </w:r>
          </w:p>
        </w:tc>
        <w:tc>
          <w:tcPr/>
          <w:p>
            <w:pPr>
              <w:pStyle w:val="Compact"/>
            </w:pPr>
            <w:r>
              <w:t xml:space="preserve">0.967 ± 0.010</w:t>
            </w:r>
          </w:p>
        </w:tc>
        <w:tc>
          <w:tcPr/>
          <w:p>
            <w:pPr>
              <w:pStyle w:val="Compact"/>
            </w:pPr>
            <w:r>
              <w:t xml:space="preserve">0.956 ± 0.021</w:t>
            </w:r>
          </w:p>
        </w:tc>
        <w:tc>
          <w:tcPr/>
          <w:p>
            <w:pPr>
              <w:pStyle w:val="Compact"/>
            </w:pPr>
            <w:r>
              <w:t xml:space="preserve">Rate-limiting step of amyloid-beta generation</w:t>
            </w:r>
          </w:p>
        </w:tc>
      </w:tr>
      <w:tr>
        <w:tc>
          <w:tcPr/>
          <w:p>
            <w:pPr>
              <w:pStyle w:val="Compact"/>
            </w:pPr>
            <w:r>
              <w:t xml:space="preserve">GSK3B</w:t>
            </w:r>
          </w:p>
        </w:tc>
        <w:tc>
          <w:tcPr/>
          <w:p>
            <w:pPr>
              <w:pStyle w:val="Compact"/>
            </w:pPr>
            <w:r>
              <w:t xml:space="preserve">Glycogen synthase kinase-3 beta</w:t>
            </w:r>
          </w:p>
        </w:tc>
        <w:tc>
          <w:tcPr/>
          <w:p>
            <w:pPr>
              <w:pStyle w:val="Compact"/>
            </w:pPr>
            <w:r>
              <w:t xml:space="preserve">classification</w:t>
            </w:r>
          </w:p>
        </w:tc>
        <w:tc>
          <w:tcPr/>
          <w:p>
            <w:pPr>
              <w:pStyle w:val="Compact"/>
            </w:pPr>
            <w:r>
              <w:t xml:space="preserve">4,958</w:t>
            </w:r>
          </w:p>
        </w:tc>
        <w:tc>
          <w:tcPr/>
          <w:p>
            <w:pPr>
              <w:pStyle w:val="Compact"/>
            </w:pPr>
            <w:r>
              <w:t xml:space="preserve">2,118</w:t>
            </w:r>
          </w:p>
        </w:tc>
        <w:tc>
          <w:tcPr/>
          <w:p>
            <w:pPr>
              <w:pStyle w:val="Compact"/>
            </w:pPr>
            <w:r>
              <w:t xml:space="preserve">0.93</w:t>
            </w:r>
          </w:p>
        </w:tc>
        <w:tc>
          <w:tcPr/>
          <w:p>
            <w:pPr>
              <w:pStyle w:val="Compact"/>
            </w:pPr>
            <w:r>
              <w:t xml:space="preserve">4,462</w:t>
            </w:r>
          </w:p>
        </w:tc>
        <w:tc>
          <w:tcPr/>
          <w:p>
            <w:pPr>
              <w:pStyle w:val="Compact"/>
            </w:pPr>
            <w:r>
              <w:t xml:space="preserve">496</w:t>
            </w:r>
          </w:p>
        </w:tc>
        <w:tc>
          <w:tcPr/>
          <w:p>
            <w:pPr>
              <w:pStyle w:val="Compact"/>
            </w:pPr>
            <w:r>
              <w:t xml:space="preserve">AUROC</w:t>
            </w:r>
          </w:p>
        </w:tc>
        <w:tc>
          <w:tcPr/>
          <w:p>
            <w:pPr>
              <w:pStyle w:val="Compact"/>
            </w:pPr>
            <w:r>
              <w:t xml:space="preserve">0.969 ± 0.013</w:t>
            </w:r>
          </w:p>
        </w:tc>
        <w:tc>
          <w:tcPr/>
          <w:p>
            <w:pPr>
              <w:pStyle w:val="Compact"/>
            </w:pPr>
            <w:r>
              <w:t xml:space="preserve">0.937 ± 0.030</w:t>
            </w:r>
          </w:p>
        </w:tc>
        <w:tc>
          <w:tcPr/>
          <w:p>
            <w:pPr>
              <w:pStyle w:val="Compact"/>
            </w:pPr>
            <w:r>
              <w:t xml:space="preserve">Tau hyperphosphorylation; neuroprotection</w:t>
            </w:r>
          </w:p>
        </w:tc>
      </w:tr>
      <w:tr>
        <w:tc>
          <w:tcPr/>
          <w:p>
            <w:pPr>
              <w:pStyle w:val="Compact"/>
            </w:pPr>
            <w:r>
              <w:t xml:space="preserve">MAO_A</w:t>
            </w:r>
          </w:p>
        </w:tc>
        <w:tc>
          <w:tcPr/>
          <w:p>
            <w:pPr>
              <w:pStyle w:val="Compact"/>
            </w:pPr>
            <w:r>
              <w:t xml:space="preserve">Monoamine oxidase A</w:t>
            </w:r>
          </w:p>
        </w:tc>
        <w:tc>
          <w:tcPr/>
          <w:p>
            <w:pPr>
              <w:pStyle w:val="Compact"/>
            </w:pPr>
            <w:r>
              <w:t xml:space="preserve">classification</w:t>
            </w:r>
          </w:p>
        </w:tc>
        <w:tc>
          <w:tcPr/>
          <w:p>
            <w:pPr>
              <w:pStyle w:val="Compact"/>
            </w:pPr>
            <w:r>
              <w:t xml:space="preserve">2,228</w:t>
            </w:r>
          </w:p>
        </w:tc>
        <w:tc>
          <w:tcPr/>
          <w:p>
            <w:pPr>
              <w:pStyle w:val="Compact"/>
            </w:pPr>
            <w:r>
              <w:t xml:space="preserve">827</w:t>
            </w:r>
          </w:p>
        </w:tc>
        <w:tc>
          <w:tcPr/>
          <w:p>
            <w:pPr>
              <w:pStyle w:val="Compact"/>
            </w:pPr>
            <w:r>
              <w:t xml:space="preserve">0.41</w:t>
            </w:r>
          </w:p>
        </w:tc>
        <w:tc>
          <w:tcPr/>
          <w:p>
            <w:pPr>
              <w:pStyle w:val="Compact"/>
            </w:pPr>
            <w:r>
              <w:t xml:space="preserve">2,005</w:t>
            </w:r>
          </w:p>
        </w:tc>
        <w:tc>
          <w:tcPr/>
          <w:p>
            <w:pPr>
              <w:pStyle w:val="Compact"/>
            </w:pPr>
            <w:r>
              <w:t xml:space="preserve">223</w:t>
            </w:r>
          </w:p>
        </w:tc>
        <w:tc>
          <w:tcPr/>
          <w:p>
            <w:pPr>
              <w:pStyle w:val="Compact"/>
            </w:pPr>
            <w:r>
              <w:t xml:space="preserve">AUROC</w:t>
            </w:r>
          </w:p>
        </w:tc>
        <w:tc>
          <w:tcPr/>
          <w:p>
            <w:pPr>
              <w:pStyle w:val="Compact"/>
            </w:pPr>
            <w:r>
              <w:t xml:space="preserve">0.947 ± 0.017</w:t>
            </w:r>
          </w:p>
        </w:tc>
        <w:tc>
          <w:tcPr/>
          <w:p>
            <w:pPr>
              <w:pStyle w:val="Compact"/>
            </w:pPr>
            <w:r>
              <w:t xml:space="preserve">0.868 ± 0.046</w:t>
            </w:r>
          </w:p>
        </w:tc>
        <w:tc>
          <w:tcPr/>
          <w:p>
            <w:pPr>
              <w:pStyle w:val="Compact"/>
            </w:pPr>
            <w:r>
              <w:t xml:space="preserve">Serotonin/noradrenaline catabolism; depression</w:t>
            </w:r>
          </w:p>
        </w:tc>
      </w:tr>
      <w:tr>
        <w:tc>
          <w:tcPr/>
          <w:p>
            <w:pPr>
              <w:pStyle w:val="Compact"/>
            </w:pPr>
            <w:r>
              <w:t xml:space="preserve">MAO_B</w:t>
            </w:r>
          </w:p>
        </w:tc>
        <w:tc>
          <w:tcPr/>
          <w:p>
            <w:pPr>
              <w:pStyle w:val="Compact"/>
            </w:pPr>
            <w:r>
              <w:t xml:space="preserve">Monoamine oxidase B</w:t>
            </w:r>
          </w:p>
        </w:tc>
        <w:tc>
          <w:tcPr/>
          <w:p>
            <w:pPr>
              <w:pStyle w:val="Compact"/>
            </w:pPr>
            <w:r>
              <w:t xml:space="preserve">classification</w:t>
            </w:r>
          </w:p>
        </w:tc>
        <w:tc>
          <w:tcPr/>
          <w:p>
            <w:pPr>
              <w:pStyle w:val="Compact"/>
            </w:pPr>
            <w:r>
              <w:t xml:space="preserve">3,665</w:t>
            </w:r>
          </w:p>
        </w:tc>
        <w:tc>
          <w:tcPr/>
          <w:p>
            <w:pPr>
              <w:pStyle w:val="Compact"/>
            </w:pPr>
            <w:r>
              <w:t xml:space="preserve">1,196</w:t>
            </w:r>
          </w:p>
        </w:tc>
        <w:tc>
          <w:tcPr/>
          <w:p>
            <w:pPr>
              <w:pStyle w:val="Compact"/>
            </w:pPr>
            <w:r>
              <w:t xml:space="preserve">0.68</w:t>
            </w:r>
          </w:p>
        </w:tc>
        <w:tc>
          <w:tcPr/>
          <w:p>
            <w:pPr>
              <w:pStyle w:val="Compact"/>
            </w:pPr>
            <w:r>
              <w:t xml:space="preserve">3,298</w:t>
            </w:r>
          </w:p>
        </w:tc>
        <w:tc>
          <w:tcPr/>
          <w:p>
            <w:pPr>
              <w:pStyle w:val="Compact"/>
            </w:pPr>
            <w:r>
              <w:t xml:space="preserve">366</w:t>
            </w:r>
          </w:p>
        </w:tc>
        <w:tc>
          <w:tcPr/>
          <w:p>
            <w:pPr>
              <w:pStyle w:val="Compact"/>
            </w:pPr>
            <w:r>
              <w:t xml:space="preserve">AUROC</w:t>
            </w:r>
          </w:p>
        </w:tc>
        <w:tc>
          <w:tcPr/>
          <w:p>
            <w:pPr>
              <w:pStyle w:val="Compact"/>
            </w:pPr>
            <w:r>
              <w:t xml:space="preserve">0.955 ± 0.007</w:t>
            </w:r>
          </w:p>
        </w:tc>
        <w:tc>
          <w:tcPr/>
          <w:p>
            <w:pPr>
              <w:pStyle w:val="Compact"/>
            </w:pPr>
            <w:r>
              <w:t xml:space="preserve">0.889 ± 0.033</w:t>
            </w:r>
          </w:p>
        </w:tc>
        <w:tc>
          <w:tcPr/>
          <w:p>
            <w:pPr>
              <w:pStyle w:val="Compact"/>
            </w:pPr>
            <w:r>
              <w:t xml:space="preserve">Dopamine catabolism; Parkinson therapy (selegiline)</w:t>
            </w:r>
          </w:p>
        </w:tc>
      </w:tr>
      <w:tr>
        <w:tc>
          <w:tcPr/>
          <w:p>
            <w:pPr>
              <w:pStyle w:val="Compact"/>
            </w:pPr>
            <w:r>
              <w:t xml:space="preserve">hERG</w:t>
            </w:r>
          </w:p>
        </w:tc>
        <w:tc>
          <w:tcPr/>
          <w:p>
            <w:pPr>
              <w:pStyle w:val="Compact"/>
            </w:pPr>
            <w:r>
              <w:t xml:space="preserve">hERG potassium channel</w:t>
            </w:r>
          </w:p>
        </w:tc>
        <w:tc>
          <w:tcPr/>
          <w:p>
            <w:pPr>
              <w:pStyle w:val="Compact"/>
            </w:pPr>
            <w:r>
              <w:t xml:space="preserve">classification</w:t>
            </w:r>
          </w:p>
        </w:tc>
        <w:tc>
          <w:tcPr/>
          <w:p>
            <w:pPr>
              <w:pStyle w:val="Compact"/>
            </w:pPr>
            <w:r>
              <w:t xml:space="preserve">5,875</w:t>
            </w:r>
          </w:p>
        </w:tc>
        <w:tc>
          <w:tcPr/>
          <w:p>
            <w:pPr>
              <w:pStyle w:val="Compact"/>
            </w:pPr>
            <w:r>
              <w:t xml:space="preserve">3,377</w:t>
            </w:r>
          </w:p>
        </w:tc>
        <w:tc>
          <w:tcPr/>
          <w:p>
            <w:pPr>
              <w:pStyle w:val="Compact"/>
            </w:pPr>
            <w:r>
              <w:t xml:space="preserve">0.41</w:t>
            </w:r>
          </w:p>
        </w:tc>
        <w:tc>
          <w:tcPr/>
          <w:p>
            <w:pPr>
              <w:pStyle w:val="Compact"/>
            </w:pPr>
            <w:r>
              <w:t xml:space="preserve">5,287</w:t>
            </w:r>
          </w:p>
        </w:tc>
        <w:tc>
          <w:tcPr/>
          <w:p>
            <w:pPr>
              <w:pStyle w:val="Compact"/>
            </w:pPr>
            <w:r>
              <w:t xml:space="preserve">587</w:t>
            </w:r>
          </w:p>
        </w:tc>
        <w:tc>
          <w:tcPr/>
          <w:p>
            <w:pPr>
              <w:pStyle w:val="Compact"/>
            </w:pPr>
            <w:r>
              <w:t xml:space="preserve">AUROC</w:t>
            </w:r>
          </w:p>
        </w:tc>
        <w:tc>
          <w:tcPr/>
          <w:p>
            <w:pPr>
              <w:pStyle w:val="Compact"/>
            </w:pPr>
            <w:r>
              <w:t xml:space="preserve">0.954 ± 0.007</w:t>
            </w:r>
          </w:p>
        </w:tc>
        <w:tc>
          <w:tcPr/>
          <w:p>
            <w:pPr>
              <w:pStyle w:val="Compact"/>
            </w:pPr>
            <w:r>
              <w:t xml:space="preserve">0.921 ± 0.035</w:t>
            </w:r>
          </w:p>
        </w:tc>
        <w:tc>
          <w:tcPr/>
          <w:p>
            <w:pPr>
              <w:pStyle w:val="Compact"/>
            </w:pPr>
            <w:r>
              <w:t xml:space="preserve">Cardiotoxicity liability; principal safety filter</w:t>
            </w:r>
          </w:p>
        </w:tc>
      </w:tr>
      <w:tr>
        <w:tc>
          <w:tcPr/>
          <w:p>
            <w:pPr>
              <w:pStyle w:val="Compact"/>
            </w:pPr>
            <w:r>
              <w:t xml:space="preserve">D2</w:t>
            </w:r>
          </w:p>
        </w:tc>
        <w:tc>
          <w:tcPr/>
          <w:p>
            <w:pPr>
              <w:pStyle w:val="Compact"/>
            </w:pPr>
            <w:r>
              <w:t xml:space="preserve">Dopamine D2 receptor</w:t>
            </w:r>
          </w:p>
        </w:tc>
        <w:tc>
          <w:tcPr/>
          <w:p>
            <w:pPr>
              <w:pStyle w:val="Compact"/>
            </w:pPr>
            <w:r>
              <w:t xml:space="preserve">regression</w:t>
            </w:r>
          </w:p>
        </w:tc>
        <w:tc>
          <w:tcPr/>
          <w:p>
            <w:pPr>
              <w:pStyle w:val="Compact"/>
            </w:pPr>
            <w:r>
              <w:t xml:space="preserve">7,734</w:t>
            </w:r>
          </w:p>
        </w:tc>
        <w:tc>
          <w:tcPr/>
          <w:p>
            <w:pPr>
              <w:pStyle w:val="Compact"/>
            </w:pPr>
            <w:r>
              <w:t xml:space="preserve">3,329</w:t>
            </w:r>
          </w:p>
        </w:tc>
        <w:tc>
          <w:tcPr/>
          <w:p>
            <w:pPr>
              <w:pStyle w:val="Compact"/>
            </w:pPr>
            <w:r>
              <w:t xml:space="preserve">n/a</w:t>
            </w:r>
          </w:p>
        </w:tc>
        <w:tc>
          <w:tcPr/>
          <w:p>
            <w:pPr>
              <w:pStyle w:val="Compact"/>
            </w:pPr>
            <w:r>
              <w:t xml:space="preserve">6,961</w:t>
            </w:r>
          </w:p>
        </w:tc>
        <w:tc>
          <w:tcPr/>
          <w:p>
            <w:pPr>
              <w:pStyle w:val="Compact"/>
            </w:pPr>
            <w:r>
              <w:t xml:space="preserve">773</w:t>
            </w:r>
          </w:p>
        </w:tc>
        <w:tc>
          <w:tcPr/>
          <w:p>
            <w:pPr>
              <w:pStyle w:val="Compact"/>
            </w:pPr>
            <w:r>
              <w:t xml:space="preserve">R2</w:t>
            </w:r>
          </w:p>
        </w:tc>
        <w:tc>
          <w:tcPr/>
          <w:p>
            <w:pPr>
              <w:pStyle w:val="Compact"/>
            </w:pPr>
            <w:r>
              <w:t xml:space="preserve">0.601 ± 0.018</w:t>
            </w:r>
          </w:p>
        </w:tc>
        <w:tc>
          <w:tcPr/>
          <w:p>
            <w:pPr>
              <w:pStyle w:val="Compact"/>
            </w:pPr>
            <w:r>
              <w:t xml:space="preserve">0.483 ± 0.051</w:t>
            </w:r>
          </w:p>
        </w:tc>
        <w:tc>
          <w:tcPr/>
          <w:p>
            <w:pPr>
              <w:pStyle w:val="Compact"/>
            </w:pPr>
            <w:r>
              <w:t xml:space="preserve">Antipsychotic efficacy; motor control</w:t>
            </w:r>
          </w:p>
        </w:tc>
      </w:tr>
      <w:tr>
        <w:tc>
          <w:tcPr/>
          <w:p>
            <w:pPr>
              <w:pStyle w:val="Compact"/>
            </w:pPr>
            <w:r>
              <w:t xml:space="preserve">A2A</w:t>
            </w:r>
          </w:p>
        </w:tc>
        <w:tc>
          <w:tcPr/>
          <w:p>
            <w:pPr>
              <w:pStyle w:val="Compact"/>
            </w:pPr>
            <w:r>
              <w:t xml:space="preserve">Adenosine A2A receptor</w:t>
            </w:r>
          </w:p>
        </w:tc>
        <w:tc>
          <w:tcPr/>
          <w:p>
            <w:pPr>
              <w:pStyle w:val="Compact"/>
            </w:pPr>
            <w:r>
              <w:t xml:space="preserve">regression</w:t>
            </w:r>
          </w:p>
        </w:tc>
        <w:tc>
          <w:tcPr/>
          <w:p>
            <w:pPr>
              <w:pStyle w:val="Compact"/>
            </w:pPr>
            <w:r>
              <w:t xml:space="preserve">6,785</w:t>
            </w:r>
          </w:p>
        </w:tc>
        <w:tc>
          <w:tcPr/>
          <w:p>
            <w:pPr>
              <w:pStyle w:val="Compact"/>
            </w:pPr>
            <w:r>
              <w:t xml:space="preserve">2,654</w:t>
            </w:r>
          </w:p>
        </w:tc>
        <w:tc>
          <w:tcPr/>
          <w:p>
            <w:pPr>
              <w:pStyle w:val="Compact"/>
            </w:pPr>
            <w:r>
              <w:t xml:space="preserve">n/a</w:t>
            </w:r>
          </w:p>
        </w:tc>
        <w:tc>
          <w:tcPr/>
          <w:p>
            <w:pPr>
              <w:pStyle w:val="Compact"/>
            </w:pPr>
            <w:r>
              <w:t xml:space="preserve">6,106</w:t>
            </w:r>
          </w:p>
        </w:tc>
        <w:tc>
          <w:tcPr/>
          <w:p>
            <w:pPr>
              <w:pStyle w:val="Compact"/>
            </w:pPr>
            <w:r>
              <w:t xml:space="preserve">678</w:t>
            </w:r>
          </w:p>
        </w:tc>
        <w:tc>
          <w:tcPr/>
          <w:p>
            <w:pPr>
              <w:pStyle w:val="Compact"/>
            </w:pPr>
            <w:r>
              <w:t xml:space="preserve">R2</w:t>
            </w:r>
          </w:p>
        </w:tc>
        <w:tc>
          <w:tcPr/>
          <w:p>
            <w:pPr>
              <w:pStyle w:val="Compact"/>
            </w:pPr>
            <w:r>
              <w:t xml:space="preserve">0.682 ± 0.023</w:t>
            </w:r>
          </w:p>
        </w:tc>
        <w:tc>
          <w:tcPr/>
          <w:p>
            <w:pPr>
              <w:pStyle w:val="Compact"/>
            </w:pPr>
            <w:r>
              <w:t xml:space="preserve">0.576 ± 0.066</w:t>
            </w:r>
          </w:p>
        </w:tc>
        <w:tc>
          <w:tcPr/>
          <w:p>
            <w:pPr>
              <w:pStyle w:val="Compact"/>
            </w:pPr>
            <w:r>
              <w:t xml:space="preserve">Non-dopaminergic Parkinson target (istradefylline)</w:t>
            </w:r>
          </w:p>
        </w:tc>
      </w:tr>
      <w:tr>
        <w:tc>
          <w:tcPr/>
          <w:p>
            <w:pPr>
              <w:pStyle w:val="Compact"/>
            </w:pPr>
            <w:r>
              <w:t xml:space="preserve">HT2A</w:t>
            </w:r>
          </w:p>
        </w:tc>
        <w:tc>
          <w:tcPr/>
          <w:p>
            <w:pPr>
              <w:pStyle w:val="Compact"/>
            </w:pPr>
            <w:r>
              <w:t xml:space="preserve">Serotonin 5-HT2A receptor</w:t>
            </w:r>
          </w:p>
        </w:tc>
        <w:tc>
          <w:tcPr/>
          <w:p>
            <w:pPr>
              <w:pStyle w:val="Compact"/>
            </w:pPr>
            <w:r>
              <w:t xml:space="preserve">regression</w:t>
            </w:r>
          </w:p>
        </w:tc>
        <w:tc>
          <w:tcPr/>
          <w:p>
            <w:pPr>
              <w:pStyle w:val="Compact"/>
            </w:pPr>
            <w:r>
              <w:t xml:space="preserve">5,989</w:t>
            </w:r>
          </w:p>
        </w:tc>
        <w:tc>
          <w:tcPr/>
          <w:p>
            <w:pPr>
              <w:pStyle w:val="Compact"/>
            </w:pPr>
            <w:r>
              <w:t xml:space="preserve">2,254</w:t>
            </w:r>
          </w:p>
        </w:tc>
        <w:tc>
          <w:tcPr/>
          <w:p>
            <w:pPr>
              <w:pStyle w:val="Compact"/>
            </w:pPr>
            <w:r>
              <w:t xml:space="preserve">n/a</w:t>
            </w:r>
          </w:p>
        </w:tc>
        <w:tc>
          <w:tcPr/>
          <w:p>
            <w:pPr>
              <w:pStyle w:val="Compact"/>
            </w:pPr>
            <w:r>
              <w:t xml:space="preserve">5,390</w:t>
            </w:r>
          </w:p>
        </w:tc>
        <w:tc>
          <w:tcPr/>
          <w:p>
            <w:pPr>
              <w:pStyle w:val="Compact"/>
            </w:pPr>
            <w:r>
              <w:t xml:space="preserve">599</w:t>
            </w:r>
          </w:p>
        </w:tc>
        <w:tc>
          <w:tcPr/>
          <w:p>
            <w:pPr>
              <w:pStyle w:val="Compact"/>
            </w:pPr>
            <w:r>
              <w:t xml:space="preserve">R2</w:t>
            </w:r>
          </w:p>
        </w:tc>
        <w:tc>
          <w:tcPr/>
          <w:p>
            <w:pPr>
              <w:pStyle w:val="Compact"/>
            </w:pPr>
            <w:r>
              <w:t xml:space="preserve">0.636 ± 0.028</w:t>
            </w:r>
          </w:p>
        </w:tc>
        <w:tc>
          <w:tcPr/>
          <w:p>
            <w:pPr>
              <w:pStyle w:val="Compact"/>
            </w:pPr>
            <w:r>
              <w:t xml:space="preserve">0.490 ± 0.054</w:t>
            </w:r>
          </w:p>
        </w:tc>
        <w:tc>
          <w:tcPr/>
          <w:p>
            <w:pPr>
              <w:pStyle w:val="Compact"/>
            </w:pPr>
            <w:r>
              <w:t xml:space="preserve">Atypical antipsychotics; psychedelics</w:t>
            </w:r>
          </w:p>
        </w:tc>
      </w:tr>
      <w:tr>
        <w:tc>
          <w:tcPr/>
          <w:p>
            <w:pPr>
              <w:pStyle w:val="Compact"/>
            </w:pPr>
            <w:r>
              <w:t xml:space="preserve">SERT</w:t>
            </w:r>
          </w:p>
        </w:tc>
        <w:tc>
          <w:tcPr/>
          <w:p>
            <w:pPr>
              <w:pStyle w:val="Compact"/>
            </w:pPr>
            <w:r>
              <w:t xml:space="preserve">Serotonin transporter</w:t>
            </w:r>
          </w:p>
        </w:tc>
        <w:tc>
          <w:tcPr/>
          <w:p>
            <w:pPr>
              <w:pStyle w:val="Compact"/>
            </w:pPr>
            <w:r>
              <w:t xml:space="preserve">regression</w:t>
            </w:r>
          </w:p>
        </w:tc>
        <w:tc>
          <w:tcPr/>
          <w:p>
            <w:pPr>
              <w:pStyle w:val="Compact"/>
            </w:pPr>
            <w:r>
              <w:t xml:space="preserve">4,572</w:t>
            </w:r>
          </w:p>
        </w:tc>
        <w:tc>
          <w:tcPr/>
          <w:p>
            <w:pPr>
              <w:pStyle w:val="Compact"/>
            </w:pPr>
            <w:r>
              <w:t xml:space="preserve">1,459</w:t>
            </w:r>
          </w:p>
        </w:tc>
        <w:tc>
          <w:tcPr/>
          <w:p>
            <w:pPr>
              <w:pStyle w:val="Compact"/>
            </w:pPr>
            <w:r>
              <w:t xml:space="preserve">n/a</w:t>
            </w:r>
          </w:p>
        </w:tc>
        <w:tc>
          <w:tcPr/>
          <w:p>
            <w:pPr>
              <w:pStyle w:val="Compact"/>
            </w:pPr>
            <w:r>
              <w:t xml:space="preserve">4,115</w:t>
            </w:r>
          </w:p>
        </w:tc>
        <w:tc>
          <w:tcPr/>
          <w:p>
            <w:pPr>
              <w:pStyle w:val="Compact"/>
            </w:pPr>
            <w:r>
              <w:t xml:space="preserve">457</w:t>
            </w:r>
          </w:p>
        </w:tc>
        <w:tc>
          <w:tcPr/>
          <w:p>
            <w:pPr>
              <w:pStyle w:val="Compact"/>
            </w:pPr>
            <w:r>
              <w:t xml:space="preserve">R2</w:t>
            </w:r>
          </w:p>
        </w:tc>
        <w:tc>
          <w:tcPr/>
          <w:p>
            <w:pPr>
              <w:pStyle w:val="Compact"/>
            </w:pPr>
            <w:r>
              <w:t xml:space="preserve">0.602 ± 0.038</w:t>
            </w:r>
          </w:p>
        </w:tc>
        <w:tc>
          <w:tcPr/>
          <w:p>
            <w:pPr>
              <w:pStyle w:val="Compact"/>
            </w:pPr>
            <w:r>
              <w:t xml:space="preserve">0.389 ± 0.124</w:t>
            </w:r>
          </w:p>
        </w:tc>
        <w:tc>
          <w:tcPr/>
          <w:p>
            <w:pPr>
              <w:pStyle w:val="Compact"/>
            </w:pPr>
            <w:r>
              <w:t xml:space="preserve">SSRI antidepressant target</w:t>
            </w:r>
          </w:p>
        </w:tc>
      </w:tr>
      <w:tr>
        <w:tc>
          <w:tcPr/>
          <w:p>
            <w:pPr>
              <w:pStyle w:val="Compact"/>
            </w:pPr>
            <w:r>
              <w:t xml:space="preserve">antioxidant_DPPH</w:t>
            </w:r>
          </w:p>
        </w:tc>
        <w:tc>
          <w:tcPr/>
          <w:p>
            <w:pPr>
              <w:pStyle w:val="Compact"/>
            </w:pPr>
            <w:r>
              <w:t xml:space="preserve">Radical-scavenging capacity</w:t>
            </w:r>
          </w:p>
        </w:tc>
        <w:tc>
          <w:tcPr/>
          <w:p>
            <w:pPr>
              <w:pStyle w:val="Compact"/>
            </w:pPr>
            <w:r>
              <w:t xml:space="preserve">regression</w:t>
            </w:r>
          </w:p>
        </w:tc>
        <w:tc>
          <w:tcPr/>
          <w:p>
            <w:pPr>
              <w:pStyle w:val="Compact"/>
            </w:pPr>
            <w:r>
              <w:t xml:space="preserve">2,862</w:t>
            </w:r>
          </w:p>
        </w:tc>
        <w:tc>
          <w:tcPr/>
          <w:p>
            <w:pPr>
              <w:pStyle w:val="Compact"/>
            </w:pPr>
            <w:r>
              <w:t xml:space="preserve">919</w:t>
            </w:r>
          </w:p>
        </w:tc>
        <w:tc>
          <w:tcPr/>
          <w:p>
            <w:pPr>
              <w:pStyle w:val="Compact"/>
            </w:pPr>
            <w:r>
              <w:t xml:space="preserve">n/a</w:t>
            </w:r>
          </w:p>
        </w:tc>
        <w:tc>
          <w:tcPr/>
          <w:p>
            <w:pPr>
              <w:pStyle w:val="Compact"/>
            </w:pPr>
            <w:r>
              <w:t xml:space="preserve">2,576</w:t>
            </w:r>
          </w:p>
        </w:tc>
        <w:tc>
          <w:tcPr/>
          <w:p>
            <w:pPr>
              <w:pStyle w:val="Compact"/>
            </w:pPr>
            <w:r>
              <w:t xml:space="preserve">286</w:t>
            </w:r>
          </w:p>
        </w:tc>
        <w:tc>
          <w:tcPr/>
          <w:p>
            <w:pPr>
              <w:pStyle w:val="Compact"/>
            </w:pPr>
            <w:r>
              <w:t xml:space="preserve">R2</w:t>
            </w:r>
          </w:p>
        </w:tc>
        <w:tc>
          <w:tcPr/>
          <w:p>
            <w:pPr>
              <w:pStyle w:val="Compact"/>
            </w:pPr>
            <w:r>
              <w:t xml:space="preserve">0.669 ± 0.065</w:t>
            </w:r>
          </w:p>
        </w:tc>
        <w:tc>
          <w:tcPr/>
          <w:p>
            <w:pPr>
              <w:pStyle w:val="Compact"/>
            </w:pPr>
            <w:r>
              <w:t xml:space="preserve">0.434 ± 0.100</w:t>
            </w:r>
          </w:p>
        </w:tc>
        <w:tc>
          <w:tcPr/>
          <w:p>
            <w:pPr>
              <w:pStyle w:val="Compact"/>
            </w:pPr>
            <w:r>
              <w:t xml:space="preserve">Oxidative stress in neurodegeneration</w:t>
            </w:r>
          </w:p>
        </w:tc>
      </w:tr>
    </w:tbl>
    <w:bookmarkEnd w:id="25"/>
    <w:bookmarkStart w:id="26" w:name="Xaf2db87375f39e9326a30136caf18cbdedc898c"/>
    <w:p>
      <w:pPr>
        <w:pStyle w:val="Heading2"/>
      </w:pPr>
      <w:r>
        <w:t xml:space="preserve">Table 2. Binder classifiers validated against held-out measured inactives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Endpoint</w:t>
            </w:r>
          </w:p>
        </w:tc>
        <w:tc>
          <w:tcPr/>
          <w:p>
            <w:pPr>
              <w:pStyle w:val="Compact"/>
            </w:pPr>
            <w:r>
              <w:t xml:space="preserve">Target</w:t>
            </w:r>
          </w:p>
        </w:tc>
        <w:tc>
          <w:tcPr/>
          <w:p>
            <w:pPr>
              <w:pStyle w:val="Compact"/>
            </w:pPr>
            <w:r>
              <w:t xml:space="preserve">Measured binders</w:t>
            </w:r>
          </w:p>
        </w:tc>
        <w:tc>
          <w:tcPr/>
          <w:p>
            <w:pPr>
              <w:pStyle w:val="Compact"/>
            </w:pPr>
            <w:r>
              <w:t xml:space="preserve">Training negatives</w:t>
            </w:r>
          </w:p>
        </w:tc>
        <w:tc>
          <w:tcPr/>
          <w:p>
            <w:pPr>
              <w:pStyle w:val="Compact"/>
            </w:pPr>
            <w:r>
              <w:t xml:space="preserve">AUROC (held-out measured inactives)</w:t>
            </w:r>
          </w:p>
        </w:tc>
        <w:tc>
          <w:tcPr/>
          <w:p>
            <w:pPr>
              <w:pStyle w:val="Compact"/>
            </w:pPr>
            <w:r>
              <w:t xml:space="preserve">Threshold</w:t>
            </w:r>
          </w:p>
        </w:tc>
        <w:tc>
          <w:tcPr/>
          <w:p>
            <w:pPr>
              <w:pStyle w:val="Compact"/>
            </w:pPr>
            <w:r>
              <w:t xml:space="preserve">Sensitivity</w:t>
            </w:r>
          </w:p>
        </w:tc>
        <w:tc>
          <w:tcPr/>
          <w:p>
            <w:pPr>
              <w:pStyle w:val="Compact"/>
            </w:pPr>
            <w:r>
              <w:t xml:space="preserve">Why this endpoint</w:t>
            </w:r>
          </w:p>
        </w:tc>
      </w:tr>
      <w:tr>
        <w:tc>
          <w:tcPr/>
          <w:p>
            <w:pPr>
              <w:pStyle w:val="Compact"/>
            </w:pPr>
            <w:r>
              <w:t xml:space="preserve">D2</w:t>
            </w:r>
          </w:p>
        </w:tc>
        <w:tc>
          <w:tcPr/>
          <w:p>
            <w:pPr>
              <w:pStyle w:val="Compact"/>
            </w:pPr>
            <w:r>
              <w:t xml:space="preserve">Dopamine D2 receptor</w:t>
            </w:r>
          </w:p>
        </w:tc>
        <w:tc>
          <w:tcPr/>
          <w:p>
            <w:pPr>
              <w:pStyle w:val="Compact"/>
            </w:pPr>
            <w:r>
              <w:t xml:space="preserve">3,676</w:t>
            </w:r>
          </w:p>
        </w:tc>
        <w:tc>
          <w:tcPr/>
          <w:p>
            <w:pPr>
              <w:pStyle w:val="Compact"/>
            </w:pPr>
            <w:r>
              <w:t xml:space="preserve">10,895</w:t>
            </w:r>
          </w:p>
        </w:tc>
        <w:tc>
          <w:tcPr/>
          <w:p>
            <w:pPr>
              <w:pStyle w:val="Compact"/>
            </w:pPr>
            <w:r>
              <w:t xml:space="preserve">0.938</w:t>
            </w:r>
          </w:p>
        </w:tc>
        <w:tc>
          <w:tcPr/>
          <w:p>
            <w:pPr>
              <w:pStyle w:val="Compact"/>
            </w:pPr>
            <w:r>
              <w:t xml:space="preserve">0.986</w:t>
            </w:r>
          </w:p>
        </w:tc>
        <w:tc>
          <w:tcPr/>
          <w:p>
            <w:pPr>
              <w:pStyle w:val="Compact"/>
            </w:pPr>
            <w:r>
              <w:t xml:space="preserve">0.785</w:t>
            </w:r>
          </w:p>
        </w:tc>
        <w:tc>
          <w:tcPr/>
          <w:p>
            <w:pPr>
              <w:pStyle w:val="Compact"/>
            </w:pPr>
            <w:r>
              <w:t xml:space="preserve">Antipsychotic efficacy</w:t>
            </w:r>
          </w:p>
        </w:tc>
      </w:tr>
      <w:tr>
        <w:tc>
          <w:tcPr/>
          <w:p>
            <w:pPr>
              <w:pStyle w:val="Compact"/>
            </w:pPr>
            <w:r>
              <w:t xml:space="preserve">A2A</w:t>
            </w:r>
          </w:p>
        </w:tc>
        <w:tc>
          <w:tcPr/>
          <w:p>
            <w:pPr>
              <w:pStyle w:val="Compact"/>
            </w:pPr>
            <w:r>
              <w:t xml:space="preserve">Adenosine A2A receptor</w:t>
            </w:r>
          </w:p>
        </w:tc>
        <w:tc>
          <w:tcPr/>
          <w:p>
            <w:pPr>
              <w:pStyle w:val="Compact"/>
            </w:pPr>
            <w:r>
              <w:t xml:space="preserve">4,352</w:t>
            </w:r>
          </w:p>
        </w:tc>
        <w:tc>
          <w:tcPr/>
          <w:p>
            <w:pPr>
              <w:pStyle w:val="Compact"/>
            </w:pPr>
            <w:r>
              <w:t xml:space="preserve">12,941</w:t>
            </w:r>
          </w:p>
        </w:tc>
        <w:tc>
          <w:tcPr/>
          <w:p>
            <w:pPr>
              <w:pStyle w:val="Compact"/>
            </w:pPr>
            <w:r>
              <w:t xml:space="preserve">0.960</w:t>
            </w:r>
          </w:p>
        </w:tc>
        <w:tc>
          <w:tcPr/>
          <w:p>
            <w:pPr>
              <w:pStyle w:val="Compact"/>
            </w:pPr>
            <w:r>
              <w:t xml:space="preserve">0.994</w:t>
            </w:r>
          </w:p>
        </w:tc>
        <w:tc>
          <w:tcPr/>
          <w:p>
            <w:pPr>
              <w:pStyle w:val="Compact"/>
            </w:pPr>
            <w:r>
              <w:t xml:space="preserve">0.861</w:t>
            </w:r>
          </w:p>
        </w:tc>
        <w:tc>
          <w:tcPr/>
          <w:p>
            <w:pPr>
              <w:pStyle w:val="Compact"/>
            </w:pPr>
            <w:r>
              <w:t xml:space="preserve">Non-dopaminergic Parkinson target</w:t>
            </w:r>
          </w:p>
        </w:tc>
      </w:tr>
      <w:tr>
        <w:tc>
          <w:tcPr/>
          <w:p>
            <w:pPr>
              <w:pStyle w:val="Compact"/>
            </w:pPr>
            <w:r>
              <w:t xml:space="preserve">HT2A</w:t>
            </w:r>
          </w:p>
        </w:tc>
        <w:tc>
          <w:tcPr/>
          <w:p>
            <w:pPr>
              <w:pStyle w:val="Compact"/>
            </w:pPr>
            <w:r>
              <w:t xml:space="preserve">Serotonin 5-HT2A receptor</w:t>
            </w:r>
          </w:p>
        </w:tc>
        <w:tc>
          <w:tcPr/>
          <w:p>
            <w:pPr>
              <w:pStyle w:val="Compact"/>
            </w:pPr>
            <w:r>
              <w:t xml:space="preserve">3,951</w:t>
            </w:r>
          </w:p>
        </w:tc>
        <w:tc>
          <w:tcPr/>
          <w:p>
            <w:pPr>
              <w:pStyle w:val="Compact"/>
            </w:pPr>
            <w:r>
              <w:t xml:space="preserve">11,813</w:t>
            </w:r>
          </w:p>
        </w:tc>
        <w:tc>
          <w:tcPr/>
          <w:p>
            <w:pPr>
              <w:pStyle w:val="Compact"/>
            </w:pPr>
            <w:r>
              <w:t xml:space="preserve">0.953</w:t>
            </w:r>
          </w:p>
        </w:tc>
        <w:tc>
          <w:tcPr/>
          <w:p>
            <w:pPr>
              <w:pStyle w:val="Compact"/>
            </w:pPr>
            <w:r>
              <w:t xml:space="preserve">0.983</w:t>
            </w:r>
          </w:p>
        </w:tc>
        <w:tc>
          <w:tcPr/>
          <w:p>
            <w:pPr>
              <w:pStyle w:val="Compact"/>
            </w:pPr>
            <w:r>
              <w:t xml:space="preserve">0.850</w:t>
            </w:r>
          </w:p>
        </w:tc>
        <w:tc>
          <w:tcPr/>
          <w:p>
            <w:pPr>
              <w:pStyle w:val="Compact"/>
            </w:pPr>
            <w:r>
              <w:t xml:space="preserve">Atypical antipsychotic profile</w:t>
            </w:r>
          </w:p>
        </w:tc>
      </w:tr>
      <w:tr>
        <w:tc>
          <w:tcPr/>
          <w:p>
            <w:pPr>
              <w:pStyle w:val="Compact"/>
            </w:pPr>
            <w:r>
              <w:t xml:space="preserve">SERT</w:t>
            </w:r>
          </w:p>
        </w:tc>
        <w:tc>
          <w:tcPr/>
          <w:p>
            <w:pPr>
              <w:pStyle w:val="Compact"/>
            </w:pPr>
            <w:r>
              <w:t xml:space="preserve">Serotonin transporter</w:t>
            </w:r>
          </w:p>
        </w:tc>
        <w:tc>
          <w:tcPr/>
          <w:p>
            <w:pPr>
              <w:pStyle w:val="Compact"/>
            </w:pPr>
            <w:r>
              <w:t xml:space="preserve">3,028</w:t>
            </w:r>
          </w:p>
        </w:tc>
        <w:tc>
          <w:tcPr/>
          <w:p>
            <w:pPr>
              <w:pStyle w:val="Compact"/>
            </w:pPr>
            <w:r>
              <w:t xml:space="preserve">9,012</w:t>
            </w:r>
          </w:p>
        </w:tc>
        <w:tc>
          <w:tcPr/>
          <w:p>
            <w:pPr>
              <w:pStyle w:val="Compact"/>
            </w:pPr>
            <w:r>
              <w:t xml:space="preserve">0.983</w:t>
            </w:r>
          </w:p>
        </w:tc>
        <w:tc>
          <w:tcPr/>
          <w:p>
            <w:pPr>
              <w:pStyle w:val="Compact"/>
            </w:pPr>
            <w:r>
              <w:t xml:space="preserve">0.768</w:t>
            </w:r>
          </w:p>
        </w:tc>
        <w:tc>
          <w:tcPr/>
          <w:p>
            <w:pPr>
              <w:pStyle w:val="Compact"/>
            </w:pPr>
            <w:r>
              <w:t xml:space="preserve">0.970</w:t>
            </w:r>
          </w:p>
        </w:tc>
        <w:tc>
          <w:tcPr/>
          <w:p>
            <w:pPr>
              <w:pStyle w:val="Compact"/>
            </w:pPr>
            <w:r>
              <w:t xml:space="preserve">SSRI antidepressant target</w:t>
            </w:r>
          </w:p>
        </w:tc>
      </w:tr>
      <w:tr>
        <w:tc>
          <w:tcPr/>
          <w:p>
            <w:pPr>
              <w:pStyle w:val="Compact"/>
            </w:pPr>
            <w:r>
              <w:t xml:space="preserve">HT1A</w:t>
            </w:r>
          </w:p>
        </w:tc>
        <w:tc>
          <w:tcPr/>
          <w:p>
            <w:pPr>
              <w:pStyle w:val="Compact"/>
            </w:pPr>
            <w:r>
              <w:t xml:space="preserve">5-HT1A receptor</w:t>
            </w:r>
          </w:p>
        </w:tc>
        <w:tc>
          <w:tcPr/>
          <w:p>
            <w:pPr>
              <w:pStyle w:val="Compact"/>
            </w:pPr>
            <w:r>
              <w:t xml:space="preserve">3,703</w:t>
            </w:r>
          </w:p>
        </w:tc>
        <w:tc>
          <w:tcPr/>
          <w:p>
            <w:pPr>
              <w:pStyle w:val="Compact"/>
            </w:pPr>
            <w:r>
              <w:t xml:space="preserve">11,012</w:t>
            </w:r>
          </w:p>
        </w:tc>
        <w:tc>
          <w:tcPr/>
          <w:p>
            <w:pPr>
              <w:pStyle w:val="Compact"/>
            </w:pPr>
            <w:r>
              <w:t xml:space="preserve">0.989</w:t>
            </w:r>
          </w:p>
        </w:tc>
        <w:tc>
          <w:tcPr/>
          <w:p>
            <w:pPr>
              <w:pStyle w:val="Compact"/>
            </w:pPr>
            <w:r>
              <w:t xml:space="preserve">0.758</w:t>
            </w:r>
          </w:p>
        </w:tc>
        <w:tc>
          <w:tcPr/>
          <w:p>
            <w:pPr>
              <w:pStyle w:val="Compact"/>
            </w:pPr>
            <w:r>
              <w:t xml:space="preserve">0.971</w:t>
            </w:r>
          </w:p>
        </w:tc>
        <w:tc>
          <w:tcPr/>
          <w:p>
            <w:pPr>
              <w:pStyle w:val="Compact"/>
            </w:pPr>
            <w:r>
              <w:t xml:space="preserve">Anxiety, depression (buspirone)</w:t>
            </w:r>
          </w:p>
        </w:tc>
      </w:tr>
      <w:tr>
        <w:tc>
          <w:tcPr/>
          <w:p>
            <w:pPr>
              <w:pStyle w:val="Compact"/>
            </w:pPr>
            <w:r>
              <w:t xml:space="preserve">HT6</w:t>
            </w:r>
          </w:p>
        </w:tc>
        <w:tc>
          <w:tcPr/>
          <w:p>
            <w:pPr>
              <w:pStyle w:val="Compact"/>
            </w:pPr>
            <w:r>
              <w:t xml:space="preserve">5-HT6 receptor</w:t>
            </w:r>
          </w:p>
        </w:tc>
        <w:tc>
          <w:tcPr/>
          <w:p>
            <w:pPr>
              <w:pStyle w:val="Compact"/>
            </w:pPr>
            <w:r>
              <w:t xml:space="preserve">2,741</w:t>
            </w:r>
          </w:p>
        </w:tc>
        <w:tc>
          <w:tcPr/>
          <w:p>
            <w:pPr>
              <w:pStyle w:val="Compact"/>
            </w:pPr>
            <w:r>
              <w:t xml:space="preserve">8,195</w:t>
            </w:r>
          </w:p>
        </w:tc>
        <w:tc>
          <w:tcPr/>
          <w:p>
            <w:pPr>
              <w:pStyle w:val="Compact"/>
            </w:pPr>
            <w:r>
              <w:t xml:space="preserve">0.977</w:t>
            </w:r>
          </w:p>
        </w:tc>
        <w:tc>
          <w:tcPr/>
          <w:p>
            <w:pPr>
              <w:pStyle w:val="Compact"/>
            </w:pPr>
            <w:r>
              <w:t xml:space="preserve">0.947</w:t>
            </w:r>
          </w:p>
        </w:tc>
        <w:tc>
          <w:tcPr/>
          <w:p>
            <w:pPr>
              <w:pStyle w:val="Compact"/>
            </w:pPr>
            <w:r>
              <w:t xml:space="preserve">0.942</w:t>
            </w:r>
          </w:p>
        </w:tc>
        <w:tc>
          <w:tcPr/>
          <w:p>
            <w:pPr>
              <w:pStyle w:val="Compact"/>
            </w:pPr>
            <w:r>
              <w:t xml:space="preserve">Cognition enhancement in Alzheimer</w:t>
            </w:r>
          </w:p>
        </w:tc>
      </w:tr>
      <w:tr>
        <w:tc>
          <w:tcPr/>
          <w:p>
            <w:pPr>
              <w:pStyle w:val="Compact"/>
            </w:pPr>
            <w:r>
              <w:t xml:space="preserve">HT7</w:t>
            </w:r>
          </w:p>
        </w:tc>
        <w:tc>
          <w:tcPr/>
          <w:p>
            <w:pPr>
              <w:pStyle w:val="Compact"/>
            </w:pPr>
            <w:r>
              <w:t xml:space="preserve">5-HT7 receptor</w:t>
            </w:r>
          </w:p>
        </w:tc>
        <w:tc>
          <w:tcPr/>
          <w:p>
            <w:pPr>
              <w:pStyle w:val="Compact"/>
            </w:pPr>
            <w:r>
              <w:t xml:space="preserve">1,478</w:t>
            </w:r>
          </w:p>
        </w:tc>
        <w:tc>
          <w:tcPr/>
          <w:p>
            <w:pPr>
              <w:pStyle w:val="Compact"/>
            </w:pPr>
            <w:r>
              <w:t xml:space="preserve">4,377</w:t>
            </w:r>
          </w:p>
        </w:tc>
        <w:tc>
          <w:tcPr/>
          <w:p>
            <w:pPr>
              <w:pStyle w:val="Compact"/>
            </w:pPr>
            <w:r>
              <w:t xml:space="preserve">0.960</w:t>
            </w:r>
          </w:p>
        </w:tc>
        <w:tc>
          <w:tcPr/>
          <w:p>
            <w:pPr>
              <w:pStyle w:val="Compact"/>
            </w:pPr>
            <w:r>
              <w:t xml:space="preserve">0.921</w:t>
            </w:r>
          </w:p>
        </w:tc>
        <w:tc>
          <w:tcPr/>
          <w:p>
            <w:pPr>
              <w:pStyle w:val="Compact"/>
            </w:pPr>
            <w:r>
              <w:t xml:space="preserve">0.913</w:t>
            </w:r>
          </w:p>
        </w:tc>
        <w:tc>
          <w:tcPr/>
          <w:p>
            <w:pPr>
              <w:pStyle w:val="Compact"/>
            </w:pPr>
            <w:r>
              <w:t xml:space="preserve">Mood, circadian rhythm, sleep</w:t>
            </w:r>
          </w:p>
        </w:tc>
      </w:tr>
      <w:tr>
        <w:tc>
          <w:tcPr/>
          <w:p>
            <w:pPr>
              <w:pStyle w:val="Compact"/>
            </w:pPr>
            <w:r>
              <w:t xml:space="preserve">H3</w:t>
            </w:r>
          </w:p>
        </w:tc>
        <w:tc>
          <w:tcPr/>
          <w:p>
            <w:pPr>
              <w:pStyle w:val="Compact"/>
            </w:pPr>
            <w:r>
              <w:t xml:space="preserve">Histamine H3 receptor</w:t>
            </w:r>
          </w:p>
        </w:tc>
        <w:tc>
          <w:tcPr/>
          <w:p>
            <w:pPr>
              <w:pStyle w:val="Compact"/>
            </w:pPr>
            <w:r>
              <w:t xml:space="preserve">3,212</w:t>
            </w:r>
          </w:p>
        </w:tc>
        <w:tc>
          <w:tcPr/>
          <w:p>
            <w:pPr>
              <w:pStyle w:val="Compact"/>
            </w:pPr>
            <w:r>
              <w:t xml:space="preserve">9,548</w:t>
            </w:r>
          </w:p>
        </w:tc>
        <w:tc>
          <w:tcPr/>
          <w:p>
            <w:pPr>
              <w:pStyle w:val="Compact"/>
            </w:pPr>
            <w:r>
              <w:t xml:space="preserve">0.990</w:t>
            </w:r>
          </w:p>
        </w:tc>
        <w:tc>
          <w:tcPr/>
          <w:p>
            <w:pPr>
              <w:pStyle w:val="Compact"/>
            </w:pPr>
            <w:r>
              <w:t xml:space="preserve">0.919</w:t>
            </w:r>
          </w:p>
        </w:tc>
        <w:tc>
          <w:tcPr/>
          <w:p>
            <w:pPr>
              <w:pStyle w:val="Compact"/>
            </w:pPr>
            <w:r>
              <w:t xml:space="preserve">0.964</w:t>
            </w:r>
          </w:p>
        </w:tc>
        <w:tc>
          <w:tcPr/>
          <w:p>
            <w:pPr>
              <w:pStyle w:val="Compact"/>
            </w:pPr>
            <w:r>
              <w:t xml:space="preserve">Wakefulness (pitolisant), cognition</w:t>
            </w:r>
          </w:p>
        </w:tc>
      </w:tr>
      <w:tr>
        <w:tc>
          <w:tcPr/>
          <w:p>
            <w:pPr>
              <w:pStyle w:val="Compact"/>
            </w:pPr>
            <w:r>
              <w:t xml:space="preserve">DAT</w:t>
            </w:r>
          </w:p>
        </w:tc>
        <w:tc>
          <w:tcPr/>
          <w:p>
            <w:pPr>
              <w:pStyle w:val="Compact"/>
            </w:pPr>
            <w:r>
              <w:t xml:space="preserve">Dopamine transporter</w:t>
            </w:r>
          </w:p>
        </w:tc>
        <w:tc>
          <w:tcPr/>
          <w:p>
            <w:pPr>
              <w:pStyle w:val="Compact"/>
            </w:pPr>
            <w:r>
              <w:t xml:space="preserve">1,337</w:t>
            </w:r>
          </w:p>
        </w:tc>
        <w:tc>
          <w:tcPr/>
          <w:p>
            <w:pPr>
              <w:pStyle w:val="Compact"/>
            </w:pPr>
            <w:r>
              <w:t xml:space="preserve">3,855</w:t>
            </w:r>
          </w:p>
        </w:tc>
        <w:tc>
          <w:tcPr/>
          <w:p>
            <w:pPr>
              <w:pStyle w:val="Compact"/>
            </w:pPr>
            <w:r>
              <w:t xml:space="preserve">0.986</w:t>
            </w:r>
          </w:p>
        </w:tc>
        <w:tc>
          <w:tcPr/>
          <w:p>
            <w:pPr>
              <w:pStyle w:val="Compact"/>
            </w:pPr>
            <w:r>
              <w:t xml:space="preserve">0.531</w:t>
            </w:r>
          </w:p>
        </w:tc>
        <w:tc>
          <w:tcPr/>
          <w:p>
            <w:pPr>
              <w:pStyle w:val="Compact"/>
            </w:pPr>
            <w:r>
              <w:t xml:space="preserve">0.984</w:t>
            </w:r>
          </w:p>
        </w:tc>
        <w:tc>
          <w:tcPr/>
          <w:p>
            <w:pPr>
              <w:pStyle w:val="Compact"/>
            </w:pPr>
            <w:r>
              <w:t xml:space="preserve">ADHD, addiction, stimulant liability</w:t>
            </w:r>
          </w:p>
        </w:tc>
      </w:tr>
      <w:tr>
        <w:tc>
          <w:tcPr/>
          <w:p>
            <w:pPr>
              <w:pStyle w:val="Compact"/>
            </w:pPr>
            <w:r>
              <w:t xml:space="preserve">NET</w:t>
            </w:r>
          </w:p>
        </w:tc>
        <w:tc>
          <w:tcPr/>
          <w:p>
            <w:pPr>
              <w:pStyle w:val="Compact"/>
            </w:pPr>
            <w:r>
              <w:t xml:space="preserve">Noradrenaline transporter</w:t>
            </w:r>
          </w:p>
        </w:tc>
        <w:tc>
          <w:tcPr/>
          <w:p>
            <w:pPr>
              <w:pStyle w:val="Compact"/>
            </w:pPr>
            <w:r>
              <w:t xml:space="preserve">1,572</w:t>
            </w:r>
          </w:p>
        </w:tc>
        <w:tc>
          <w:tcPr/>
          <w:p>
            <w:pPr>
              <w:pStyle w:val="Compact"/>
            </w:pPr>
            <w:r>
              <w:t xml:space="preserve">4,583</w:t>
            </w:r>
          </w:p>
        </w:tc>
        <w:tc>
          <w:tcPr/>
          <w:p>
            <w:pPr>
              <w:pStyle w:val="Compact"/>
            </w:pPr>
            <w:r>
              <w:t xml:space="preserve">0.990</w:t>
            </w:r>
          </w:p>
        </w:tc>
        <w:tc>
          <w:tcPr/>
          <w:p>
            <w:pPr>
              <w:pStyle w:val="Compact"/>
            </w:pPr>
            <w:r>
              <w:t xml:space="preserve">0.715</w:t>
            </w:r>
          </w:p>
        </w:tc>
        <w:tc>
          <w:tcPr/>
          <w:p>
            <w:pPr>
              <w:pStyle w:val="Compact"/>
            </w:pPr>
            <w:r>
              <w:t xml:space="preserve">0.971</w:t>
            </w:r>
          </w:p>
        </w:tc>
        <w:tc>
          <w:tcPr/>
          <w:p>
            <w:pPr>
              <w:pStyle w:val="Compact"/>
            </w:pPr>
            <w:r>
              <w:t xml:space="preserve">Depression, ADHD (atomoxetine)</w:t>
            </w:r>
          </w:p>
        </w:tc>
      </w:tr>
      <w:tr>
        <w:tc>
          <w:tcPr/>
          <w:p>
            <w:pPr>
              <w:pStyle w:val="Compact"/>
            </w:pPr>
            <w:r>
              <w:t xml:space="preserve">Sigma1</w:t>
            </w:r>
          </w:p>
        </w:tc>
        <w:tc>
          <w:tcPr/>
          <w:p>
            <w:pPr>
              <w:pStyle w:val="Compact"/>
            </w:pPr>
            <w:r>
              <w:t xml:space="preserve">Sigma-1 receptor</w:t>
            </w:r>
          </w:p>
        </w:tc>
        <w:tc>
          <w:tcPr/>
          <w:p>
            <w:pPr>
              <w:pStyle w:val="Compact"/>
            </w:pPr>
            <w:r>
              <w:t xml:space="preserve">1,928</w:t>
            </w:r>
          </w:p>
        </w:tc>
        <w:tc>
          <w:tcPr/>
          <w:p>
            <w:pPr>
              <w:pStyle w:val="Compact"/>
            </w:pPr>
            <w:r>
              <w:t xml:space="preserve">5,762</w:t>
            </w:r>
          </w:p>
        </w:tc>
        <w:tc>
          <w:tcPr/>
          <w:p>
            <w:pPr>
              <w:pStyle w:val="Compact"/>
            </w:pPr>
            <w:r>
              <w:t xml:space="preserve">0.940</w:t>
            </w:r>
          </w:p>
        </w:tc>
        <w:tc>
          <w:tcPr/>
          <w:p>
            <w:pPr>
              <w:pStyle w:val="Compact"/>
            </w:pPr>
            <w:r>
              <w:t xml:space="preserve">0.955</w:t>
            </w:r>
          </w:p>
        </w:tc>
        <w:tc>
          <w:tcPr/>
          <w:p>
            <w:pPr>
              <w:pStyle w:val="Compact"/>
            </w:pPr>
            <w:r>
              <w:t xml:space="preserve">0.856</w:t>
            </w:r>
          </w:p>
        </w:tc>
        <w:tc>
          <w:tcPr/>
          <w:p>
            <w:pPr>
              <w:pStyle w:val="Compact"/>
            </w:pPr>
            <w:r>
              <w:t xml:space="preserve">Neuroprotection, ER-stress chaperone</w:t>
            </w:r>
          </w:p>
        </w:tc>
      </w:tr>
      <w:tr>
        <w:tc>
          <w:tcPr/>
          <w:p>
            <w:pPr>
              <w:pStyle w:val="Compact"/>
            </w:pPr>
            <w:r>
              <w:t xml:space="preserve">CB1</w:t>
            </w:r>
          </w:p>
        </w:tc>
        <w:tc>
          <w:tcPr/>
          <w:p>
            <w:pPr>
              <w:pStyle w:val="Compact"/>
            </w:pPr>
            <w:r>
              <w:t xml:space="preserve">Cannabinoid CB1 receptor</w:t>
            </w:r>
          </w:p>
        </w:tc>
        <w:tc>
          <w:tcPr/>
          <w:p>
            <w:pPr>
              <w:pStyle w:val="Compact"/>
            </w:pPr>
            <w:r>
              <w:t xml:space="preserve">2,680</w:t>
            </w:r>
          </w:p>
        </w:tc>
        <w:tc>
          <w:tcPr/>
          <w:p>
            <w:pPr>
              <w:pStyle w:val="Compact"/>
            </w:pPr>
            <w:r>
              <w:t xml:space="preserve">7,936</w:t>
            </w:r>
          </w:p>
        </w:tc>
        <w:tc>
          <w:tcPr/>
          <w:p>
            <w:pPr>
              <w:pStyle w:val="Compact"/>
            </w:pPr>
            <w:r>
              <w:t xml:space="preserve">0.965</w:t>
            </w:r>
          </w:p>
        </w:tc>
        <w:tc>
          <w:tcPr/>
          <w:p>
            <w:pPr>
              <w:pStyle w:val="Compact"/>
            </w:pPr>
            <w:r>
              <w:t xml:space="preserve">0.988</w:t>
            </w:r>
          </w:p>
        </w:tc>
        <w:tc>
          <w:tcPr/>
          <w:p>
            <w:pPr>
              <w:pStyle w:val="Compact"/>
            </w:pPr>
            <w:r>
              <w:t xml:space="preserve">0.878</w:t>
            </w:r>
          </w:p>
        </w:tc>
        <w:tc>
          <w:tcPr/>
          <w:p>
            <w:pPr>
              <w:pStyle w:val="Compact"/>
            </w:pPr>
            <w:r>
              <w:t xml:space="preserve">Pain, appetite, mood</w:t>
            </w:r>
          </w:p>
        </w:tc>
      </w:tr>
      <w:tr>
        <w:tc>
          <w:tcPr/>
          <w:p>
            <w:pPr>
              <w:pStyle w:val="Compact"/>
            </w:pPr>
            <w:r>
              <w:t xml:space="preserve">OPRK1</w:t>
            </w:r>
          </w:p>
        </w:tc>
        <w:tc>
          <w:tcPr/>
          <w:p>
            <w:pPr>
              <w:pStyle w:val="Compact"/>
            </w:pPr>
            <w:r>
              <w:t xml:space="preserve">Kappa-opioid receptor</w:t>
            </w:r>
          </w:p>
        </w:tc>
        <w:tc>
          <w:tcPr/>
          <w:p>
            <w:pPr>
              <w:pStyle w:val="Compact"/>
            </w:pPr>
            <w:r>
              <w:t xml:space="preserve">3,059</w:t>
            </w:r>
          </w:p>
        </w:tc>
        <w:tc>
          <w:tcPr/>
          <w:p>
            <w:pPr>
              <w:pStyle w:val="Compact"/>
            </w:pPr>
            <w:r>
              <w:t xml:space="preserve">9,022</w:t>
            </w:r>
          </w:p>
        </w:tc>
        <w:tc>
          <w:tcPr/>
          <w:p>
            <w:pPr>
              <w:pStyle w:val="Compact"/>
            </w:pPr>
            <w:r>
              <w:t xml:space="preserve">0.968</w:t>
            </w:r>
          </w:p>
        </w:tc>
        <w:tc>
          <w:tcPr/>
          <w:p>
            <w:pPr>
              <w:pStyle w:val="Compact"/>
            </w:pPr>
            <w:r>
              <w:t xml:space="preserve">0.991</w:t>
            </w:r>
          </w:p>
        </w:tc>
        <w:tc>
          <w:tcPr/>
          <w:p>
            <w:pPr>
              <w:pStyle w:val="Compact"/>
            </w:pPr>
            <w:r>
              <w:t xml:space="preserve">0.903</w:t>
            </w:r>
          </w:p>
        </w:tc>
        <w:tc>
          <w:tcPr/>
          <w:p>
            <w:pPr>
              <w:pStyle w:val="Compact"/>
            </w:pPr>
            <w:r>
              <w:t xml:space="preserve">Analgesia, dysphoria, mood</w:t>
            </w:r>
          </w:p>
        </w:tc>
      </w:tr>
      <w:tr>
        <w:tc>
          <w:tcPr/>
          <w:p>
            <w:pPr>
              <w:pStyle w:val="Compact"/>
            </w:pPr>
            <w:r>
              <w:t xml:space="preserve">OPRM1</w:t>
            </w:r>
          </w:p>
        </w:tc>
        <w:tc>
          <w:tcPr/>
          <w:p>
            <w:pPr>
              <w:pStyle w:val="Compact"/>
            </w:pPr>
            <w:r>
              <w:t xml:space="preserve">Mu-opioid receptor</w:t>
            </w:r>
          </w:p>
        </w:tc>
        <w:tc>
          <w:tcPr/>
          <w:p>
            <w:pPr>
              <w:pStyle w:val="Compact"/>
            </w:pPr>
            <w:r>
              <w:t xml:space="preserve">3,718</w:t>
            </w:r>
          </w:p>
        </w:tc>
        <w:tc>
          <w:tcPr/>
          <w:p>
            <w:pPr>
              <w:pStyle w:val="Compact"/>
            </w:pPr>
            <w:r>
              <w:t xml:space="preserve">10,971</w:t>
            </w:r>
          </w:p>
        </w:tc>
        <w:tc>
          <w:tcPr/>
          <w:p>
            <w:pPr>
              <w:pStyle w:val="Compact"/>
            </w:pPr>
            <w:r>
              <w:t xml:space="preserve">0.981</w:t>
            </w:r>
          </w:p>
        </w:tc>
        <w:tc>
          <w:tcPr/>
          <w:p>
            <w:pPr>
              <w:pStyle w:val="Compact"/>
            </w:pPr>
            <w:r>
              <w:t xml:space="preserve">0.874</w:t>
            </w:r>
          </w:p>
        </w:tc>
        <w:tc>
          <w:tcPr/>
          <w:p>
            <w:pPr>
              <w:pStyle w:val="Compact"/>
            </w:pPr>
            <w:r>
              <w:t xml:space="preserve">0.969</w:t>
            </w:r>
          </w:p>
        </w:tc>
        <w:tc>
          <w:tcPr/>
          <w:p>
            <w:pPr>
              <w:pStyle w:val="Compact"/>
            </w:pPr>
            <w:r>
              <w:t xml:space="preserve">Analgesia, addiction liability</w:t>
            </w:r>
          </w:p>
        </w:tc>
      </w:tr>
      <w:tr>
        <w:tc>
          <w:tcPr/>
          <w:p>
            <w:pPr>
              <w:pStyle w:val="Compact"/>
            </w:pPr>
            <w:r>
              <w:t xml:space="preserve">D3</w:t>
            </w:r>
          </w:p>
        </w:tc>
        <w:tc>
          <w:tcPr/>
          <w:p>
            <w:pPr>
              <w:pStyle w:val="Compact"/>
            </w:pPr>
            <w:r>
              <w:t xml:space="preserve">Dopamine D3 receptor</w:t>
            </w:r>
          </w:p>
        </w:tc>
        <w:tc>
          <w:tcPr/>
          <w:p>
            <w:pPr>
              <w:pStyle w:val="Compact"/>
            </w:pPr>
            <w:r>
              <w:t xml:space="preserve">4,127</w:t>
            </w:r>
          </w:p>
        </w:tc>
        <w:tc>
          <w:tcPr/>
          <w:p>
            <w:pPr>
              <w:pStyle w:val="Compact"/>
            </w:pPr>
            <w:r>
              <w:t xml:space="preserve">12,289</w:t>
            </w:r>
          </w:p>
        </w:tc>
        <w:tc>
          <w:tcPr/>
          <w:p>
            <w:pPr>
              <w:pStyle w:val="Compact"/>
            </w:pPr>
            <w:r>
              <w:t xml:space="preserve">0.978</w:t>
            </w:r>
          </w:p>
        </w:tc>
        <w:tc>
          <w:tcPr/>
          <w:p>
            <w:pPr>
              <w:pStyle w:val="Compact"/>
            </w:pPr>
            <w:r>
              <w:t xml:space="preserve">0.960</w:t>
            </w:r>
          </w:p>
        </w:tc>
        <w:tc>
          <w:tcPr/>
          <w:p>
            <w:pPr>
              <w:pStyle w:val="Compact"/>
            </w:pPr>
            <w:r>
              <w:t xml:space="preserve">0.938</w:t>
            </w:r>
          </w:p>
        </w:tc>
        <w:tc>
          <w:tcPr/>
          <w:p>
            <w:pPr>
              <w:pStyle w:val="Compact"/>
            </w:pPr>
            <w:r>
              <w:t xml:space="preserve">Addiction, Parkinson motor complications</w:t>
            </w:r>
          </w:p>
        </w:tc>
      </w:tr>
      <w:tr>
        <w:tc>
          <w:tcPr/>
          <w:p>
            <w:pPr>
              <w:pStyle w:val="Compact"/>
            </w:pPr>
            <w:r>
              <w:t xml:space="preserve">A1</w:t>
            </w:r>
          </w:p>
        </w:tc>
        <w:tc>
          <w:tcPr/>
          <w:p>
            <w:pPr>
              <w:pStyle w:val="Compact"/>
            </w:pPr>
            <w:r>
              <w:t xml:space="preserve">Adenosine A1 receptor</w:t>
            </w:r>
          </w:p>
        </w:tc>
        <w:tc>
          <w:tcPr/>
          <w:p>
            <w:pPr>
              <w:pStyle w:val="Compact"/>
            </w:pPr>
            <w:r>
              <w:t xml:space="preserve">1,943</w:t>
            </w:r>
          </w:p>
        </w:tc>
        <w:tc>
          <w:tcPr/>
          <w:p>
            <w:pPr>
              <w:pStyle w:val="Compact"/>
            </w:pPr>
            <w:r>
              <w:t xml:space="preserve">5,720</w:t>
            </w:r>
          </w:p>
        </w:tc>
        <w:tc>
          <w:tcPr/>
          <w:p>
            <w:pPr>
              <w:pStyle w:val="Compact"/>
            </w:pPr>
            <w:r>
              <w:t xml:space="preserve">0.954</w:t>
            </w:r>
          </w:p>
        </w:tc>
        <w:tc>
          <w:tcPr/>
          <w:p>
            <w:pPr>
              <w:pStyle w:val="Compact"/>
            </w:pPr>
            <w:r>
              <w:t xml:space="preserve">0.978</w:t>
            </w:r>
          </w:p>
        </w:tc>
        <w:tc>
          <w:tcPr/>
          <w:p>
            <w:pPr>
              <w:pStyle w:val="Compact"/>
            </w:pPr>
            <w:r>
              <w:t xml:space="preserve">0.847</w:t>
            </w:r>
          </w:p>
        </w:tc>
        <w:tc>
          <w:tcPr/>
          <w:p>
            <w:pPr>
              <w:pStyle w:val="Compact"/>
            </w:pPr>
            <w:r>
              <w:t xml:space="preserve">Neuroprotection, epilepsy, sedation</w:t>
            </w:r>
          </w:p>
        </w:tc>
      </w:tr>
      <w:tr>
        <w:tc>
          <w:tcPr/>
          <w:p>
            <w:pPr>
              <w:pStyle w:val="Compact"/>
            </w:pPr>
            <w:r>
              <w:t xml:space="preserve">a7nAChR</w:t>
            </w:r>
          </w:p>
        </w:tc>
        <w:tc>
          <w:tcPr/>
          <w:p>
            <w:pPr>
              <w:pStyle w:val="Compact"/>
            </w:pPr>
            <w:r>
              <w:t xml:space="preserve">Alpha-7 nicotinic receptor</w:t>
            </w:r>
          </w:p>
        </w:tc>
        <w:tc>
          <w:tcPr/>
          <w:p>
            <w:pPr>
              <w:pStyle w:val="Compact"/>
            </w:pPr>
            <w:r>
              <w:t xml:space="preserve">337</w:t>
            </w:r>
          </w:p>
        </w:tc>
        <w:tc>
          <w:tcPr/>
          <w:p>
            <w:pPr>
              <w:pStyle w:val="Compact"/>
            </w:pPr>
            <w:r>
              <w:t xml:space="preserve">921</w:t>
            </w:r>
          </w:p>
        </w:tc>
        <w:tc>
          <w:tcPr/>
          <w:p>
            <w:pPr>
              <w:pStyle w:val="Compact"/>
            </w:pPr>
            <w:r>
              <w:t xml:space="preserve">0.982</w:t>
            </w:r>
          </w:p>
        </w:tc>
        <w:tc>
          <w:tcPr/>
          <w:p>
            <w:pPr>
              <w:pStyle w:val="Compact"/>
            </w:pPr>
            <w:r>
              <w:t xml:space="preserve">0.642</w:t>
            </w:r>
          </w:p>
        </w:tc>
        <w:tc>
          <w:tcPr/>
          <w:p>
            <w:pPr>
              <w:pStyle w:val="Compact"/>
            </w:pPr>
            <w:r>
              <w:t xml:space="preserve">0.932</w:t>
            </w:r>
          </w:p>
        </w:tc>
        <w:tc>
          <w:tcPr/>
          <w:p>
            <w:pPr>
              <w:pStyle w:val="Compact"/>
            </w:pPr>
            <w:r>
              <w:t xml:space="preserve">Cognition, neuroinflammation in Alzheimer</w:t>
            </w:r>
          </w:p>
        </w:tc>
      </w:tr>
      <w:tr>
        <w:tc>
          <w:tcPr/>
          <w:p>
            <w:pPr>
              <w:pStyle w:val="Compact"/>
            </w:pPr>
            <w:r>
              <w:t xml:space="preserve">LRRK2</w:t>
            </w:r>
          </w:p>
        </w:tc>
        <w:tc>
          <w:tcPr/>
          <w:p>
            <w:pPr>
              <w:pStyle w:val="Compact"/>
            </w:pPr>
            <w:r>
              <w:t xml:space="preserve">LRRK2 kinase</w:t>
            </w:r>
          </w:p>
        </w:tc>
        <w:tc>
          <w:tcPr/>
          <w:p>
            <w:pPr>
              <w:pStyle w:val="Compact"/>
            </w:pPr>
            <w:r>
              <w:t xml:space="preserve">1,173</w:t>
            </w:r>
          </w:p>
        </w:tc>
        <w:tc>
          <w:tcPr/>
          <w:p>
            <w:pPr>
              <w:pStyle w:val="Compact"/>
            </w:pPr>
            <w:r>
              <w:t xml:space="preserve">3,510</w:t>
            </w:r>
          </w:p>
        </w:tc>
        <w:tc>
          <w:tcPr/>
          <w:p>
            <w:pPr>
              <w:pStyle w:val="Compact"/>
            </w:pPr>
            <w:r>
              <w:t xml:space="preserve">n/a</w:t>
            </w:r>
          </w:p>
        </w:tc>
        <w:tc>
          <w:tcPr/>
          <w:p>
            <w:pPr>
              <w:pStyle w:val="Compact"/>
            </w:pPr>
            <w:r>
              <w:t xml:space="preserve">0.400</w:t>
            </w:r>
          </w:p>
        </w:tc>
        <w:tc>
          <w:tcPr/>
          <w:p>
            <w:pPr>
              <w:pStyle w:val="Compact"/>
            </w:pPr>
            <w:r>
              <w:t xml:space="preserve">n/a</w:t>
            </w:r>
          </w:p>
        </w:tc>
        <w:tc>
          <w:tcPr/>
          <w:p>
            <w:pPr>
              <w:pStyle w:val="Compact"/>
            </w:pPr>
            <w:r>
              <w:t xml:space="preserve">Most common genetic cause of Parkinson disease</w:t>
            </w:r>
          </w:p>
        </w:tc>
      </w:tr>
    </w:tbl>
    <w:bookmarkEnd w:id="26"/>
    <w:bookmarkStart w:id="27" w:name="table-3.-adme-exposure-layer-9-endpoints"/>
    <w:p>
      <w:pPr>
        <w:pStyle w:val="Heading2"/>
      </w:pPr>
      <w:r>
        <w:t xml:space="preserve">Table 3. ADME / exposure layer (9 endpoints)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Endpoint</w:t>
            </w:r>
          </w:p>
        </w:tc>
        <w:tc>
          <w:tcPr/>
          <w:p>
            <w:pPr>
              <w:pStyle w:val="Compact"/>
            </w:pPr>
            <w:r>
              <w:t xml:space="preserve">Property</w:t>
            </w:r>
          </w:p>
        </w:tc>
        <w:tc>
          <w:tcPr/>
          <w:p>
            <w:pPr>
              <w:pStyle w:val="Compact"/>
            </w:pPr>
            <w:r>
              <w:t xml:space="preserve">Task</w:t>
            </w:r>
          </w:p>
        </w:tc>
        <w:tc>
          <w:tcPr/>
          <w:p>
            <w:pPr>
              <w:pStyle w:val="Compact"/>
            </w:pPr>
            <w:r>
              <w:t xml:space="preserve">Compounds</w:t>
            </w:r>
          </w:p>
        </w:tc>
        <w:tc>
          <w:tcPr/>
          <w:p>
            <w:pPr>
              <w:pStyle w:val="Compact"/>
            </w:pPr>
            <w:r>
              <w:t xml:space="preserve">Metric</w:t>
            </w:r>
          </w:p>
        </w:tc>
        <w:tc>
          <w:tcPr/>
          <w:p>
            <w:pPr>
              <w:pStyle w:val="Compact"/>
            </w:pPr>
            <w:r>
              <w:t xml:space="preserve">Random 10-fold</w:t>
            </w:r>
          </w:p>
        </w:tc>
        <w:tc>
          <w:tcPr/>
          <w:p>
            <w:pPr>
              <w:pStyle w:val="Compact"/>
            </w:pPr>
            <w:r>
              <w:t xml:space="preserve">Scaffold 10-fold</w:t>
            </w:r>
          </w:p>
        </w:tc>
        <w:tc>
          <w:tcPr/>
          <w:p>
            <w:pPr>
              <w:pStyle w:val="Compact"/>
            </w:pPr>
            <w:r>
              <w:t xml:space="preserve">Why this endpoint</w:t>
            </w:r>
          </w:p>
        </w:tc>
      </w:tr>
      <w:tr>
        <w:tc>
          <w:tcPr/>
          <w:p>
            <w:pPr>
              <w:pStyle w:val="Compact"/>
            </w:pPr>
            <w:r>
              <w:t xml:space="preserve">kpuu</w:t>
            </w:r>
          </w:p>
        </w:tc>
        <w:tc>
          <w:tcPr/>
          <w:p>
            <w:pPr>
              <w:pStyle w:val="Compact"/>
            </w:pPr>
            <w:r>
              <w:t xml:space="preserve">Unbound brain/plasma ratio (Kp,uu)</w:t>
            </w:r>
          </w:p>
        </w:tc>
        <w:tc>
          <w:tcPr/>
          <w:p>
            <w:pPr>
              <w:pStyle w:val="Compact"/>
            </w:pPr>
            <w:r>
              <w:t xml:space="preserve">regression</w:t>
            </w:r>
          </w:p>
        </w:tc>
        <w:tc>
          <w:tcPr/>
          <w:p>
            <w:pPr>
              <w:pStyle w:val="Compact"/>
            </w:pPr>
            <w:r>
              <w:t xml:space="preserve">566</w:t>
            </w:r>
          </w:p>
        </w:tc>
        <w:tc>
          <w:tcPr/>
          <w:p>
            <w:pPr>
              <w:pStyle w:val="Compact"/>
            </w:pPr>
            <w:r>
              <w:t xml:space="preserve">R2</w:t>
            </w:r>
          </w:p>
        </w:tc>
        <w:tc>
          <w:tcPr/>
          <w:p>
            <w:pPr>
              <w:pStyle w:val="Compact"/>
            </w:pPr>
            <w:r>
              <w:t xml:space="preserve">0.404 ± 0.099</w:t>
            </w:r>
          </w:p>
        </w:tc>
        <w:tc>
          <w:tcPr/>
          <w:p>
            <w:pPr>
              <w:pStyle w:val="Compact"/>
            </w:pPr>
            <w:r>
              <w:t xml:space="preserve">0.352 ± 0.158</w:t>
            </w:r>
          </w:p>
        </w:tc>
        <w:tc>
          <w:tcPr/>
          <w:p>
            <w:pPr>
              <w:pStyle w:val="Compact"/>
            </w:pPr>
            <w:r>
              <w:t xml:space="preserve">Free drug available to CNS targets</w:t>
            </w:r>
          </w:p>
        </w:tc>
      </w:tr>
      <w:tr>
        <w:tc>
          <w:tcPr/>
          <w:p>
            <w:pPr>
              <w:pStyle w:val="Compact"/>
            </w:pPr>
            <w:r>
              <w:t xml:space="preserve">logbb</w:t>
            </w:r>
          </w:p>
        </w:tc>
        <w:tc>
          <w:tcPr/>
          <w:p>
            <w:pPr>
              <w:pStyle w:val="Compact"/>
            </w:pPr>
            <w:r>
              <w:t xml:space="preserve">Total brain/plasma ratio (logBB)</w:t>
            </w:r>
          </w:p>
        </w:tc>
        <w:tc>
          <w:tcPr/>
          <w:p>
            <w:pPr>
              <w:pStyle w:val="Compact"/>
            </w:pPr>
            <w:r>
              <w:t xml:space="preserve">regression</w:t>
            </w:r>
          </w:p>
        </w:tc>
        <w:tc>
          <w:tcPr/>
          <w:p>
            <w:pPr>
              <w:pStyle w:val="Compact"/>
            </w:pPr>
            <w:r>
              <w:t xml:space="preserve">1,058</w:t>
            </w:r>
          </w:p>
        </w:tc>
        <w:tc>
          <w:tcPr/>
          <w:p>
            <w:pPr>
              <w:pStyle w:val="Compact"/>
            </w:pPr>
            <w:r>
              <w:t xml:space="preserve">R2</w:t>
            </w:r>
          </w:p>
        </w:tc>
        <w:tc>
          <w:tcPr/>
          <w:p>
            <w:pPr>
              <w:pStyle w:val="Compact"/>
            </w:pPr>
            <w:r>
              <w:t xml:space="preserve">0.577 ± 0.081</w:t>
            </w:r>
          </w:p>
        </w:tc>
        <w:tc>
          <w:tcPr/>
          <w:p>
            <w:pPr>
              <w:pStyle w:val="Compact"/>
            </w:pPr>
            <w:r>
              <w:t xml:space="preserve">0.423 ± 0.150</w:t>
            </w:r>
          </w:p>
        </w:tc>
        <w:tc>
          <w:tcPr/>
          <w:p>
            <w:pPr>
              <w:pStyle w:val="Compact"/>
            </w:pPr>
            <w:r>
              <w:t xml:space="preserve">Bulk brain distribution</w:t>
            </w:r>
          </w:p>
        </w:tc>
      </w:tr>
      <w:tr>
        <w:tc>
          <w:tcPr/>
          <w:p>
            <w:pPr>
              <w:pStyle w:val="Compact"/>
            </w:pPr>
            <w:r>
              <w:t xml:space="preserve">caco2_permeability</w:t>
            </w:r>
          </w:p>
        </w:tc>
        <w:tc>
          <w:tcPr/>
          <w:p>
            <w:pPr>
              <w:pStyle w:val="Compact"/>
            </w:pPr>
            <w:r>
              <w:t xml:space="preserve">Caco-2 permeability</w:t>
            </w:r>
          </w:p>
        </w:tc>
        <w:tc>
          <w:tcPr/>
          <w:p>
            <w:pPr>
              <w:pStyle w:val="Compact"/>
            </w:pPr>
            <w:r>
              <w:t xml:space="preserve">regression</w:t>
            </w:r>
          </w:p>
        </w:tc>
        <w:tc>
          <w:tcPr/>
          <w:p>
            <w:pPr>
              <w:pStyle w:val="Compact"/>
            </w:pPr>
            <w:r>
              <w:t xml:space="preserve">897</w:t>
            </w:r>
          </w:p>
        </w:tc>
        <w:tc>
          <w:tcPr/>
          <w:p>
            <w:pPr>
              <w:pStyle w:val="Compact"/>
            </w:pPr>
            <w:r>
              <w:t xml:space="preserve">R2</w:t>
            </w:r>
          </w:p>
        </w:tc>
        <w:tc>
          <w:tcPr/>
          <w:p>
            <w:pPr>
              <w:pStyle w:val="Compact"/>
            </w:pPr>
            <w:r>
              <w:t xml:space="preserve">0.734 ± 0.051</w:t>
            </w:r>
          </w:p>
        </w:tc>
        <w:tc>
          <w:tcPr/>
          <w:p>
            <w:pPr>
              <w:pStyle w:val="Compact"/>
            </w:pPr>
            <w:r>
              <w:t xml:space="preserve">0.584 ± 0.158</w:t>
            </w:r>
          </w:p>
        </w:tc>
        <w:tc>
          <w:tcPr/>
          <w:p>
            <w:pPr>
              <w:pStyle w:val="Compact"/>
            </w:pPr>
            <w:r>
              <w:t xml:space="preserve">Passive membrane permeability</w:t>
            </w:r>
          </w:p>
        </w:tc>
      </w:tr>
      <w:tr>
        <w:tc>
          <w:tcPr/>
          <w:p>
            <w:pPr>
              <w:pStyle w:val="Compact"/>
            </w:pPr>
            <w:r>
              <w:t xml:space="preserve">pgp_substrate</w:t>
            </w:r>
          </w:p>
        </w:tc>
        <w:tc>
          <w:tcPr/>
          <w:p>
            <w:pPr>
              <w:pStyle w:val="Compact"/>
            </w:pPr>
            <w:r>
              <w:t xml:space="preserve">P-glycoprotein substrate</w:t>
            </w:r>
          </w:p>
        </w:tc>
        <w:tc>
          <w:tcPr/>
          <w:p>
            <w:pPr>
              <w:pStyle w:val="Compact"/>
            </w:pPr>
            <w:r>
              <w:t xml:space="preserve">classification</w:t>
            </w:r>
          </w:p>
        </w:tc>
        <w:tc>
          <w:tcPr/>
          <w:p>
            <w:pPr>
              <w:pStyle w:val="Compact"/>
            </w:pPr>
            <w:r>
              <w:t xml:space="preserve">1,371</w:t>
            </w:r>
          </w:p>
        </w:tc>
        <w:tc>
          <w:tcPr/>
          <w:p>
            <w:pPr>
              <w:pStyle w:val="Compact"/>
            </w:pPr>
            <w:r>
              <w:t xml:space="preserve">AUROC</w:t>
            </w:r>
          </w:p>
        </w:tc>
        <w:tc>
          <w:tcPr/>
          <w:p>
            <w:pPr>
              <w:pStyle w:val="Compact"/>
            </w:pPr>
            <w:r>
              <w:t xml:space="preserve">0.858 ± 0.032</w:t>
            </w:r>
          </w:p>
        </w:tc>
        <w:tc>
          <w:tcPr/>
          <w:p>
            <w:pPr>
              <w:pStyle w:val="Compact"/>
            </w:pPr>
            <w:r>
              <w:t xml:space="preserve">0.806 ± 0.038</w:t>
            </w:r>
          </w:p>
        </w:tc>
        <w:tc>
          <w:tcPr/>
          <w:p>
            <w:pPr>
              <w:pStyle w:val="Compact"/>
            </w:pPr>
            <w:r>
              <w:t xml:space="preserve">Active efflux out of the brain</w:t>
            </w:r>
          </w:p>
        </w:tc>
      </w:tr>
      <w:tr>
        <w:tc>
          <w:tcPr/>
          <w:p>
            <w:pPr>
              <w:pStyle w:val="Compact"/>
            </w:pPr>
            <w:r>
              <w:t xml:space="preserve">pgp_inhibition</w:t>
            </w:r>
          </w:p>
        </w:tc>
        <w:tc>
          <w:tcPr/>
          <w:p>
            <w:pPr>
              <w:pStyle w:val="Compact"/>
            </w:pPr>
            <w:r>
              <w:t xml:space="preserve">P-glycoprotein inhibition</w:t>
            </w:r>
          </w:p>
        </w:tc>
        <w:tc>
          <w:tcPr/>
          <w:p>
            <w:pPr>
              <w:pStyle w:val="Compact"/>
            </w:pPr>
            <w:r>
              <w:t xml:space="preserve">classification</w:t>
            </w:r>
          </w:p>
        </w:tc>
        <w:tc>
          <w:tcPr/>
          <w:p>
            <w:pPr>
              <w:pStyle w:val="Compact"/>
            </w:pPr>
            <w:r>
              <w:t xml:space="preserve">1,212</w:t>
            </w:r>
          </w:p>
        </w:tc>
        <w:tc>
          <w:tcPr/>
          <w:p>
            <w:pPr>
              <w:pStyle w:val="Compact"/>
            </w:pPr>
            <w:r>
              <w:t xml:space="preserve">AUROC</w:t>
            </w:r>
          </w:p>
        </w:tc>
        <w:tc>
          <w:tcPr/>
          <w:p>
            <w:pPr>
              <w:pStyle w:val="Compact"/>
            </w:pPr>
            <w:r>
              <w:t xml:space="preserve">0.955 ± 0.018</w:t>
            </w:r>
          </w:p>
        </w:tc>
        <w:tc>
          <w:tcPr/>
          <w:p>
            <w:pPr>
              <w:pStyle w:val="Compact"/>
            </w:pPr>
            <w:r>
              <w:t xml:space="preserve">0.935 ± 0.029</w:t>
            </w:r>
          </w:p>
        </w:tc>
        <w:tc>
          <w:tcPr/>
          <w:p>
            <w:pPr>
              <w:pStyle w:val="Compact"/>
            </w:pPr>
            <w:r>
              <w:t xml:space="preserve">Efflux-mediated drug interactions</w:t>
            </w:r>
          </w:p>
        </w:tc>
      </w:tr>
      <w:tr>
        <w:tc>
          <w:tcPr/>
          <w:p>
            <w:pPr>
              <w:pStyle w:val="Compact"/>
            </w:pPr>
            <w:r>
              <w:t xml:space="preserve">solubility</w:t>
            </w:r>
          </w:p>
        </w:tc>
        <w:tc>
          <w:tcPr/>
          <w:p>
            <w:pPr>
              <w:pStyle w:val="Compact"/>
            </w:pPr>
            <w:r>
              <w:t xml:space="preserve">Aqueous solubility (logS)</w:t>
            </w:r>
          </w:p>
        </w:tc>
        <w:tc>
          <w:tcPr/>
          <w:p>
            <w:pPr>
              <w:pStyle w:val="Compact"/>
            </w:pPr>
            <w:r>
              <w:t xml:space="preserve">regression</w:t>
            </w:r>
          </w:p>
        </w:tc>
        <w:tc>
          <w:tcPr/>
          <w:p>
            <w:pPr>
              <w:pStyle w:val="Compact"/>
            </w:pPr>
            <w:r>
              <w:t xml:space="preserve">9,573</w:t>
            </w:r>
          </w:p>
        </w:tc>
        <w:tc>
          <w:tcPr/>
          <w:p>
            <w:pPr>
              <w:pStyle w:val="Compact"/>
            </w:pPr>
            <w:r>
              <w:t xml:space="preserve">R2</w:t>
            </w:r>
          </w:p>
        </w:tc>
        <w:tc>
          <w:tcPr/>
          <w:p>
            <w:pPr>
              <w:pStyle w:val="Compact"/>
            </w:pPr>
            <w:r>
              <w:t xml:space="preserve">0.804 ± 0.017</w:t>
            </w:r>
          </w:p>
        </w:tc>
        <w:tc>
          <w:tcPr/>
          <w:p>
            <w:pPr>
              <w:pStyle w:val="Compact"/>
            </w:pPr>
            <w:r>
              <w:t xml:space="preserve">0.728 ± 0.077</w:t>
            </w:r>
          </w:p>
        </w:tc>
        <w:tc>
          <w:tcPr/>
          <w:p>
            <w:pPr>
              <w:pStyle w:val="Compact"/>
            </w:pPr>
            <w:r>
              <w:t xml:space="preserve">Formulation and absorption</w:t>
            </w:r>
          </w:p>
        </w:tc>
      </w:tr>
      <w:tr>
        <w:tc>
          <w:tcPr/>
          <w:p>
            <w:pPr>
              <w:pStyle w:val="Compact"/>
            </w:pPr>
            <w:r>
              <w:t xml:space="preserve">lipophilicity</w:t>
            </w:r>
          </w:p>
        </w:tc>
        <w:tc>
          <w:tcPr/>
          <w:p>
            <w:pPr>
              <w:pStyle w:val="Compact"/>
            </w:pPr>
            <w:r>
              <w:t xml:space="preserve">Lipophilicity (logD)</w:t>
            </w:r>
          </w:p>
        </w:tc>
        <w:tc>
          <w:tcPr/>
          <w:p>
            <w:pPr>
              <w:pStyle w:val="Compact"/>
            </w:pPr>
            <w:r>
              <w:t xml:space="preserve">regression</w:t>
            </w:r>
          </w:p>
        </w:tc>
        <w:tc>
          <w:tcPr/>
          <w:p>
            <w:pPr>
              <w:pStyle w:val="Compact"/>
            </w:pPr>
            <w:r>
              <w:t xml:space="preserve">4,200</w:t>
            </w:r>
          </w:p>
        </w:tc>
        <w:tc>
          <w:tcPr/>
          <w:p>
            <w:pPr>
              <w:pStyle w:val="Compact"/>
            </w:pPr>
            <w:r>
              <w:t xml:space="preserve">R2</w:t>
            </w:r>
          </w:p>
        </w:tc>
        <w:tc>
          <w:tcPr/>
          <w:p>
            <w:pPr>
              <w:pStyle w:val="Compact"/>
            </w:pPr>
            <w:r>
              <w:t xml:space="preserve">0.639 ± 0.028</w:t>
            </w:r>
          </w:p>
        </w:tc>
        <w:tc>
          <w:tcPr/>
          <w:p>
            <w:pPr>
              <w:pStyle w:val="Compact"/>
            </w:pPr>
            <w:r>
              <w:t xml:space="preserve">0.566 ± 0.042</w:t>
            </w:r>
          </w:p>
        </w:tc>
        <w:tc>
          <w:tcPr/>
          <w:p>
            <w:pPr>
              <w:pStyle w:val="Compact"/>
            </w:pPr>
            <w:r>
              <w:t xml:space="preserve">Permeability/promiscuity balance</w:t>
            </w:r>
          </w:p>
        </w:tc>
      </w:tr>
      <w:tr>
        <w:tc>
          <w:tcPr/>
          <w:p>
            <w:pPr>
              <w:pStyle w:val="Compact"/>
            </w:pPr>
            <w:r>
              <w:t xml:space="preserve">plasma_protein_binding</w:t>
            </w:r>
          </w:p>
        </w:tc>
        <w:tc>
          <w:tcPr/>
          <w:p>
            <w:pPr>
              <w:pStyle w:val="Compact"/>
            </w:pPr>
            <w:r>
              <w:t xml:space="preserve">Plasma protein binding</w:t>
            </w:r>
          </w:p>
        </w:tc>
        <w:tc>
          <w:tcPr/>
          <w:p>
            <w:pPr>
              <w:pStyle w:val="Compact"/>
            </w:pPr>
            <w:r>
              <w:t xml:space="preserve">regression</w:t>
            </w:r>
          </w:p>
        </w:tc>
        <w:tc>
          <w:tcPr/>
          <w:p>
            <w:pPr>
              <w:pStyle w:val="Compact"/>
            </w:pPr>
            <w:r>
              <w:t xml:space="preserve">1,797</w:t>
            </w:r>
          </w:p>
        </w:tc>
        <w:tc>
          <w:tcPr/>
          <w:p>
            <w:pPr>
              <w:pStyle w:val="Compact"/>
            </w:pPr>
            <w:r>
              <w:t xml:space="preserve">R2</w:t>
            </w:r>
          </w:p>
        </w:tc>
        <w:tc>
          <w:tcPr/>
          <w:p>
            <w:pPr>
              <w:pStyle w:val="Compact"/>
            </w:pPr>
            <w:r>
              <w:t xml:space="preserve">0.434 ± 0.090</w:t>
            </w:r>
          </w:p>
        </w:tc>
        <w:tc>
          <w:tcPr/>
          <w:p>
            <w:pPr>
              <w:pStyle w:val="Compact"/>
            </w:pPr>
            <w:r>
              <w:t xml:space="preserve">0.364 ± 0.056</w:t>
            </w:r>
          </w:p>
        </w:tc>
        <w:tc>
          <w:tcPr/>
          <w:p>
            <w:pPr>
              <w:pStyle w:val="Compact"/>
            </w:pPr>
            <w:r>
              <w:t xml:space="preserve">Determines free fraction</w:t>
            </w:r>
          </w:p>
        </w:tc>
      </w:tr>
      <w:tr>
        <w:tc>
          <w:tcPr/>
          <w:p>
            <w:pPr>
              <w:pStyle w:val="Compact"/>
            </w:pPr>
            <w:r>
              <w:t xml:space="preserve">clearance_hepatocyte</w:t>
            </w:r>
          </w:p>
        </w:tc>
        <w:tc>
          <w:tcPr/>
          <w:p>
            <w:pPr>
              <w:pStyle w:val="Compact"/>
            </w:pPr>
            <w:r>
              <w:t xml:space="preserve">Hepatocyte clearance</w:t>
            </w:r>
          </w:p>
        </w:tc>
        <w:tc>
          <w:tcPr/>
          <w:p>
            <w:pPr>
              <w:pStyle w:val="Compact"/>
            </w:pPr>
            <w:r>
              <w:t xml:space="preserve">regression</w:t>
            </w:r>
          </w:p>
        </w:tc>
        <w:tc>
          <w:tcPr/>
          <w:p>
            <w:pPr>
              <w:pStyle w:val="Compact"/>
            </w:pPr>
            <w:r>
              <w:t xml:space="preserve">1,020</w:t>
            </w:r>
          </w:p>
        </w:tc>
        <w:tc>
          <w:tcPr/>
          <w:p>
            <w:pPr>
              <w:pStyle w:val="Compact"/>
            </w:pPr>
            <w:r>
              <w:t xml:space="preserve">R2</w:t>
            </w:r>
          </w:p>
        </w:tc>
        <w:tc>
          <w:tcPr/>
          <w:p>
            <w:pPr>
              <w:pStyle w:val="Compact"/>
            </w:pPr>
            <w:r>
              <w:t xml:space="preserve">0.230 ± 0.104</w:t>
            </w:r>
          </w:p>
        </w:tc>
        <w:tc>
          <w:tcPr/>
          <w:p>
            <w:pPr>
              <w:pStyle w:val="Compact"/>
            </w:pPr>
            <w:r>
              <w:t xml:space="preserve">0.206 ± 0.064</w:t>
            </w:r>
          </w:p>
        </w:tc>
        <w:tc>
          <w:tcPr/>
          <w:p>
            <w:pPr>
              <w:pStyle w:val="Compact"/>
            </w:pPr>
            <w:r>
              <w:t xml:space="preserve">Metabolic stability, exposure duration</w:t>
            </w:r>
          </w:p>
        </w:tc>
      </w:tr>
    </w:tbl>
    <w:bookmarkEnd w:id="27"/>
    <w:bookmarkStart w:id="28" w:name="X40a2433500f8b8d0b54496be0ec561da5029fa1"/>
    <w:p>
      <w:pPr>
        <w:pStyle w:val="Heading2"/>
      </w:pPr>
      <w:r>
        <w:t xml:space="preserve">Table 4. Between-fold error-bar decomposition</w:t>
      </w:r>
    </w:p>
    <w:p>
      <w:pPr>
        <w:pStyle w:val="FirstParagraph"/>
      </w:pPr>
      <w:r>
        <w:t xml:space="preserve">Observed between-fold SD separated into sampling noise (finite test set) and genuine fold-to-fold heterogeneity, by within-fold bootstrap.</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Endpoint</w:t>
            </w:r>
          </w:p>
        </w:tc>
        <w:tc>
          <w:tcPr/>
          <w:p>
            <w:pPr>
              <w:pStyle w:val="Compact"/>
            </w:pPr>
            <w:r>
              <w:t xml:space="preserve">Random SD</w:t>
            </w:r>
          </w:p>
        </w:tc>
        <w:tc>
          <w:tcPr/>
          <w:p>
            <w:pPr>
              <w:pStyle w:val="Compact"/>
            </w:pPr>
            <w:r>
              <w:t xml:space="preserve">of which sampling</w:t>
            </w:r>
          </w:p>
        </w:tc>
        <w:tc>
          <w:tcPr/>
          <w:p>
            <w:pPr>
              <w:pStyle w:val="Compact"/>
            </w:pPr>
            <w:r>
              <w:t xml:space="preserve">heterogeneity share</w:t>
            </w:r>
          </w:p>
        </w:tc>
        <w:tc>
          <w:tcPr/>
          <w:p>
            <w:pPr>
              <w:pStyle w:val="Compact"/>
            </w:pPr>
            <w:r>
              <w:t xml:space="preserve">Scaffold SD</w:t>
            </w:r>
          </w:p>
        </w:tc>
        <w:tc>
          <w:tcPr/>
          <w:p>
            <w:pPr>
              <w:pStyle w:val="Compact"/>
            </w:pPr>
            <w:r>
              <w:t xml:space="preserve">of which sampling</w:t>
            </w:r>
          </w:p>
        </w:tc>
        <w:tc>
          <w:tcPr/>
          <w:p>
            <w:pPr>
              <w:pStyle w:val="Compact"/>
            </w:pPr>
            <w:r>
              <w:t xml:space="preserve">heterogeneity share</w:t>
            </w:r>
          </w:p>
        </w:tc>
      </w:tr>
      <w:tr>
        <w:tc>
          <w:tcPr/>
          <w:p>
            <w:pPr>
              <w:pStyle w:val="Compact"/>
            </w:pPr>
            <w:r>
              <w:t xml:space="preserve">BBB</w:t>
            </w:r>
          </w:p>
        </w:tc>
        <w:tc>
          <w:tcPr/>
          <w:p>
            <w:pPr>
              <w:pStyle w:val="Compact"/>
            </w:pPr>
            <w:r>
              <w:t xml:space="preserve">0.0075</w:t>
            </w:r>
          </w:p>
        </w:tc>
        <w:tc>
          <w:tcPr/>
          <w:p>
            <w:pPr>
              <w:pStyle w:val="Compact"/>
            </w:pPr>
            <w:r>
              <w:t xml:space="preserve">0.0062</w:t>
            </w:r>
          </w:p>
        </w:tc>
        <w:tc>
          <w:tcPr/>
          <w:p>
            <w:pPr>
              <w:pStyle w:val="Compact"/>
            </w:pPr>
            <w:r>
              <w:t xml:space="preserve">32%</w:t>
            </w:r>
          </w:p>
        </w:tc>
        <w:tc>
          <w:tcPr/>
          <w:p>
            <w:pPr>
              <w:pStyle w:val="Compact"/>
            </w:pPr>
            <w:r>
              <w:t xml:space="preserve">0.0367</w:t>
            </w:r>
          </w:p>
        </w:tc>
        <w:tc>
          <w:tcPr/>
          <w:p>
            <w:pPr>
              <w:pStyle w:val="Compact"/>
            </w:pPr>
            <w:r>
              <w:t xml:space="preserve">0.0102</w:t>
            </w:r>
          </w:p>
        </w:tc>
        <w:tc>
          <w:tcPr/>
          <w:p>
            <w:pPr>
              <w:pStyle w:val="Compact"/>
            </w:pPr>
            <w:r>
              <w:t xml:space="preserve">92%</w:t>
            </w:r>
          </w:p>
        </w:tc>
      </w:tr>
      <w:tr>
        <w:tc>
          <w:tcPr/>
          <w:p>
            <w:pPr>
              <w:pStyle w:val="Compact"/>
            </w:pPr>
            <w:r>
              <w:t xml:space="preserve">AChE</w:t>
            </w:r>
          </w:p>
        </w:tc>
        <w:tc>
          <w:tcPr/>
          <w:p>
            <w:pPr>
              <w:pStyle w:val="Compact"/>
            </w:pPr>
            <w:r>
              <w:t xml:space="preserve">0.0083</w:t>
            </w:r>
          </w:p>
        </w:tc>
        <w:tc>
          <w:tcPr/>
          <w:p>
            <w:pPr>
              <w:pStyle w:val="Compact"/>
            </w:pPr>
            <w:r>
              <w:t xml:space="preserve">0.0094</w:t>
            </w:r>
          </w:p>
        </w:tc>
        <w:tc>
          <w:tcPr/>
          <w:p>
            <w:pPr>
              <w:pStyle w:val="Compact"/>
            </w:pPr>
            <w:r>
              <w:t xml:space="preserve">0%</w:t>
            </w:r>
          </w:p>
        </w:tc>
        <w:tc>
          <w:tcPr/>
          <w:p>
            <w:pPr>
              <w:pStyle w:val="Compact"/>
            </w:pPr>
            <w:r>
              <w:t xml:space="preserve">0.0206</w:t>
            </w:r>
          </w:p>
        </w:tc>
        <w:tc>
          <w:tcPr/>
          <w:p>
            <w:pPr>
              <w:pStyle w:val="Compact"/>
            </w:pPr>
            <w:r>
              <w:t xml:space="preserve">0.0137</w:t>
            </w:r>
          </w:p>
        </w:tc>
        <w:tc>
          <w:tcPr/>
          <w:p>
            <w:pPr>
              <w:pStyle w:val="Compact"/>
            </w:pPr>
            <w:r>
              <w:t xml:space="preserve">56%</w:t>
            </w:r>
          </w:p>
        </w:tc>
      </w:tr>
      <w:tr>
        <w:tc>
          <w:tcPr/>
          <w:p>
            <w:pPr>
              <w:pStyle w:val="Compact"/>
            </w:pPr>
            <w:r>
              <w:t xml:space="preserve">BChE</w:t>
            </w:r>
          </w:p>
        </w:tc>
        <w:tc>
          <w:tcPr/>
          <w:p>
            <w:pPr>
              <w:pStyle w:val="Compact"/>
            </w:pPr>
            <w:r>
              <w:t xml:space="preserve">0.0118</w:t>
            </w:r>
          </w:p>
        </w:tc>
        <w:tc>
          <w:tcPr/>
          <w:p>
            <w:pPr>
              <w:pStyle w:val="Compact"/>
            </w:pPr>
            <w:r>
              <w:t xml:space="preserve">0.0096</w:t>
            </w:r>
          </w:p>
        </w:tc>
        <w:tc>
          <w:tcPr/>
          <w:p>
            <w:pPr>
              <w:pStyle w:val="Compact"/>
            </w:pPr>
            <w:r>
              <w:t xml:space="preserve">34%</w:t>
            </w:r>
          </w:p>
        </w:tc>
        <w:tc>
          <w:tcPr/>
          <w:p>
            <w:pPr>
              <w:pStyle w:val="Compact"/>
            </w:pPr>
            <w:r>
              <w:t xml:space="preserve">0.0212</w:t>
            </w:r>
          </w:p>
        </w:tc>
        <w:tc>
          <w:tcPr/>
          <w:p>
            <w:pPr>
              <w:pStyle w:val="Compact"/>
            </w:pPr>
            <w:r>
              <w:t xml:space="preserve">0.0145</w:t>
            </w:r>
          </w:p>
        </w:tc>
        <w:tc>
          <w:tcPr/>
          <w:p>
            <w:pPr>
              <w:pStyle w:val="Compact"/>
            </w:pPr>
            <w:r>
              <w:t xml:space="preserve">53%</w:t>
            </w:r>
          </w:p>
        </w:tc>
      </w:tr>
      <w:tr>
        <w:tc>
          <w:tcPr/>
          <w:p>
            <w:pPr>
              <w:pStyle w:val="Compact"/>
            </w:pPr>
            <w:r>
              <w:t xml:space="preserve">BACE1</w:t>
            </w:r>
          </w:p>
        </w:tc>
        <w:tc>
          <w:tcPr/>
          <w:p>
            <w:pPr>
              <w:pStyle w:val="Compact"/>
            </w:pPr>
            <w:r>
              <w:t xml:space="preserve">0.0099</w:t>
            </w:r>
          </w:p>
        </w:tc>
        <w:tc>
          <w:tcPr/>
          <w:p>
            <w:pPr>
              <w:pStyle w:val="Compact"/>
            </w:pPr>
            <w:r>
              <w:t xml:space="preserve">0.0106</w:t>
            </w:r>
          </w:p>
        </w:tc>
        <w:tc>
          <w:tcPr/>
          <w:p>
            <w:pPr>
              <w:pStyle w:val="Compact"/>
            </w:pPr>
            <w:r>
              <w:t xml:space="preserve">0%</w:t>
            </w:r>
          </w:p>
        </w:tc>
        <w:tc>
          <w:tcPr/>
          <w:p>
            <w:pPr>
              <w:pStyle w:val="Compact"/>
            </w:pPr>
            <w:r>
              <w:t xml:space="preserve">0.0209</w:t>
            </w:r>
          </w:p>
        </w:tc>
        <w:tc>
          <w:tcPr/>
          <w:p>
            <w:pPr>
              <w:pStyle w:val="Compact"/>
            </w:pPr>
            <w:r>
              <w:t xml:space="preserve">0.0118</w:t>
            </w:r>
          </w:p>
        </w:tc>
        <w:tc>
          <w:tcPr/>
          <w:p>
            <w:pPr>
              <w:pStyle w:val="Compact"/>
            </w:pPr>
            <w:r>
              <w:t xml:space="preserve">68%</w:t>
            </w:r>
          </w:p>
        </w:tc>
      </w:tr>
      <w:tr>
        <w:tc>
          <w:tcPr/>
          <w:p>
            <w:pPr>
              <w:pStyle w:val="Compact"/>
            </w:pPr>
            <w:r>
              <w:t xml:space="preserve">GSK3B</w:t>
            </w:r>
          </w:p>
        </w:tc>
        <w:tc>
          <w:tcPr/>
          <w:p>
            <w:pPr>
              <w:pStyle w:val="Compact"/>
            </w:pPr>
            <w:r>
              <w:t xml:space="preserve">0.0128</w:t>
            </w:r>
          </w:p>
        </w:tc>
        <w:tc>
          <w:tcPr/>
          <w:p>
            <w:pPr>
              <w:pStyle w:val="Compact"/>
            </w:pPr>
            <w:r>
              <w:t xml:space="preserve">0.0112</w:t>
            </w:r>
          </w:p>
        </w:tc>
        <w:tc>
          <w:tcPr/>
          <w:p>
            <w:pPr>
              <w:pStyle w:val="Compact"/>
            </w:pPr>
            <w:r>
              <w:t xml:space="preserve">23%</w:t>
            </w:r>
          </w:p>
        </w:tc>
        <w:tc>
          <w:tcPr/>
          <w:p>
            <w:pPr>
              <w:pStyle w:val="Compact"/>
            </w:pPr>
            <w:r>
              <w:t xml:space="preserve">0.0302</w:t>
            </w:r>
          </w:p>
        </w:tc>
        <w:tc>
          <w:tcPr/>
          <w:p>
            <w:pPr>
              <w:pStyle w:val="Compact"/>
            </w:pPr>
            <w:r>
              <w:t xml:space="preserve">0.0204</w:t>
            </w:r>
          </w:p>
        </w:tc>
        <w:tc>
          <w:tcPr/>
          <w:p>
            <w:pPr>
              <w:pStyle w:val="Compact"/>
            </w:pPr>
            <w:r>
              <w:t xml:space="preserve">54%</w:t>
            </w:r>
          </w:p>
        </w:tc>
      </w:tr>
      <w:tr>
        <w:tc>
          <w:tcPr/>
          <w:p>
            <w:pPr>
              <w:pStyle w:val="Compact"/>
            </w:pPr>
            <w:r>
              <w:t xml:space="preserve">MAO_A</w:t>
            </w:r>
          </w:p>
        </w:tc>
        <w:tc>
          <w:tcPr/>
          <w:p>
            <w:pPr>
              <w:pStyle w:val="Compact"/>
            </w:pPr>
            <w:r>
              <w:t xml:space="preserve">0.0169</w:t>
            </w:r>
          </w:p>
        </w:tc>
        <w:tc>
          <w:tcPr/>
          <w:p>
            <w:pPr>
              <w:pStyle w:val="Compact"/>
            </w:pPr>
            <w:r>
              <w:t xml:space="preserve">0.0147</w:t>
            </w:r>
          </w:p>
        </w:tc>
        <w:tc>
          <w:tcPr/>
          <w:p>
            <w:pPr>
              <w:pStyle w:val="Compact"/>
            </w:pPr>
            <w:r>
              <w:t xml:space="preserve">24%</w:t>
            </w:r>
          </w:p>
        </w:tc>
        <w:tc>
          <w:tcPr/>
          <w:p>
            <w:pPr>
              <w:pStyle w:val="Compact"/>
            </w:pPr>
            <w:r>
              <w:t xml:space="preserve">0.0464</w:t>
            </w:r>
          </w:p>
        </w:tc>
        <w:tc>
          <w:tcPr/>
          <w:p>
            <w:pPr>
              <w:pStyle w:val="Compact"/>
            </w:pPr>
            <w:r>
              <w:t xml:space="preserve">0.0251</w:t>
            </w:r>
          </w:p>
        </w:tc>
        <w:tc>
          <w:tcPr/>
          <w:p>
            <w:pPr>
              <w:pStyle w:val="Compact"/>
            </w:pPr>
            <w:r>
              <w:t xml:space="preserve">71%</w:t>
            </w:r>
          </w:p>
        </w:tc>
      </w:tr>
      <w:tr>
        <w:tc>
          <w:tcPr/>
          <w:p>
            <w:pPr>
              <w:pStyle w:val="Compact"/>
            </w:pPr>
            <w:r>
              <w:t xml:space="preserve">MAO_B</w:t>
            </w:r>
          </w:p>
        </w:tc>
        <w:tc>
          <w:tcPr/>
          <w:p>
            <w:pPr>
              <w:pStyle w:val="Compact"/>
            </w:pPr>
            <w:r>
              <w:t xml:space="preserve">0.0075</w:t>
            </w:r>
          </w:p>
        </w:tc>
        <w:tc>
          <w:tcPr/>
          <w:p>
            <w:pPr>
              <w:pStyle w:val="Compact"/>
            </w:pPr>
            <w:r>
              <w:t xml:space="preserve">0.0103</w:t>
            </w:r>
          </w:p>
        </w:tc>
        <w:tc>
          <w:tcPr/>
          <w:p>
            <w:pPr>
              <w:pStyle w:val="Compact"/>
            </w:pPr>
            <w:r>
              <w:t xml:space="preserve">0%</w:t>
            </w:r>
          </w:p>
        </w:tc>
        <w:tc>
          <w:tcPr/>
          <w:p>
            <w:pPr>
              <w:pStyle w:val="Compact"/>
            </w:pPr>
            <w:r>
              <w:t xml:space="preserve">0.0330</w:t>
            </w:r>
          </w:p>
        </w:tc>
        <w:tc>
          <w:tcPr/>
          <w:p>
            <w:pPr>
              <w:pStyle w:val="Compact"/>
            </w:pPr>
            <w:r>
              <w:t xml:space="preserve">0.0185</w:t>
            </w:r>
          </w:p>
        </w:tc>
        <w:tc>
          <w:tcPr/>
          <w:p>
            <w:pPr>
              <w:pStyle w:val="Compact"/>
            </w:pPr>
            <w:r>
              <w:t xml:space="preserve">69%</w:t>
            </w:r>
          </w:p>
        </w:tc>
      </w:tr>
      <w:tr>
        <w:tc>
          <w:tcPr/>
          <w:p>
            <w:pPr>
              <w:pStyle w:val="Compact"/>
            </w:pPr>
            <w:r>
              <w:t xml:space="preserve">hERG</w:t>
            </w:r>
          </w:p>
        </w:tc>
        <w:tc>
          <w:tcPr/>
          <w:p>
            <w:pPr>
              <w:pStyle w:val="Compact"/>
            </w:pPr>
            <w:r>
              <w:t xml:space="preserve">0.0066</w:t>
            </w:r>
          </w:p>
        </w:tc>
        <w:tc>
          <w:tcPr/>
          <w:p>
            <w:pPr>
              <w:pStyle w:val="Compact"/>
            </w:pPr>
            <w:r>
              <w:t xml:space="preserve">0.0082</w:t>
            </w:r>
          </w:p>
        </w:tc>
        <w:tc>
          <w:tcPr/>
          <w:p>
            <w:pPr>
              <w:pStyle w:val="Compact"/>
            </w:pPr>
            <w:r>
              <w:t xml:space="preserve">0%</w:t>
            </w:r>
          </w:p>
        </w:tc>
        <w:tc>
          <w:tcPr/>
          <w:p>
            <w:pPr>
              <w:pStyle w:val="Compact"/>
            </w:pPr>
            <w:r>
              <w:t xml:space="preserve">0.0351</w:t>
            </w:r>
          </w:p>
        </w:tc>
        <w:tc>
          <w:tcPr/>
          <w:p>
            <w:pPr>
              <w:pStyle w:val="Compact"/>
            </w:pPr>
            <w:r>
              <w:t xml:space="preserve">0.0109</w:t>
            </w:r>
          </w:p>
        </w:tc>
        <w:tc>
          <w:tcPr/>
          <w:p>
            <w:pPr>
              <w:pStyle w:val="Compact"/>
            </w:pPr>
            <w:r>
              <w:t xml:space="preserve">90%</w:t>
            </w:r>
          </w:p>
        </w:tc>
      </w:tr>
      <w:tr>
        <w:tc>
          <w:tcPr/>
          <w:p>
            <w:pPr>
              <w:pStyle w:val="Compact"/>
            </w:pPr>
            <w:r>
              <w:t xml:space="preserve">D2</w:t>
            </w:r>
          </w:p>
        </w:tc>
        <w:tc>
          <w:tcPr/>
          <w:p>
            <w:pPr>
              <w:pStyle w:val="Compact"/>
            </w:pPr>
            <w:r>
              <w:t xml:space="preserve">0.0177</w:t>
            </w:r>
          </w:p>
        </w:tc>
        <w:tc>
          <w:tcPr/>
          <w:p>
            <w:pPr>
              <w:pStyle w:val="Compact"/>
            </w:pPr>
            <w:r>
              <w:t xml:space="preserve">0.0255</w:t>
            </w:r>
          </w:p>
        </w:tc>
        <w:tc>
          <w:tcPr/>
          <w:p>
            <w:pPr>
              <w:pStyle w:val="Compact"/>
            </w:pPr>
            <w:r>
              <w:t xml:space="preserve">0%</w:t>
            </w:r>
          </w:p>
        </w:tc>
        <w:tc>
          <w:tcPr/>
          <w:p>
            <w:pPr>
              <w:pStyle w:val="Compact"/>
            </w:pPr>
            <w:r>
              <w:t xml:space="preserve">0.0515</w:t>
            </w:r>
          </w:p>
        </w:tc>
        <w:tc>
          <w:tcPr/>
          <w:p>
            <w:pPr>
              <w:pStyle w:val="Compact"/>
            </w:pPr>
            <w:r>
              <w:t xml:space="preserve">0.0299</w:t>
            </w:r>
          </w:p>
        </w:tc>
        <w:tc>
          <w:tcPr/>
          <w:p>
            <w:pPr>
              <w:pStyle w:val="Compact"/>
            </w:pPr>
            <w:r>
              <w:t xml:space="preserve">66%</w:t>
            </w:r>
          </w:p>
        </w:tc>
      </w:tr>
      <w:tr>
        <w:tc>
          <w:tcPr/>
          <w:p>
            <w:pPr>
              <w:pStyle w:val="Compact"/>
            </w:pPr>
            <w:r>
              <w:t xml:space="preserve">A2A</w:t>
            </w:r>
          </w:p>
        </w:tc>
        <w:tc>
          <w:tcPr/>
          <w:p>
            <w:pPr>
              <w:pStyle w:val="Compact"/>
            </w:pPr>
            <w:r>
              <w:t xml:space="preserve">0.0228</w:t>
            </w:r>
          </w:p>
        </w:tc>
        <w:tc>
          <w:tcPr/>
          <w:p>
            <w:pPr>
              <w:pStyle w:val="Compact"/>
            </w:pPr>
            <w:r>
              <w:t xml:space="preserve">0.0251</w:t>
            </w:r>
          </w:p>
        </w:tc>
        <w:tc>
          <w:tcPr/>
          <w:p>
            <w:pPr>
              <w:pStyle w:val="Compact"/>
            </w:pPr>
            <w:r>
              <w:t xml:space="preserve">0%</w:t>
            </w:r>
          </w:p>
        </w:tc>
        <w:tc>
          <w:tcPr/>
          <w:p>
            <w:pPr>
              <w:pStyle w:val="Compact"/>
            </w:pPr>
            <w:r>
              <w:t xml:space="preserve">0.0662</w:t>
            </w:r>
          </w:p>
        </w:tc>
        <w:tc>
          <w:tcPr/>
          <w:p>
            <w:pPr>
              <w:pStyle w:val="Compact"/>
            </w:pPr>
            <w:r>
              <w:t xml:space="preserve">0.0289</w:t>
            </w:r>
          </w:p>
        </w:tc>
        <w:tc>
          <w:tcPr/>
          <w:p>
            <w:pPr>
              <w:pStyle w:val="Compact"/>
            </w:pPr>
            <w:r>
              <w:t xml:space="preserve">81%</w:t>
            </w:r>
          </w:p>
        </w:tc>
      </w:tr>
      <w:tr>
        <w:tc>
          <w:tcPr/>
          <w:p>
            <w:pPr>
              <w:pStyle w:val="Compact"/>
            </w:pPr>
            <w:r>
              <w:t xml:space="preserve">HT2A</w:t>
            </w:r>
          </w:p>
        </w:tc>
        <w:tc>
          <w:tcPr/>
          <w:p>
            <w:pPr>
              <w:pStyle w:val="Compact"/>
            </w:pPr>
            <w:r>
              <w:t xml:space="preserve">0.0276</w:t>
            </w:r>
          </w:p>
        </w:tc>
        <w:tc>
          <w:tcPr/>
          <w:p>
            <w:pPr>
              <w:pStyle w:val="Compact"/>
            </w:pPr>
            <w:r>
              <w:t xml:space="preserve">0.0264</w:t>
            </w:r>
          </w:p>
        </w:tc>
        <w:tc>
          <w:tcPr/>
          <w:p>
            <w:pPr>
              <w:pStyle w:val="Compact"/>
            </w:pPr>
            <w:r>
              <w:t xml:space="preserve">8%</w:t>
            </w:r>
          </w:p>
        </w:tc>
        <w:tc>
          <w:tcPr/>
          <w:p>
            <w:pPr>
              <w:pStyle w:val="Compact"/>
            </w:pPr>
            <w:r>
              <w:t xml:space="preserve">0.0537</w:t>
            </w:r>
          </w:p>
        </w:tc>
        <w:tc>
          <w:tcPr/>
          <w:p>
            <w:pPr>
              <w:pStyle w:val="Compact"/>
            </w:pPr>
            <w:r>
              <w:t xml:space="preserve">0.0311</w:t>
            </w:r>
          </w:p>
        </w:tc>
        <w:tc>
          <w:tcPr/>
          <w:p>
            <w:pPr>
              <w:pStyle w:val="Compact"/>
            </w:pPr>
            <w:r>
              <w:t xml:space="preserve">67%</w:t>
            </w:r>
          </w:p>
        </w:tc>
      </w:tr>
      <w:tr>
        <w:tc>
          <w:tcPr/>
          <w:p>
            <w:pPr>
              <w:pStyle w:val="Compact"/>
            </w:pPr>
            <w:r>
              <w:t xml:space="preserve">SERT</w:t>
            </w:r>
          </w:p>
        </w:tc>
        <w:tc>
          <w:tcPr/>
          <w:p>
            <w:pPr>
              <w:pStyle w:val="Compact"/>
            </w:pPr>
            <w:r>
              <w:t xml:space="preserve">0.0379</w:t>
            </w:r>
          </w:p>
        </w:tc>
        <w:tc>
          <w:tcPr/>
          <w:p>
            <w:pPr>
              <w:pStyle w:val="Compact"/>
            </w:pPr>
            <w:r>
              <w:t xml:space="preserve">0.0329</w:t>
            </w:r>
          </w:p>
        </w:tc>
        <w:tc>
          <w:tcPr/>
          <w:p>
            <w:pPr>
              <w:pStyle w:val="Compact"/>
            </w:pPr>
            <w:r>
              <w:t xml:space="preserve">25%</w:t>
            </w:r>
          </w:p>
        </w:tc>
        <w:tc>
          <w:tcPr/>
          <w:p>
            <w:pPr>
              <w:pStyle w:val="Compact"/>
            </w:pPr>
            <w:r>
              <w:t xml:space="preserve">0.1239</w:t>
            </w:r>
          </w:p>
        </w:tc>
        <w:tc>
          <w:tcPr/>
          <w:p>
            <w:pPr>
              <w:pStyle w:val="Compact"/>
            </w:pPr>
            <w:r>
              <w:t xml:space="preserve">0.0404</w:t>
            </w:r>
          </w:p>
        </w:tc>
        <w:tc>
          <w:tcPr/>
          <w:p>
            <w:pPr>
              <w:pStyle w:val="Compact"/>
            </w:pPr>
            <w:r>
              <w:t xml:space="preserve">89%</w:t>
            </w:r>
          </w:p>
        </w:tc>
      </w:tr>
      <w:tr>
        <w:tc>
          <w:tcPr/>
          <w:p>
            <w:pPr>
              <w:pStyle w:val="Compact"/>
            </w:pPr>
            <w:r>
              <w:t xml:space="preserve">antioxidant_DPPH</w:t>
            </w:r>
          </w:p>
        </w:tc>
        <w:tc>
          <w:tcPr/>
          <w:p>
            <w:pPr>
              <w:pStyle w:val="Compact"/>
            </w:pPr>
            <w:r>
              <w:t xml:space="preserve">0.0648</w:t>
            </w:r>
          </w:p>
        </w:tc>
        <w:tc>
          <w:tcPr/>
          <w:p>
            <w:pPr>
              <w:pStyle w:val="Compact"/>
            </w:pPr>
            <w:r>
              <w:t xml:space="preserve">0.0457</w:t>
            </w:r>
          </w:p>
        </w:tc>
        <w:tc>
          <w:tcPr/>
          <w:p>
            <w:pPr>
              <w:pStyle w:val="Compact"/>
            </w:pPr>
            <w:r>
              <w:t xml:space="preserve">50%</w:t>
            </w:r>
          </w:p>
        </w:tc>
        <w:tc>
          <w:tcPr/>
          <w:p>
            <w:pPr>
              <w:pStyle w:val="Compact"/>
            </w:pPr>
            <w:r>
              <w:t xml:space="preserve">0.0995</w:t>
            </w:r>
          </w:p>
        </w:tc>
        <w:tc>
          <w:tcPr/>
          <w:p>
            <w:pPr>
              <w:pStyle w:val="Compact"/>
            </w:pPr>
            <w:r>
              <w:t xml:space="preserve">0.0592</w:t>
            </w:r>
          </w:p>
        </w:tc>
        <w:tc>
          <w:tcPr/>
          <w:p>
            <w:pPr>
              <w:pStyle w:val="Compact"/>
            </w:pPr>
            <w:r>
              <w:t xml:space="preserve">65%</w:t>
            </w:r>
          </w:p>
        </w:tc>
      </w:tr>
    </w:tbl>
    <w:bookmarkEnd w:id="28"/>
    <w:bookmarkStart w:id="29" w:name="X30490296a4b48eb47612dbd72379761c3aacc8b"/>
    <w:p>
      <w:pPr>
        <w:pStyle w:val="Heading2"/>
      </w:pPr>
      <w:r>
        <w:t xml:space="preserve">Table 5. Temporal (future-compound) validation</w:t>
      </w:r>
    </w:p>
    <w:p>
      <w:pPr>
        <w:pStyle w:val="FirstParagraph"/>
      </w:pPr>
      <w:r>
        <w:t xml:space="preserve">Models are trained only on compounds published before the cutoff year and tested on compounds published after it. This is the most demanding regime and the closest analogue of prospective use.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Endpoint</w:t>
            </w:r>
          </w:p>
        </w:tc>
        <w:tc>
          <w:tcPr/>
          <w:p>
            <w:pPr>
              <w:pStyle w:val="Compact"/>
            </w:pPr>
            <w:r>
              <w:t xml:space="preserve">Target</w:t>
            </w:r>
          </w:p>
        </w:tc>
        <w:tc>
          <w:tcPr/>
          <w:p>
            <w:pPr>
              <w:pStyle w:val="Compact"/>
            </w:pPr>
            <w:r>
              <w:t xml:space="preserve">Cutoff year</w:t>
            </w:r>
          </w:p>
        </w:tc>
        <w:tc>
          <w:tcPr/>
          <w:p>
            <w:pPr>
              <w:pStyle w:val="Compact"/>
            </w:pPr>
            <w:r>
              <w:t xml:space="preserve">Train</w:t>
            </w:r>
          </w:p>
        </w:tc>
        <w:tc>
          <w:tcPr/>
          <w:p>
            <w:pPr>
              <w:pStyle w:val="Compact"/>
            </w:pPr>
            <w:r>
              <w:t xml:space="preserve">Test</w:t>
            </w:r>
          </w:p>
        </w:tc>
        <w:tc>
          <w:tcPr/>
          <w:p>
            <w:pPr>
              <w:pStyle w:val="Compact"/>
            </w:pPr>
            <w:r>
              <w:t xml:space="preserve">Metric</w:t>
            </w:r>
          </w:p>
        </w:tc>
        <w:tc>
          <w:tcPr/>
          <w:p>
            <w:pPr>
              <w:pStyle w:val="Compact"/>
            </w:pPr>
            <w:r>
              <w:t xml:space="preserve">Score</w:t>
            </w:r>
          </w:p>
        </w:tc>
      </w:tr>
      <w:tr>
        <w:tc>
          <w:tcPr/>
          <w:p>
            <w:pPr>
              <w:pStyle w:val="Compact"/>
            </w:pPr>
            <w:r>
              <w:t xml:space="preserve">AChE</w:t>
            </w:r>
          </w:p>
        </w:tc>
        <w:tc>
          <w:tcPr/>
          <w:p>
            <w:pPr>
              <w:pStyle w:val="Compact"/>
            </w:pPr>
            <w:r>
              <w:t xml:space="preserve">Acetylcholinesterase</w:t>
            </w:r>
          </w:p>
        </w:tc>
        <w:tc>
          <w:tcPr/>
          <w:p>
            <w:pPr>
              <w:pStyle w:val="Compact"/>
            </w:pPr>
            <w:r>
              <w:t xml:space="preserve">2020</w:t>
            </w:r>
          </w:p>
        </w:tc>
        <w:tc>
          <w:tcPr/>
          <w:p>
            <w:pPr>
              <w:pStyle w:val="Compact"/>
            </w:pPr>
            <w:r>
              <w:t xml:space="preserve">4,141</w:t>
            </w:r>
          </w:p>
        </w:tc>
        <w:tc>
          <w:tcPr/>
          <w:p>
            <w:pPr>
              <w:pStyle w:val="Compact"/>
            </w:pPr>
            <w:r>
              <w:t xml:space="preserve">1,028</w:t>
            </w:r>
          </w:p>
        </w:tc>
        <w:tc>
          <w:tcPr/>
          <w:p>
            <w:pPr>
              <w:pStyle w:val="Compact"/>
            </w:pPr>
            <w:r>
              <w:t xml:space="preserve">AUROC</w:t>
            </w:r>
          </w:p>
        </w:tc>
        <w:tc>
          <w:tcPr/>
          <w:p>
            <w:pPr>
              <w:pStyle w:val="Compact"/>
            </w:pPr>
            <w:r>
              <w:t xml:space="preserve">0.760</w:t>
            </w:r>
          </w:p>
        </w:tc>
      </w:tr>
      <w:tr>
        <w:tc>
          <w:tcPr/>
          <w:p>
            <w:pPr>
              <w:pStyle w:val="Compact"/>
            </w:pPr>
            <w:r>
              <w:t xml:space="preserve">BChE</w:t>
            </w:r>
          </w:p>
        </w:tc>
        <w:tc>
          <w:tcPr/>
          <w:p>
            <w:pPr>
              <w:pStyle w:val="Compact"/>
            </w:pPr>
            <w:r>
              <w:t xml:space="preserve">Butyrylcholinesterase</w:t>
            </w:r>
          </w:p>
        </w:tc>
        <w:tc>
          <w:tcPr/>
          <w:p>
            <w:pPr>
              <w:pStyle w:val="Compact"/>
            </w:pPr>
            <w:r>
              <w:t xml:space="preserve">2021</w:t>
            </w:r>
          </w:p>
        </w:tc>
        <w:tc>
          <w:tcPr/>
          <w:p>
            <w:pPr>
              <w:pStyle w:val="Compact"/>
            </w:pPr>
            <w:r>
              <w:t xml:space="preserve">2,696</w:t>
            </w:r>
          </w:p>
        </w:tc>
        <w:tc>
          <w:tcPr/>
          <w:p>
            <w:pPr>
              <w:pStyle w:val="Compact"/>
            </w:pPr>
            <w:r>
              <w:t xml:space="preserve">617</w:t>
            </w:r>
          </w:p>
        </w:tc>
        <w:tc>
          <w:tcPr/>
          <w:p>
            <w:pPr>
              <w:pStyle w:val="Compact"/>
            </w:pPr>
            <w:r>
              <w:t xml:space="preserve">AUROC</w:t>
            </w:r>
          </w:p>
        </w:tc>
        <w:tc>
          <w:tcPr/>
          <w:p>
            <w:pPr>
              <w:pStyle w:val="Compact"/>
            </w:pPr>
            <w:r>
              <w:t xml:space="preserve">0.801</w:t>
            </w:r>
          </w:p>
        </w:tc>
      </w:tr>
      <w:tr>
        <w:tc>
          <w:tcPr/>
          <w:p>
            <w:pPr>
              <w:pStyle w:val="Compact"/>
            </w:pPr>
            <w:r>
              <w:t xml:space="preserve">BACE1</w:t>
            </w:r>
          </w:p>
        </w:tc>
        <w:tc>
          <w:tcPr/>
          <w:p>
            <w:pPr>
              <w:pStyle w:val="Compact"/>
            </w:pPr>
            <w:r>
              <w:t xml:space="preserve">Beta-secretase 1</w:t>
            </w:r>
          </w:p>
        </w:tc>
        <w:tc>
          <w:tcPr/>
          <w:p>
            <w:pPr>
              <w:pStyle w:val="Compact"/>
            </w:pPr>
            <w:r>
              <w:t xml:space="preserve">2017</w:t>
            </w:r>
          </w:p>
        </w:tc>
        <w:tc>
          <w:tcPr/>
          <w:p>
            <w:pPr>
              <w:pStyle w:val="Compact"/>
            </w:pPr>
            <w:r>
              <w:t xml:space="preserve">6,901</w:t>
            </w:r>
          </w:p>
        </w:tc>
        <w:tc>
          <w:tcPr/>
          <w:p>
            <w:pPr>
              <w:pStyle w:val="Compact"/>
            </w:pPr>
            <w:r>
              <w:t xml:space="preserve">1,673</w:t>
            </w:r>
          </w:p>
        </w:tc>
        <w:tc>
          <w:tcPr/>
          <w:p>
            <w:pPr>
              <w:pStyle w:val="Compact"/>
            </w:pPr>
            <w:r>
              <w:t xml:space="preserve">AUROC</w:t>
            </w:r>
          </w:p>
        </w:tc>
        <w:tc>
          <w:tcPr/>
          <w:p>
            <w:pPr>
              <w:pStyle w:val="Compact"/>
            </w:pPr>
            <w:r>
              <w:t xml:space="preserve">0.910</w:t>
            </w:r>
          </w:p>
        </w:tc>
      </w:tr>
      <w:tr>
        <w:tc>
          <w:tcPr/>
          <w:p>
            <w:pPr>
              <w:pStyle w:val="Compact"/>
            </w:pPr>
            <w:r>
              <w:t xml:space="preserve">GSK3B</w:t>
            </w:r>
          </w:p>
        </w:tc>
        <w:tc>
          <w:tcPr/>
          <w:p>
            <w:pPr>
              <w:pStyle w:val="Compact"/>
            </w:pPr>
            <w:r>
              <w:t xml:space="preserve">Glycogen synthase kinase-3 beta</w:t>
            </w:r>
          </w:p>
        </w:tc>
        <w:tc>
          <w:tcPr/>
          <w:p>
            <w:pPr>
              <w:pStyle w:val="Compact"/>
            </w:pPr>
            <w:r>
              <w:t xml:space="preserve">2021</w:t>
            </w:r>
          </w:p>
        </w:tc>
        <w:tc>
          <w:tcPr/>
          <w:p>
            <w:pPr>
              <w:pStyle w:val="Compact"/>
            </w:pPr>
            <w:r>
              <w:t xml:space="preserve">4,205</w:t>
            </w:r>
          </w:p>
        </w:tc>
        <w:tc>
          <w:tcPr/>
          <w:p>
            <w:pPr>
              <w:pStyle w:val="Compact"/>
            </w:pPr>
            <w:r>
              <w:t xml:space="preserve">546</w:t>
            </w:r>
          </w:p>
        </w:tc>
        <w:tc>
          <w:tcPr/>
          <w:p>
            <w:pPr>
              <w:pStyle w:val="Compact"/>
            </w:pPr>
            <w:r>
              <w:t xml:space="preserve">AUROC</w:t>
            </w:r>
          </w:p>
        </w:tc>
        <w:tc>
          <w:tcPr/>
          <w:p>
            <w:pPr>
              <w:pStyle w:val="Compact"/>
            </w:pPr>
            <w:r>
              <w:t xml:space="preserve">0.776</w:t>
            </w:r>
          </w:p>
        </w:tc>
      </w:tr>
      <w:tr>
        <w:tc>
          <w:tcPr/>
          <w:p>
            <w:pPr>
              <w:pStyle w:val="Compact"/>
            </w:pPr>
            <w:r>
              <w:t xml:space="preserve">MAO_A</w:t>
            </w:r>
          </w:p>
        </w:tc>
        <w:tc>
          <w:tcPr/>
          <w:p>
            <w:pPr>
              <w:pStyle w:val="Compact"/>
            </w:pPr>
            <w:r>
              <w:t xml:space="preserve">Monoamine oxidase A</w:t>
            </w:r>
          </w:p>
        </w:tc>
        <w:tc>
          <w:tcPr/>
          <w:p>
            <w:pPr>
              <w:pStyle w:val="Compact"/>
            </w:pPr>
            <w:r>
              <w:t xml:space="preserve">2020</w:t>
            </w:r>
          </w:p>
        </w:tc>
        <w:tc>
          <w:tcPr/>
          <w:p>
            <w:pPr>
              <w:pStyle w:val="Compact"/>
            </w:pPr>
            <w:r>
              <w:t xml:space="preserve">2,859</w:t>
            </w:r>
          </w:p>
        </w:tc>
        <w:tc>
          <w:tcPr/>
          <w:p>
            <w:pPr>
              <w:pStyle w:val="Compact"/>
            </w:pPr>
            <w:r>
              <w:t xml:space="preserve">819</w:t>
            </w:r>
          </w:p>
        </w:tc>
        <w:tc>
          <w:tcPr/>
          <w:p>
            <w:pPr>
              <w:pStyle w:val="Compact"/>
            </w:pPr>
            <w:r>
              <w:t xml:space="preserve">AUROC</w:t>
            </w:r>
          </w:p>
        </w:tc>
        <w:tc>
          <w:tcPr/>
          <w:p>
            <w:pPr>
              <w:pStyle w:val="Compact"/>
            </w:pPr>
            <w:r>
              <w:t xml:space="preserve">0.727</w:t>
            </w:r>
          </w:p>
        </w:tc>
      </w:tr>
      <w:tr>
        <w:tc>
          <w:tcPr/>
          <w:p>
            <w:pPr>
              <w:pStyle w:val="Compact"/>
            </w:pPr>
            <w:r>
              <w:t xml:space="preserve">MAO_B</w:t>
            </w:r>
          </w:p>
        </w:tc>
        <w:tc>
          <w:tcPr/>
          <w:p>
            <w:pPr>
              <w:pStyle w:val="Compact"/>
            </w:pPr>
            <w:r>
              <w:t xml:space="preserve">Monoamine oxidase B</w:t>
            </w:r>
          </w:p>
        </w:tc>
        <w:tc>
          <w:tcPr/>
          <w:p>
            <w:pPr>
              <w:pStyle w:val="Compact"/>
            </w:pPr>
            <w:r>
              <w:t xml:space="preserve">2020</w:t>
            </w:r>
          </w:p>
        </w:tc>
        <w:tc>
          <w:tcPr/>
          <w:p>
            <w:pPr>
              <w:pStyle w:val="Compact"/>
            </w:pPr>
            <w:r>
              <w:t xml:space="preserve">3,719</w:t>
            </w:r>
          </w:p>
        </w:tc>
        <w:tc>
          <w:tcPr/>
          <w:p>
            <w:pPr>
              <w:pStyle w:val="Compact"/>
            </w:pPr>
            <w:r>
              <w:t xml:space="preserve">923</w:t>
            </w:r>
          </w:p>
        </w:tc>
        <w:tc>
          <w:tcPr/>
          <w:p>
            <w:pPr>
              <w:pStyle w:val="Compact"/>
            </w:pPr>
            <w:r>
              <w:t xml:space="preserve">AUROC</w:t>
            </w:r>
          </w:p>
        </w:tc>
        <w:tc>
          <w:tcPr/>
          <w:p>
            <w:pPr>
              <w:pStyle w:val="Compact"/>
            </w:pPr>
            <w:r>
              <w:t xml:space="preserve">0.843</w:t>
            </w:r>
          </w:p>
        </w:tc>
      </w:tr>
      <w:tr>
        <w:tc>
          <w:tcPr/>
          <w:p>
            <w:pPr>
              <w:pStyle w:val="Compact"/>
            </w:pPr>
            <w:r>
              <w:t xml:space="preserve">hERG</w:t>
            </w:r>
          </w:p>
        </w:tc>
        <w:tc>
          <w:tcPr/>
          <w:p>
            <w:pPr>
              <w:pStyle w:val="Compact"/>
            </w:pPr>
            <w:r>
              <w:t xml:space="preserve">hERG potassium channel</w:t>
            </w:r>
          </w:p>
        </w:tc>
        <w:tc>
          <w:tcPr/>
          <w:p>
            <w:pPr>
              <w:pStyle w:val="Compact"/>
            </w:pPr>
            <w:r>
              <w:t xml:space="preserve">2020</w:t>
            </w:r>
          </w:p>
        </w:tc>
        <w:tc>
          <w:tcPr/>
          <w:p>
            <w:pPr>
              <w:pStyle w:val="Compact"/>
            </w:pPr>
            <w:r>
              <w:t xml:space="preserve">8,158</w:t>
            </w:r>
          </w:p>
        </w:tc>
        <w:tc>
          <w:tcPr/>
          <w:p>
            <w:pPr>
              <w:pStyle w:val="Compact"/>
            </w:pPr>
            <w:r>
              <w:t xml:space="preserve">2,059</w:t>
            </w:r>
          </w:p>
        </w:tc>
        <w:tc>
          <w:tcPr/>
          <w:p>
            <w:pPr>
              <w:pStyle w:val="Compact"/>
            </w:pPr>
            <w:r>
              <w:t xml:space="preserve">AUROC</w:t>
            </w:r>
          </w:p>
        </w:tc>
        <w:tc>
          <w:tcPr/>
          <w:p>
            <w:pPr>
              <w:pStyle w:val="Compact"/>
            </w:pPr>
            <w:r>
              <w:t xml:space="preserve">0.715</w:t>
            </w:r>
          </w:p>
        </w:tc>
      </w:tr>
      <w:tr>
        <w:tc>
          <w:tcPr/>
          <w:p>
            <w:pPr>
              <w:pStyle w:val="Compact"/>
            </w:pPr>
            <w:r>
              <w:t xml:space="preserve">D2</w:t>
            </w:r>
          </w:p>
        </w:tc>
        <w:tc>
          <w:tcPr/>
          <w:p>
            <w:pPr>
              <w:pStyle w:val="Compact"/>
            </w:pPr>
            <w:r>
              <w:t xml:space="preserve">Dopamine D2 receptor</w:t>
            </w:r>
          </w:p>
        </w:tc>
        <w:tc>
          <w:tcPr/>
          <w:p>
            <w:pPr>
              <w:pStyle w:val="Compact"/>
            </w:pPr>
            <w:r>
              <w:t xml:space="preserve">2019</w:t>
            </w:r>
          </w:p>
        </w:tc>
        <w:tc>
          <w:tcPr/>
          <w:p>
            <w:pPr>
              <w:pStyle w:val="Compact"/>
            </w:pPr>
            <w:r>
              <w:t xml:space="preserve">6,796</w:t>
            </w:r>
          </w:p>
        </w:tc>
        <w:tc>
          <w:tcPr/>
          <w:p>
            <w:pPr>
              <w:pStyle w:val="Compact"/>
            </w:pPr>
            <w:r>
              <w:t xml:space="preserve">1,556</w:t>
            </w:r>
          </w:p>
        </w:tc>
        <w:tc>
          <w:tcPr/>
          <w:p>
            <w:pPr>
              <w:pStyle w:val="Compact"/>
            </w:pPr>
            <w:r>
              <w:t xml:space="preserve">R2</w:t>
            </w:r>
          </w:p>
        </w:tc>
        <w:tc>
          <w:tcPr/>
          <w:p>
            <w:pPr>
              <w:pStyle w:val="Compact"/>
            </w:pPr>
            <w:r>
              <w:t xml:space="preserve">0.080</w:t>
            </w:r>
          </w:p>
        </w:tc>
      </w:tr>
      <w:tr>
        <w:tc>
          <w:tcPr/>
          <w:p>
            <w:pPr>
              <w:pStyle w:val="Compact"/>
            </w:pPr>
            <w:r>
              <w:t xml:space="preserve">A2A</w:t>
            </w:r>
          </w:p>
        </w:tc>
        <w:tc>
          <w:tcPr/>
          <w:p>
            <w:pPr>
              <w:pStyle w:val="Compact"/>
            </w:pPr>
            <w:r>
              <w:t xml:space="preserve">Adenosine A2A receptor</w:t>
            </w:r>
          </w:p>
        </w:tc>
        <w:tc>
          <w:tcPr/>
          <w:p>
            <w:pPr>
              <w:pStyle w:val="Compact"/>
            </w:pPr>
            <w:r>
              <w:t xml:space="preserve">2020</w:t>
            </w:r>
          </w:p>
        </w:tc>
        <w:tc>
          <w:tcPr/>
          <w:p>
            <w:pPr>
              <w:pStyle w:val="Compact"/>
            </w:pPr>
            <w:r>
              <w:t xml:space="preserve">4,600</w:t>
            </w:r>
          </w:p>
        </w:tc>
        <w:tc>
          <w:tcPr/>
          <w:p>
            <w:pPr>
              <w:pStyle w:val="Compact"/>
            </w:pPr>
            <w:r>
              <w:t xml:space="preserve">1,516</w:t>
            </w:r>
          </w:p>
        </w:tc>
        <w:tc>
          <w:tcPr/>
          <w:p>
            <w:pPr>
              <w:pStyle w:val="Compact"/>
            </w:pPr>
            <w:r>
              <w:t xml:space="preserve">R2</w:t>
            </w:r>
          </w:p>
        </w:tc>
        <w:tc>
          <w:tcPr/>
          <w:p>
            <w:pPr>
              <w:pStyle w:val="Compact"/>
            </w:pPr>
            <w:r>
              <w:t xml:space="preserve">0.226</w:t>
            </w:r>
          </w:p>
        </w:tc>
      </w:tr>
      <w:tr>
        <w:tc>
          <w:tcPr/>
          <w:p>
            <w:pPr>
              <w:pStyle w:val="Compact"/>
            </w:pPr>
            <w:r>
              <w:t xml:space="preserve">HT2A</w:t>
            </w:r>
          </w:p>
        </w:tc>
        <w:tc>
          <w:tcPr/>
          <w:p>
            <w:pPr>
              <w:pStyle w:val="Compact"/>
            </w:pPr>
            <w:r>
              <w:t xml:space="preserve">Serotonin 5-HT2A receptor</w:t>
            </w:r>
          </w:p>
        </w:tc>
        <w:tc>
          <w:tcPr/>
          <w:p>
            <w:pPr>
              <w:pStyle w:val="Compact"/>
            </w:pPr>
            <w:r>
              <w:t xml:space="preserve">2020</w:t>
            </w:r>
          </w:p>
        </w:tc>
        <w:tc>
          <w:tcPr/>
          <w:p>
            <w:pPr>
              <w:pStyle w:val="Compact"/>
            </w:pPr>
            <w:r>
              <w:t xml:space="preserve">4,741</w:t>
            </w:r>
          </w:p>
        </w:tc>
        <w:tc>
          <w:tcPr/>
          <w:p>
            <w:pPr>
              <w:pStyle w:val="Compact"/>
            </w:pPr>
            <w:r>
              <w:t xml:space="preserve">986</w:t>
            </w:r>
          </w:p>
        </w:tc>
        <w:tc>
          <w:tcPr/>
          <w:p>
            <w:pPr>
              <w:pStyle w:val="Compact"/>
            </w:pPr>
            <w:r>
              <w:t xml:space="preserve">R2</w:t>
            </w:r>
          </w:p>
        </w:tc>
        <w:tc>
          <w:tcPr/>
          <w:p>
            <w:pPr>
              <w:pStyle w:val="Compact"/>
            </w:pPr>
            <w:r>
              <w:t xml:space="preserve">0.157</w:t>
            </w:r>
          </w:p>
        </w:tc>
      </w:tr>
      <w:tr>
        <w:tc>
          <w:tcPr/>
          <w:p>
            <w:pPr>
              <w:pStyle w:val="Compact"/>
            </w:pPr>
            <w:r>
              <w:t xml:space="preserve">SERT</w:t>
            </w:r>
          </w:p>
        </w:tc>
        <w:tc>
          <w:tcPr/>
          <w:p>
            <w:pPr>
              <w:pStyle w:val="Compact"/>
            </w:pPr>
            <w:r>
              <w:t xml:space="preserve">Serotonin transporter</w:t>
            </w:r>
          </w:p>
        </w:tc>
        <w:tc>
          <w:tcPr/>
          <w:p>
            <w:pPr>
              <w:pStyle w:val="Compact"/>
            </w:pPr>
            <w:r>
              <w:t xml:space="preserve">2015</w:t>
            </w:r>
          </w:p>
        </w:tc>
        <w:tc>
          <w:tcPr/>
          <w:p>
            <w:pPr>
              <w:pStyle w:val="Compact"/>
            </w:pPr>
            <w:r>
              <w:t xml:space="preserve">3,647</w:t>
            </w:r>
          </w:p>
        </w:tc>
        <w:tc>
          <w:tcPr/>
          <w:p>
            <w:pPr>
              <w:pStyle w:val="Compact"/>
            </w:pPr>
            <w:r>
              <w:t xml:space="preserve">1,147</w:t>
            </w:r>
          </w:p>
        </w:tc>
        <w:tc>
          <w:tcPr/>
          <w:p>
            <w:pPr>
              <w:pStyle w:val="Compact"/>
            </w:pPr>
            <w:r>
              <w:t xml:space="preserve">R2</w:t>
            </w:r>
          </w:p>
        </w:tc>
        <w:tc>
          <w:tcPr/>
          <w:p>
            <w:pPr>
              <w:pStyle w:val="Compact"/>
            </w:pPr>
            <w:r>
              <w:t xml:space="preserve">0.111</w:t>
            </w:r>
          </w:p>
        </w:tc>
      </w:tr>
      <w:tr>
        <w:tc>
          <w:tcPr/>
          <w:p>
            <w:pPr>
              <w:pStyle w:val="Compact"/>
            </w:pPr>
            <w:r>
              <w:t xml:space="preserve">antioxidant_DPPH</w:t>
            </w:r>
          </w:p>
        </w:tc>
        <w:tc>
          <w:tcPr/>
          <w:p>
            <w:pPr>
              <w:pStyle w:val="Compact"/>
            </w:pPr>
            <w:r>
              <w:t xml:space="preserve">Radical-scavenging capacity</w:t>
            </w:r>
          </w:p>
        </w:tc>
        <w:tc>
          <w:tcPr/>
          <w:p>
            <w:pPr>
              <w:pStyle w:val="Compact"/>
            </w:pPr>
            <w:r>
              <w:t xml:space="preserve">2016</w:t>
            </w:r>
          </w:p>
        </w:tc>
        <w:tc>
          <w:tcPr/>
          <w:p>
            <w:pPr>
              <w:pStyle w:val="Compact"/>
            </w:pPr>
            <w:r>
              <w:t xml:space="preserve">2,340</w:t>
            </w:r>
          </w:p>
        </w:tc>
        <w:tc>
          <w:tcPr/>
          <w:p>
            <w:pPr>
              <w:pStyle w:val="Compact"/>
            </w:pPr>
            <w:r>
              <w:t xml:space="preserve">522</w:t>
            </w:r>
          </w:p>
        </w:tc>
        <w:tc>
          <w:tcPr/>
          <w:p>
            <w:pPr>
              <w:pStyle w:val="Compact"/>
            </w:pPr>
            <w:r>
              <w:t xml:space="preserve">R2</w:t>
            </w:r>
          </w:p>
        </w:tc>
        <w:tc>
          <w:tcPr/>
          <w:p>
            <w:pPr>
              <w:pStyle w:val="Compact"/>
            </w:pPr>
            <w:r>
              <w:t xml:space="preserve">0.009</w:t>
            </w:r>
          </w:p>
        </w:tc>
      </w:tr>
    </w:tbl>
    <w:p>
      <w:pPr>
        <w:pStyle w:val="BodyText"/>
      </w:pPr>
      <w:r>
        <w:t xml:space="preserve">Classifier endpoints: mean AUROC 0.790 (range 0.715 to 0.910). Regression endpoints: mean R2 0.117 (range 0.009 to 0.226).</w:t>
      </w:r>
    </w:p>
    <w:bookmarkEnd w:id="29"/>
    <w:bookmarkStart w:id="30" w:name="Xf8956f7d140dc7619906588b230b7a7b068d2e6"/>
    <w:p>
      <w:pPr>
        <w:pStyle w:val="Heading2"/>
      </w:pPr>
      <w:r>
        <w:t xml:space="preserve">Table 6. Prospective validation under a scaffold hold-out</w:t>
      </w:r>
    </w:p>
    <w:p>
      <w:pPr>
        <w:pStyle w:val="FirstParagraph"/>
      </w:pPr>
      <w:r>
        <w:t xml:space="preserve">Twenty per cent of Bemis-Murcko scaffolds were withheld per target and every model retrained on the remainder, so no held-out compound shares a scaffold with anything its model saw. Thresholds were recalibrated on held-out negatives and an independent background sample. Targets marked excluded produced a threshold at the permitted floor, meaning no separation from background chemistry, and do not contribute to the pooled estimate.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Target</w:t>
            </w:r>
          </w:p>
        </w:tc>
        <w:tc>
          <w:tcPr/>
          <w:p>
            <w:pPr>
              <w:pStyle w:val="Compact"/>
            </w:pPr>
            <w:r>
              <w:t xml:space="preserve">Train actives</w:t>
            </w:r>
          </w:p>
        </w:tc>
        <w:tc>
          <w:tcPr/>
          <w:p>
            <w:pPr>
              <w:pStyle w:val="Compact"/>
            </w:pPr>
            <w:r>
              <w:t xml:space="preserve">Held-out actives</w:t>
            </w:r>
          </w:p>
        </w:tc>
        <w:tc>
          <w:tcPr/>
          <w:p>
            <w:pPr>
              <w:pStyle w:val="Compact"/>
            </w:pPr>
            <w:r>
              <w:t xml:space="preserve">Held-out scaffolds</w:t>
            </w:r>
          </w:p>
        </w:tc>
        <w:tc>
          <w:tcPr/>
          <w:p>
            <w:pPr>
              <w:pStyle w:val="Compact"/>
            </w:pPr>
            <w:r>
              <w:t xml:space="preserve">Threshold</w:t>
            </w:r>
          </w:p>
        </w:tc>
        <w:tc>
          <w:tcPr/>
          <w:p>
            <w:pPr>
              <w:pStyle w:val="Compact"/>
            </w:pPr>
            <w:r>
              <w:t xml:space="preserve">Recall</w:t>
            </w:r>
          </w:p>
        </w:tc>
        <w:tc>
          <w:tcPr/>
          <w:p>
            <w:pPr>
              <w:pStyle w:val="Compact"/>
            </w:pPr>
            <w:r>
              <w:t xml:space="preserve">95% CI</w:t>
            </w:r>
          </w:p>
        </w:tc>
        <w:tc>
          <w:tcPr/>
          <w:p>
            <w:pPr>
              <w:pStyle w:val="Compact"/>
            </w:pPr>
            <w:r>
              <w:t xml:space="preserve">Note</w:t>
            </w:r>
          </w:p>
        </w:tc>
      </w:tr>
      <w:tr>
        <w:tc>
          <w:tcPr/>
          <w:p>
            <w:pPr>
              <w:pStyle w:val="Compact"/>
            </w:pPr>
            <w:r>
              <w:t xml:space="preserve">OX2</w:t>
            </w:r>
          </w:p>
        </w:tc>
        <w:tc>
          <w:tcPr/>
          <w:p>
            <w:pPr>
              <w:pStyle w:val="Compact"/>
            </w:pPr>
            <w:r>
              <w:t xml:space="preserve">3,228</w:t>
            </w:r>
          </w:p>
        </w:tc>
        <w:tc>
          <w:tcPr/>
          <w:p>
            <w:pPr>
              <w:pStyle w:val="Compact"/>
            </w:pPr>
            <w:r>
              <w:t xml:space="preserve">624</w:t>
            </w:r>
          </w:p>
        </w:tc>
        <w:tc>
          <w:tcPr/>
          <w:p>
            <w:pPr>
              <w:pStyle w:val="Compact"/>
            </w:pPr>
            <w:r>
              <w:t xml:space="preserve">233</w:t>
            </w:r>
          </w:p>
        </w:tc>
        <w:tc>
          <w:tcPr/>
          <w:p>
            <w:pPr>
              <w:pStyle w:val="Compact"/>
            </w:pPr>
            <w:r>
              <w:t xml:space="preserve">0.050</w:t>
            </w:r>
          </w:p>
        </w:tc>
        <w:tc>
          <w:tcPr/>
          <w:p>
            <w:pPr>
              <w:pStyle w:val="Compact"/>
            </w:pPr>
            <w:r>
              <w:t xml:space="preserve">0.990</w:t>
            </w:r>
          </w:p>
        </w:tc>
        <w:tc>
          <w:tcPr/>
          <w:p>
            <w:pPr>
              <w:pStyle w:val="Compact"/>
            </w:pPr>
            <w:r>
              <w:t xml:space="preserve">[0.979, 0.996]</w:t>
            </w:r>
          </w:p>
        </w:tc>
        <w:tc>
          <w:tcPr/>
          <w:p>
            <w:pPr>
              <w:pStyle w:val="Compact"/>
            </w:pPr>
            <w:r>
              <w:t xml:space="preserve">excluded</w:t>
            </w:r>
          </w:p>
        </w:tc>
      </w:tr>
      <w:tr>
        <w:tc>
          <w:tcPr/>
          <w:p>
            <w:pPr>
              <w:pStyle w:val="Compact"/>
            </w:pPr>
            <w:r>
              <w:t xml:space="preserve">LRRK2</w:t>
            </w:r>
          </w:p>
        </w:tc>
        <w:tc>
          <w:tcPr/>
          <w:p>
            <w:pPr>
              <w:pStyle w:val="Compact"/>
            </w:pPr>
            <w:r>
              <w:t xml:space="preserve">752</w:t>
            </w:r>
          </w:p>
        </w:tc>
        <w:tc>
          <w:tcPr/>
          <w:p>
            <w:pPr>
              <w:pStyle w:val="Compact"/>
            </w:pPr>
            <w:r>
              <w:t xml:space="preserve">421</w:t>
            </w:r>
          </w:p>
        </w:tc>
        <w:tc>
          <w:tcPr/>
          <w:p>
            <w:pPr>
              <w:pStyle w:val="Compact"/>
            </w:pPr>
            <w:r>
              <w:t xml:space="preserve">90</w:t>
            </w:r>
          </w:p>
        </w:tc>
        <w:tc>
          <w:tcPr/>
          <w:p>
            <w:pPr>
              <w:pStyle w:val="Compact"/>
            </w:pPr>
            <w:r>
              <w:t xml:space="preserve">0.050</w:t>
            </w:r>
          </w:p>
        </w:tc>
        <w:tc>
          <w:tcPr/>
          <w:p>
            <w:pPr>
              <w:pStyle w:val="Compact"/>
            </w:pPr>
            <w:r>
              <w:t xml:space="preserve">0.957</w:t>
            </w:r>
          </w:p>
        </w:tc>
        <w:tc>
          <w:tcPr/>
          <w:p>
            <w:pPr>
              <w:pStyle w:val="Compact"/>
            </w:pPr>
            <w:r>
              <w:t xml:space="preserve">[0.933, 0.973]</w:t>
            </w:r>
          </w:p>
        </w:tc>
        <w:tc>
          <w:tcPr/>
          <w:p>
            <w:pPr>
              <w:pStyle w:val="Compact"/>
            </w:pPr>
            <w:r>
              <w:t xml:space="preserve">excluded</w:t>
            </w:r>
          </w:p>
        </w:tc>
      </w:tr>
      <w:tr>
        <w:tc>
          <w:tcPr/>
          <w:p>
            <w:pPr>
              <w:pStyle w:val="Compact"/>
            </w:pPr>
            <w:r>
              <w:t xml:space="preserve">PDE4B</w:t>
            </w:r>
          </w:p>
        </w:tc>
        <w:tc>
          <w:tcPr/>
          <w:p>
            <w:pPr>
              <w:pStyle w:val="Compact"/>
            </w:pPr>
            <w:r>
              <w:t xml:space="preserve">954</w:t>
            </w:r>
          </w:p>
        </w:tc>
        <w:tc>
          <w:tcPr/>
          <w:p>
            <w:pPr>
              <w:pStyle w:val="Compact"/>
            </w:pPr>
            <w:r>
              <w:t xml:space="preserve">174</w:t>
            </w:r>
          </w:p>
        </w:tc>
        <w:tc>
          <w:tcPr/>
          <w:p>
            <w:pPr>
              <w:pStyle w:val="Compact"/>
            </w:pPr>
            <w:r>
              <w:t xml:space="preserve">99</w:t>
            </w:r>
          </w:p>
        </w:tc>
        <w:tc>
          <w:tcPr/>
          <w:p>
            <w:pPr>
              <w:pStyle w:val="Compact"/>
            </w:pPr>
            <w:r>
              <w:t xml:space="preserve">0.262</w:t>
            </w:r>
          </w:p>
        </w:tc>
        <w:tc>
          <w:tcPr/>
          <w:p>
            <w:pPr>
              <w:pStyle w:val="Compact"/>
            </w:pPr>
            <w:r>
              <w:t xml:space="preserve">0.954</w:t>
            </w:r>
          </w:p>
        </w:tc>
        <w:tc>
          <w:tcPr/>
          <w:p>
            <w:pPr>
              <w:pStyle w:val="Compact"/>
            </w:pPr>
            <w:r>
              <w:t xml:space="preserve">[0.912, 0.977]</w:t>
            </w:r>
          </w:p>
        </w:tc>
        <w:tc>
          <w:tcPr/>
          <w:p>
            <w:pPr>
              <w:pStyle w:val="Compact"/>
            </w:pPr>
          </w:p>
        </w:tc>
      </w:tr>
      <w:tr>
        <w:tc>
          <w:tcPr/>
          <w:p>
            <w:pPr>
              <w:pStyle w:val="Compact"/>
            </w:pPr>
            <w:r>
              <w:t xml:space="preserve">mTOR</w:t>
            </w:r>
          </w:p>
        </w:tc>
        <w:tc>
          <w:tcPr/>
          <w:p>
            <w:pPr>
              <w:pStyle w:val="Compact"/>
            </w:pPr>
            <w:r>
              <w:t xml:space="preserve">2,429</w:t>
            </w:r>
          </w:p>
        </w:tc>
        <w:tc>
          <w:tcPr/>
          <w:p>
            <w:pPr>
              <w:pStyle w:val="Compact"/>
            </w:pPr>
            <w:r>
              <w:t xml:space="preserve">555</w:t>
            </w:r>
          </w:p>
        </w:tc>
        <w:tc>
          <w:tcPr/>
          <w:p>
            <w:pPr>
              <w:pStyle w:val="Compact"/>
            </w:pPr>
            <w:r>
              <w:t xml:space="preserve">216</w:t>
            </w:r>
          </w:p>
        </w:tc>
        <w:tc>
          <w:tcPr/>
          <w:p>
            <w:pPr>
              <w:pStyle w:val="Compact"/>
            </w:pPr>
            <w:r>
              <w:t xml:space="preserve">0.494</w:t>
            </w:r>
          </w:p>
        </w:tc>
        <w:tc>
          <w:tcPr/>
          <w:p>
            <w:pPr>
              <w:pStyle w:val="Compact"/>
            </w:pPr>
            <w:r>
              <w:t xml:space="preserve">0.950</w:t>
            </w:r>
          </w:p>
        </w:tc>
        <w:tc>
          <w:tcPr/>
          <w:p>
            <w:pPr>
              <w:pStyle w:val="Compact"/>
            </w:pPr>
            <w:r>
              <w:t xml:space="preserve">[0.928, 0.965]</w:t>
            </w:r>
          </w:p>
        </w:tc>
        <w:tc>
          <w:tcPr/>
          <w:p>
            <w:pPr>
              <w:pStyle w:val="Compact"/>
            </w:pPr>
          </w:p>
        </w:tc>
      </w:tr>
      <w:tr>
        <w:tc>
          <w:tcPr/>
          <w:p>
            <w:pPr>
              <w:pStyle w:val="Compact"/>
            </w:pPr>
            <w:r>
              <w:t xml:space="preserve">CSF1R</w:t>
            </w:r>
          </w:p>
        </w:tc>
        <w:tc>
          <w:tcPr/>
          <w:p>
            <w:pPr>
              <w:pStyle w:val="Compact"/>
            </w:pPr>
            <w:r>
              <w:t xml:space="preserve">1,510</w:t>
            </w:r>
          </w:p>
        </w:tc>
        <w:tc>
          <w:tcPr/>
          <w:p>
            <w:pPr>
              <w:pStyle w:val="Compact"/>
            </w:pPr>
            <w:r>
              <w:t xml:space="preserve">274</w:t>
            </w:r>
          </w:p>
        </w:tc>
        <w:tc>
          <w:tcPr/>
          <w:p>
            <w:pPr>
              <w:pStyle w:val="Compact"/>
            </w:pPr>
            <w:r>
              <w:t xml:space="preserve">152</w:t>
            </w:r>
          </w:p>
        </w:tc>
        <w:tc>
          <w:tcPr/>
          <w:p>
            <w:pPr>
              <w:pStyle w:val="Compact"/>
            </w:pPr>
            <w:r>
              <w:t xml:space="preserve">0.190</w:t>
            </w:r>
          </w:p>
        </w:tc>
        <w:tc>
          <w:tcPr/>
          <w:p>
            <w:pPr>
              <w:pStyle w:val="Compact"/>
            </w:pPr>
            <w:r>
              <w:t xml:space="preserve">0.927</w:t>
            </w:r>
          </w:p>
        </w:tc>
        <w:tc>
          <w:tcPr/>
          <w:p>
            <w:pPr>
              <w:pStyle w:val="Compact"/>
            </w:pPr>
            <w:r>
              <w:t xml:space="preserve">[0.890, 0.952]</w:t>
            </w:r>
          </w:p>
        </w:tc>
        <w:tc>
          <w:tcPr/>
          <w:p>
            <w:pPr>
              <w:pStyle w:val="Compact"/>
            </w:pPr>
          </w:p>
        </w:tc>
      </w:tr>
      <w:tr>
        <w:tc>
          <w:tcPr/>
          <w:p>
            <w:pPr>
              <w:pStyle w:val="Compact"/>
            </w:pPr>
            <w:r>
              <w:t xml:space="preserve">H3</w:t>
            </w:r>
          </w:p>
        </w:tc>
        <w:tc>
          <w:tcPr/>
          <w:p>
            <w:pPr>
              <w:pStyle w:val="Compact"/>
            </w:pPr>
            <w:r>
              <w:t xml:space="preserve">2,615</w:t>
            </w:r>
          </w:p>
        </w:tc>
        <w:tc>
          <w:tcPr/>
          <w:p>
            <w:pPr>
              <w:pStyle w:val="Compact"/>
            </w:pPr>
            <w:r>
              <w:t xml:space="preserve">597</w:t>
            </w:r>
          </w:p>
        </w:tc>
        <w:tc>
          <w:tcPr/>
          <w:p>
            <w:pPr>
              <w:pStyle w:val="Compact"/>
            </w:pPr>
            <w:r>
              <w:t xml:space="preserve">308</w:t>
            </w:r>
          </w:p>
        </w:tc>
        <w:tc>
          <w:tcPr/>
          <w:p>
            <w:pPr>
              <w:pStyle w:val="Compact"/>
            </w:pPr>
            <w:r>
              <w:t xml:space="preserve">0.758</w:t>
            </w:r>
          </w:p>
        </w:tc>
        <w:tc>
          <w:tcPr/>
          <w:p>
            <w:pPr>
              <w:pStyle w:val="Compact"/>
            </w:pPr>
            <w:r>
              <w:t xml:space="preserve">0.926</w:t>
            </w:r>
          </w:p>
        </w:tc>
        <w:tc>
          <w:tcPr/>
          <w:p>
            <w:pPr>
              <w:pStyle w:val="Compact"/>
            </w:pPr>
            <w:r>
              <w:t xml:space="preserve">[0.903, 0.945]</w:t>
            </w:r>
          </w:p>
        </w:tc>
        <w:tc>
          <w:tcPr/>
          <w:p>
            <w:pPr>
              <w:pStyle w:val="Compact"/>
            </w:pPr>
          </w:p>
        </w:tc>
      </w:tr>
      <w:tr>
        <w:tc>
          <w:tcPr/>
          <w:p>
            <w:pPr>
              <w:pStyle w:val="Compact"/>
            </w:pPr>
            <w:r>
              <w:t xml:space="preserve">GABA_A</w:t>
            </w:r>
          </w:p>
        </w:tc>
        <w:tc>
          <w:tcPr/>
          <w:p>
            <w:pPr>
              <w:pStyle w:val="Compact"/>
            </w:pPr>
            <w:r>
              <w:t xml:space="preserve">166</w:t>
            </w:r>
          </w:p>
        </w:tc>
        <w:tc>
          <w:tcPr/>
          <w:p>
            <w:pPr>
              <w:pStyle w:val="Compact"/>
            </w:pPr>
            <w:r>
              <w:t xml:space="preserve">35</w:t>
            </w:r>
          </w:p>
        </w:tc>
        <w:tc>
          <w:tcPr/>
          <w:p>
            <w:pPr>
              <w:pStyle w:val="Compact"/>
            </w:pPr>
            <w:r>
              <w:t xml:space="preserve">16</w:t>
            </w:r>
          </w:p>
        </w:tc>
        <w:tc>
          <w:tcPr/>
          <w:p>
            <w:pPr>
              <w:pStyle w:val="Compact"/>
            </w:pPr>
            <w:r>
              <w:t xml:space="preserve">0.098</w:t>
            </w:r>
          </w:p>
        </w:tc>
        <w:tc>
          <w:tcPr/>
          <w:p>
            <w:pPr>
              <w:pStyle w:val="Compact"/>
            </w:pPr>
            <w:r>
              <w:t xml:space="preserve">0.914</w:t>
            </w:r>
          </w:p>
        </w:tc>
        <w:tc>
          <w:tcPr/>
          <w:p>
            <w:pPr>
              <w:pStyle w:val="Compact"/>
            </w:pPr>
            <w:r>
              <w:t xml:space="preserve">[0.776, 0.970]</w:t>
            </w:r>
          </w:p>
        </w:tc>
        <w:tc>
          <w:tcPr/>
          <w:p>
            <w:pPr>
              <w:pStyle w:val="Compact"/>
            </w:pPr>
          </w:p>
        </w:tc>
      </w:tr>
      <w:tr>
        <w:tc>
          <w:tcPr/>
          <w:p>
            <w:pPr>
              <w:pStyle w:val="Compact"/>
            </w:pPr>
            <w:r>
              <w:t xml:space="preserve">DAT</w:t>
            </w:r>
          </w:p>
        </w:tc>
        <w:tc>
          <w:tcPr/>
          <w:p>
            <w:pPr>
              <w:pStyle w:val="Compact"/>
            </w:pPr>
            <w:r>
              <w:t xml:space="preserve">1,130</w:t>
            </w:r>
          </w:p>
        </w:tc>
        <w:tc>
          <w:tcPr/>
          <w:p>
            <w:pPr>
              <w:pStyle w:val="Compact"/>
            </w:pPr>
            <w:r>
              <w:t xml:space="preserve">207</w:t>
            </w:r>
          </w:p>
        </w:tc>
        <w:tc>
          <w:tcPr/>
          <w:p>
            <w:pPr>
              <w:pStyle w:val="Compact"/>
            </w:pPr>
            <w:r>
              <w:t xml:space="preserve">93</w:t>
            </w:r>
          </w:p>
        </w:tc>
        <w:tc>
          <w:tcPr/>
          <w:p>
            <w:pPr>
              <w:pStyle w:val="Compact"/>
            </w:pPr>
            <w:r>
              <w:t xml:space="preserve">0.315</w:t>
            </w:r>
          </w:p>
        </w:tc>
        <w:tc>
          <w:tcPr/>
          <w:p>
            <w:pPr>
              <w:pStyle w:val="Compact"/>
            </w:pPr>
            <w:r>
              <w:t xml:space="preserve">0.903</w:t>
            </w:r>
          </w:p>
        </w:tc>
        <w:tc>
          <w:tcPr/>
          <w:p>
            <w:pPr>
              <w:pStyle w:val="Compact"/>
            </w:pPr>
            <w:r>
              <w:t xml:space="preserve">[0.855, 0.937]</w:t>
            </w:r>
          </w:p>
        </w:tc>
        <w:tc>
          <w:tcPr/>
          <w:p>
            <w:pPr>
              <w:pStyle w:val="Compact"/>
            </w:pPr>
          </w:p>
        </w:tc>
      </w:tr>
      <w:tr>
        <w:tc>
          <w:tcPr/>
          <w:p>
            <w:pPr>
              <w:pStyle w:val="Compact"/>
            </w:pPr>
            <w:r>
              <w:t xml:space="preserve">PDE10A</w:t>
            </w:r>
          </w:p>
        </w:tc>
        <w:tc>
          <w:tcPr/>
          <w:p>
            <w:pPr>
              <w:pStyle w:val="Compact"/>
            </w:pPr>
            <w:r>
              <w:t xml:space="preserve">3,141</w:t>
            </w:r>
          </w:p>
        </w:tc>
        <w:tc>
          <w:tcPr/>
          <w:p>
            <w:pPr>
              <w:pStyle w:val="Compact"/>
            </w:pPr>
            <w:r>
              <w:t xml:space="preserve">943</w:t>
            </w:r>
          </w:p>
        </w:tc>
        <w:tc>
          <w:tcPr/>
          <w:p>
            <w:pPr>
              <w:pStyle w:val="Compact"/>
            </w:pPr>
            <w:r>
              <w:t xml:space="preserve">326</w:t>
            </w:r>
          </w:p>
        </w:tc>
        <w:tc>
          <w:tcPr/>
          <w:p>
            <w:pPr>
              <w:pStyle w:val="Compact"/>
            </w:pPr>
            <w:r>
              <w:t xml:space="preserve">0.979</w:t>
            </w:r>
          </w:p>
        </w:tc>
        <w:tc>
          <w:tcPr/>
          <w:p>
            <w:pPr>
              <w:pStyle w:val="Compact"/>
            </w:pPr>
            <w:r>
              <w:t xml:space="preserve">0.902</w:t>
            </w:r>
          </w:p>
        </w:tc>
        <w:tc>
          <w:tcPr/>
          <w:p>
            <w:pPr>
              <w:pStyle w:val="Compact"/>
            </w:pPr>
            <w:r>
              <w:t xml:space="preserve">[0.882, 0.920]</w:t>
            </w:r>
          </w:p>
        </w:tc>
        <w:tc>
          <w:tcPr/>
          <w:p>
            <w:pPr>
              <w:pStyle w:val="Compact"/>
            </w:pPr>
          </w:p>
        </w:tc>
      </w:tr>
      <w:tr>
        <w:tc>
          <w:tcPr/>
          <w:p>
            <w:pPr>
              <w:pStyle w:val="Compact"/>
            </w:pPr>
            <w:r>
              <w:t xml:space="preserve">SERT</w:t>
            </w:r>
          </w:p>
        </w:tc>
        <w:tc>
          <w:tcPr/>
          <w:p>
            <w:pPr>
              <w:pStyle w:val="Compact"/>
            </w:pPr>
            <w:r>
              <w:t xml:space="preserve">2,423</w:t>
            </w:r>
          </w:p>
        </w:tc>
        <w:tc>
          <w:tcPr/>
          <w:p>
            <w:pPr>
              <w:pStyle w:val="Compact"/>
            </w:pPr>
            <w:r>
              <w:t xml:space="preserve">548</w:t>
            </w:r>
          </w:p>
        </w:tc>
        <w:tc>
          <w:tcPr/>
          <w:p>
            <w:pPr>
              <w:pStyle w:val="Compact"/>
            </w:pPr>
            <w:r>
              <w:t xml:space="preserve">185</w:t>
            </w:r>
          </w:p>
        </w:tc>
        <w:tc>
          <w:tcPr/>
          <w:p>
            <w:pPr>
              <w:pStyle w:val="Compact"/>
            </w:pPr>
            <w:r>
              <w:t xml:space="preserve">0.560</w:t>
            </w:r>
          </w:p>
        </w:tc>
        <w:tc>
          <w:tcPr/>
          <w:p>
            <w:pPr>
              <w:pStyle w:val="Compact"/>
            </w:pPr>
            <w:r>
              <w:t xml:space="preserve">0.901</w:t>
            </w:r>
          </w:p>
        </w:tc>
        <w:tc>
          <w:tcPr/>
          <w:p>
            <w:pPr>
              <w:pStyle w:val="Compact"/>
            </w:pPr>
            <w:r>
              <w:t xml:space="preserve">[0.874, 0.924]</w:t>
            </w:r>
          </w:p>
        </w:tc>
        <w:tc>
          <w:tcPr/>
          <w:p>
            <w:pPr>
              <w:pStyle w:val="Compact"/>
            </w:pPr>
          </w:p>
        </w:tc>
      </w:tr>
      <w:tr>
        <w:tc>
          <w:tcPr/>
          <w:p>
            <w:pPr>
              <w:pStyle w:val="Compact"/>
            </w:pPr>
            <w:r>
              <w:t xml:space="preserve">Nav1_5</w:t>
            </w:r>
          </w:p>
        </w:tc>
        <w:tc>
          <w:tcPr/>
          <w:p>
            <w:pPr>
              <w:pStyle w:val="Compact"/>
            </w:pPr>
            <w:r>
              <w:t xml:space="preserve">194</w:t>
            </w:r>
          </w:p>
        </w:tc>
        <w:tc>
          <w:tcPr/>
          <w:p>
            <w:pPr>
              <w:pStyle w:val="Compact"/>
            </w:pPr>
            <w:r>
              <w:t xml:space="preserve">48</w:t>
            </w:r>
          </w:p>
        </w:tc>
        <w:tc>
          <w:tcPr/>
          <w:p>
            <w:pPr>
              <w:pStyle w:val="Compact"/>
            </w:pPr>
            <w:r>
              <w:t xml:space="preserve">27</w:t>
            </w:r>
          </w:p>
        </w:tc>
        <w:tc>
          <w:tcPr/>
          <w:p>
            <w:pPr>
              <w:pStyle w:val="Compact"/>
            </w:pPr>
            <w:r>
              <w:t xml:space="preserve">0.367</w:t>
            </w:r>
          </w:p>
        </w:tc>
        <w:tc>
          <w:tcPr/>
          <w:p>
            <w:pPr>
              <w:pStyle w:val="Compact"/>
            </w:pPr>
            <w:r>
              <w:t xml:space="preserve">0.875</w:t>
            </w:r>
          </w:p>
        </w:tc>
        <w:tc>
          <w:tcPr/>
          <w:p>
            <w:pPr>
              <w:pStyle w:val="Compact"/>
            </w:pPr>
            <w:r>
              <w:t xml:space="preserve">[0.753, 0.941]</w:t>
            </w:r>
          </w:p>
        </w:tc>
        <w:tc>
          <w:tcPr/>
          <w:p>
            <w:pPr>
              <w:pStyle w:val="Compact"/>
            </w:pPr>
          </w:p>
        </w:tc>
      </w:tr>
      <w:tr>
        <w:tc>
          <w:tcPr/>
          <w:p>
            <w:pPr>
              <w:pStyle w:val="Compact"/>
            </w:pPr>
            <w:r>
              <w:t xml:space="preserve">NLRP3</w:t>
            </w:r>
          </w:p>
        </w:tc>
        <w:tc>
          <w:tcPr/>
          <w:p>
            <w:pPr>
              <w:pStyle w:val="Compact"/>
            </w:pPr>
            <w:r>
              <w:t xml:space="preserve">176</w:t>
            </w:r>
          </w:p>
        </w:tc>
        <w:tc>
          <w:tcPr/>
          <w:p>
            <w:pPr>
              <w:pStyle w:val="Compact"/>
            </w:pPr>
            <w:r>
              <w:t xml:space="preserve">46</w:t>
            </w:r>
          </w:p>
        </w:tc>
        <w:tc>
          <w:tcPr/>
          <w:p>
            <w:pPr>
              <w:pStyle w:val="Compact"/>
            </w:pPr>
            <w:r>
              <w:t xml:space="preserve">27</w:t>
            </w:r>
          </w:p>
        </w:tc>
        <w:tc>
          <w:tcPr/>
          <w:p>
            <w:pPr>
              <w:pStyle w:val="Compact"/>
            </w:pPr>
            <w:r>
              <w:t xml:space="preserve">0.953</w:t>
            </w:r>
          </w:p>
        </w:tc>
        <w:tc>
          <w:tcPr/>
          <w:p>
            <w:pPr>
              <w:pStyle w:val="Compact"/>
            </w:pPr>
            <w:r>
              <w:t xml:space="preserve">0.870</w:t>
            </w:r>
          </w:p>
        </w:tc>
        <w:tc>
          <w:tcPr/>
          <w:p>
            <w:pPr>
              <w:pStyle w:val="Compact"/>
            </w:pPr>
            <w:r>
              <w:t xml:space="preserve">[0.743, 0.939]</w:t>
            </w:r>
          </w:p>
        </w:tc>
        <w:tc>
          <w:tcPr/>
          <w:p>
            <w:pPr>
              <w:pStyle w:val="Compact"/>
            </w:pPr>
          </w:p>
        </w:tc>
      </w:tr>
      <w:tr>
        <w:tc>
          <w:tcPr/>
          <w:p>
            <w:pPr>
              <w:pStyle w:val="Compact"/>
            </w:pPr>
            <w:r>
              <w:t xml:space="preserve">OPRM1</w:t>
            </w:r>
          </w:p>
        </w:tc>
        <w:tc>
          <w:tcPr/>
          <w:p>
            <w:pPr>
              <w:pStyle w:val="Compact"/>
            </w:pPr>
            <w:r>
              <w:t xml:space="preserve">2,931</w:t>
            </w:r>
          </w:p>
        </w:tc>
        <w:tc>
          <w:tcPr/>
          <w:p>
            <w:pPr>
              <w:pStyle w:val="Compact"/>
            </w:pPr>
            <w:r>
              <w:t xml:space="preserve">787</w:t>
            </w:r>
          </w:p>
        </w:tc>
        <w:tc>
          <w:tcPr/>
          <w:p>
            <w:pPr>
              <w:pStyle w:val="Compact"/>
            </w:pPr>
            <w:r>
              <w:t xml:space="preserve">302</w:t>
            </w:r>
          </w:p>
        </w:tc>
        <w:tc>
          <w:tcPr/>
          <w:p>
            <w:pPr>
              <w:pStyle w:val="Compact"/>
            </w:pPr>
            <w:r>
              <w:t xml:space="preserve">0.842</w:t>
            </w:r>
          </w:p>
        </w:tc>
        <w:tc>
          <w:tcPr/>
          <w:p>
            <w:pPr>
              <w:pStyle w:val="Compact"/>
            </w:pPr>
            <w:r>
              <w:t xml:space="preserve">0.859</w:t>
            </w:r>
          </w:p>
        </w:tc>
        <w:tc>
          <w:tcPr/>
          <w:p>
            <w:pPr>
              <w:pStyle w:val="Compact"/>
            </w:pPr>
            <w:r>
              <w:t xml:space="preserve">[0.833, 0.882]</w:t>
            </w:r>
          </w:p>
        </w:tc>
        <w:tc>
          <w:tcPr/>
          <w:p>
            <w:pPr>
              <w:pStyle w:val="Compact"/>
            </w:pPr>
          </w:p>
        </w:tc>
      </w:tr>
      <w:tr>
        <w:tc>
          <w:tcPr/>
          <w:p>
            <w:pPr>
              <w:pStyle w:val="Compact"/>
            </w:pPr>
            <w:r>
              <w:t xml:space="preserve">HT6</w:t>
            </w:r>
          </w:p>
        </w:tc>
        <w:tc>
          <w:tcPr/>
          <w:p>
            <w:pPr>
              <w:pStyle w:val="Compact"/>
            </w:pPr>
            <w:r>
              <w:t xml:space="preserve">2,023</w:t>
            </w:r>
          </w:p>
        </w:tc>
        <w:tc>
          <w:tcPr/>
          <w:p>
            <w:pPr>
              <w:pStyle w:val="Compact"/>
            </w:pPr>
            <w:r>
              <w:t xml:space="preserve">718</w:t>
            </w:r>
          </w:p>
        </w:tc>
        <w:tc>
          <w:tcPr/>
          <w:p>
            <w:pPr>
              <w:pStyle w:val="Compact"/>
            </w:pPr>
            <w:r>
              <w:t xml:space="preserve">167</w:t>
            </w:r>
          </w:p>
        </w:tc>
        <w:tc>
          <w:tcPr/>
          <w:p>
            <w:pPr>
              <w:pStyle w:val="Compact"/>
            </w:pPr>
            <w:r>
              <w:t xml:space="preserve">0.961</w:t>
            </w:r>
          </w:p>
        </w:tc>
        <w:tc>
          <w:tcPr/>
          <w:p>
            <w:pPr>
              <w:pStyle w:val="Compact"/>
            </w:pPr>
            <w:r>
              <w:t xml:space="preserve">0.858</w:t>
            </w:r>
          </w:p>
        </w:tc>
        <w:tc>
          <w:tcPr/>
          <w:p>
            <w:pPr>
              <w:pStyle w:val="Compact"/>
            </w:pPr>
            <w:r>
              <w:t xml:space="preserve">[0.830, 0.882]</w:t>
            </w:r>
          </w:p>
        </w:tc>
        <w:tc>
          <w:tcPr/>
          <w:p>
            <w:pPr>
              <w:pStyle w:val="Compact"/>
            </w:pPr>
          </w:p>
        </w:tc>
      </w:tr>
      <w:tr>
        <w:tc>
          <w:tcPr/>
          <w:p>
            <w:pPr>
              <w:pStyle w:val="Compact"/>
            </w:pPr>
            <w:r>
              <w:t xml:space="preserve">a7nAChR</w:t>
            </w:r>
          </w:p>
        </w:tc>
        <w:tc>
          <w:tcPr/>
          <w:p>
            <w:pPr>
              <w:pStyle w:val="Compact"/>
            </w:pPr>
            <w:r>
              <w:t xml:space="preserve">266</w:t>
            </w:r>
          </w:p>
        </w:tc>
        <w:tc>
          <w:tcPr/>
          <w:p>
            <w:pPr>
              <w:pStyle w:val="Compact"/>
            </w:pPr>
            <w:r>
              <w:t xml:space="preserve">71</w:t>
            </w:r>
          </w:p>
        </w:tc>
        <w:tc>
          <w:tcPr/>
          <w:p>
            <w:pPr>
              <w:pStyle w:val="Compact"/>
            </w:pPr>
            <w:r>
              <w:t xml:space="preserve">35</w:t>
            </w:r>
          </w:p>
        </w:tc>
        <w:tc>
          <w:tcPr/>
          <w:p>
            <w:pPr>
              <w:pStyle w:val="Compact"/>
            </w:pPr>
            <w:r>
              <w:t xml:space="preserve">0.494</w:t>
            </w:r>
          </w:p>
        </w:tc>
        <w:tc>
          <w:tcPr/>
          <w:p>
            <w:pPr>
              <w:pStyle w:val="Compact"/>
            </w:pPr>
            <w:r>
              <w:t xml:space="preserve">0.845</w:t>
            </w:r>
          </w:p>
        </w:tc>
        <w:tc>
          <w:tcPr/>
          <w:p>
            <w:pPr>
              <w:pStyle w:val="Compact"/>
            </w:pPr>
            <w:r>
              <w:t xml:space="preserve">[0.743, 0.911]</w:t>
            </w:r>
          </w:p>
        </w:tc>
        <w:tc>
          <w:tcPr/>
          <w:p>
            <w:pPr>
              <w:pStyle w:val="Compact"/>
            </w:pPr>
          </w:p>
        </w:tc>
      </w:tr>
      <w:tr>
        <w:tc>
          <w:tcPr/>
          <w:p>
            <w:pPr>
              <w:pStyle w:val="Compact"/>
            </w:pPr>
            <w:r>
              <w:t xml:space="preserve">Nav1_7</w:t>
            </w:r>
          </w:p>
        </w:tc>
        <w:tc>
          <w:tcPr/>
          <w:p>
            <w:pPr>
              <w:pStyle w:val="Compact"/>
            </w:pPr>
            <w:r>
              <w:t xml:space="preserve">2,172</w:t>
            </w:r>
          </w:p>
        </w:tc>
        <w:tc>
          <w:tcPr/>
          <w:p>
            <w:pPr>
              <w:pStyle w:val="Compact"/>
            </w:pPr>
            <w:r>
              <w:t xml:space="preserve">572</w:t>
            </w:r>
          </w:p>
        </w:tc>
        <w:tc>
          <w:tcPr/>
          <w:p>
            <w:pPr>
              <w:pStyle w:val="Compact"/>
            </w:pPr>
            <w:r>
              <w:t xml:space="preserve">179</w:t>
            </w:r>
          </w:p>
        </w:tc>
        <w:tc>
          <w:tcPr/>
          <w:p>
            <w:pPr>
              <w:pStyle w:val="Compact"/>
            </w:pPr>
            <w:r>
              <w:t xml:space="preserve">0.957</w:t>
            </w:r>
          </w:p>
        </w:tc>
        <w:tc>
          <w:tcPr/>
          <w:p>
            <w:pPr>
              <w:pStyle w:val="Compact"/>
            </w:pPr>
            <w:r>
              <w:t xml:space="preserve">0.844</w:t>
            </w:r>
          </w:p>
        </w:tc>
        <w:tc>
          <w:tcPr/>
          <w:p>
            <w:pPr>
              <w:pStyle w:val="Compact"/>
            </w:pPr>
            <w:r>
              <w:t xml:space="preserve">[0.812, 0.872]</w:t>
            </w:r>
          </w:p>
        </w:tc>
        <w:tc>
          <w:tcPr/>
          <w:p>
            <w:pPr>
              <w:pStyle w:val="Compact"/>
            </w:pPr>
          </w:p>
        </w:tc>
      </w:tr>
      <w:tr>
        <w:tc>
          <w:tcPr/>
          <w:p>
            <w:pPr>
              <w:pStyle w:val="Compact"/>
            </w:pPr>
            <w:r>
              <w:t xml:space="preserve">D3</w:t>
            </w:r>
          </w:p>
        </w:tc>
        <w:tc>
          <w:tcPr/>
          <w:p>
            <w:pPr>
              <w:pStyle w:val="Compact"/>
            </w:pPr>
            <w:r>
              <w:t xml:space="preserve">3,283</w:t>
            </w:r>
          </w:p>
        </w:tc>
        <w:tc>
          <w:tcPr/>
          <w:p>
            <w:pPr>
              <w:pStyle w:val="Compact"/>
            </w:pPr>
            <w:r>
              <w:t xml:space="preserve">844</w:t>
            </w:r>
          </w:p>
        </w:tc>
        <w:tc>
          <w:tcPr/>
          <w:p>
            <w:pPr>
              <w:pStyle w:val="Compact"/>
            </w:pPr>
            <w:r>
              <w:t xml:space="preserve">351</w:t>
            </w:r>
          </w:p>
        </w:tc>
        <w:tc>
          <w:tcPr/>
          <w:p>
            <w:pPr>
              <w:pStyle w:val="Compact"/>
            </w:pPr>
            <w:r>
              <w:t xml:space="preserve">0.965</w:t>
            </w:r>
          </w:p>
        </w:tc>
        <w:tc>
          <w:tcPr/>
          <w:p>
            <w:pPr>
              <w:pStyle w:val="Compact"/>
            </w:pPr>
            <w:r>
              <w:t xml:space="preserve">0.842</w:t>
            </w:r>
          </w:p>
        </w:tc>
        <w:tc>
          <w:tcPr/>
          <w:p>
            <w:pPr>
              <w:pStyle w:val="Compact"/>
            </w:pPr>
            <w:r>
              <w:t xml:space="preserve">[0.816, 0.865]</w:t>
            </w:r>
          </w:p>
        </w:tc>
        <w:tc>
          <w:tcPr/>
          <w:p>
            <w:pPr>
              <w:pStyle w:val="Compact"/>
            </w:pPr>
          </w:p>
        </w:tc>
      </w:tr>
      <w:tr>
        <w:tc>
          <w:tcPr/>
          <w:p>
            <w:pPr>
              <w:pStyle w:val="Compact"/>
            </w:pPr>
            <w:r>
              <w:t xml:space="preserve">HDAC1</w:t>
            </w:r>
          </w:p>
        </w:tc>
        <w:tc>
          <w:tcPr/>
          <w:p>
            <w:pPr>
              <w:pStyle w:val="Compact"/>
            </w:pPr>
            <w:r>
              <w:t xml:space="preserve">2,421</w:t>
            </w:r>
          </w:p>
        </w:tc>
        <w:tc>
          <w:tcPr/>
          <w:p>
            <w:pPr>
              <w:pStyle w:val="Compact"/>
            </w:pPr>
            <w:r>
              <w:t xml:space="preserve">634</w:t>
            </w:r>
          </w:p>
        </w:tc>
        <w:tc>
          <w:tcPr/>
          <w:p>
            <w:pPr>
              <w:pStyle w:val="Compact"/>
            </w:pPr>
            <w:r>
              <w:t xml:space="preserve">292</w:t>
            </w:r>
          </w:p>
        </w:tc>
        <w:tc>
          <w:tcPr/>
          <w:p>
            <w:pPr>
              <w:pStyle w:val="Compact"/>
            </w:pPr>
            <w:r>
              <w:t xml:space="preserve">0.905</w:t>
            </w:r>
          </w:p>
        </w:tc>
        <w:tc>
          <w:tcPr/>
          <w:p>
            <w:pPr>
              <w:pStyle w:val="Compact"/>
            </w:pPr>
            <w:r>
              <w:t xml:space="preserve">0.841</w:t>
            </w:r>
          </w:p>
        </w:tc>
        <w:tc>
          <w:tcPr/>
          <w:p>
            <w:pPr>
              <w:pStyle w:val="Compact"/>
            </w:pPr>
            <w:r>
              <w:t xml:space="preserve">[0.810, 0.867]</w:t>
            </w:r>
          </w:p>
        </w:tc>
        <w:tc>
          <w:tcPr/>
          <w:p>
            <w:pPr>
              <w:pStyle w:val="Compact"/>
            </w:pPr>
          </w:p>
        </w:tc>
      </w:tr>
      <w:tr>
        <w:tc>
          <w:tcPr/>
          <w:p>
            <w:pPr>
              <w:pStyle w:val="Compact"/>
            </w:pPr>
            <w:r>
              <w:t xml:space="preserve">OX1</w:t>
            </w:r>
          </w:p>
        </w:tc>
        <w:tc>
          <w:tcPr/>
          <w:p>
            <w:pPr>
              <w:pStyle w:val="Compact"/>
            </w:pPr>
            <w:r>
              <w:t xml:space="preserve">2,736</w:t>
            </w:r>
          </w:p>
        </w:tc>
        <w:tc>
          <w:tcPr/>
          <w:p>
            <w:pPr>
              <w:pStyle w:val="Compact"/>
            </w:pPr>
            <w:r>
              <w:t xml:space="preserve">576</w:t>
            </w:r>
          </w:p>
        </w:tc>
        <w:tc>
          <w:tcPr/>
          <w:p>
            <w:pPr>
              <w:pStyle w:val="Compact"/>
            </w:pPr>
            <w:r>
              <w:t xml:space="preserve">178</w:t>
            </w:r>
          </w:p>
        </w:tc>
        <w:tc>
          <w:tcPr/>
          <w:p>
            <w:pPr>
              <w:pStyle w:val="Compact"/>
            </w:pPr>
            <w:r>
              <w:t xml:space="preserve">0.983</w:t>
            </w:r>
          </w:p>
        </w:tc>
        <w:tc>
          <w:tcPr/>
          <w:p>
            <w:pPr>
              <w:pStyle w:val="Compact"/>
            </w:pPr>
            <w:r>
              <w:t xml:space="preserve">0.833</w:t>
            </w:r>
          </w:p>
        </w:tc>
        <w:tc>
          <w:tcPr/>
          <w:p>
            <w:pPr>
              <w:pStyle w:val="Compact"/>
            </w:pPr>
            <w:r>
              <w:t xml:space="preserve">[0.801, 0.862]</w:t>
            </w:r>
          </w:p>
        </w:tc>
        <w:tc>
          <w:tcPr/>
          <w:p>
            <w:pPr>
              <w:pStyle w:val="Compact"/>
            </w:pPr>
          </w:p>
        </w:tc>
      </w:tr>
      <w:tr>
        <w:tc>
          <w:tcPr/>
          <w:p>
            <w:pPr>
              <w:pStyle w:val="Compact"/>
            </w:pPr>
            <w:r>
              <w:t xml:space="preserve">KEAP1</w:t>
            </w:r>
          </w:p>
        </w:tc>
        <w:tc>
          <w:tcPr/>
          <w:p>
            <w:pPr>
              <w:pStyle w:val="Compact"/>
            </w:pPr>
            <w:r>
              <w:t xml:space="preserve">105</w:t>
            </w:r>
          </w:p>
        </w:tc>
        <w:tc>
          <w:tcPr/>
          <w:p>
            <w:pPr>
              <w:pStyle w:val="Compact"/>
            </w:pPr>
            <w:r>
              <w:t xml:space="preserve">17</w:t>
            </w:r>
          </w:p>
        </w:tc>
        <w:tc>
          <w:tcPr/>
          <w:p>
            <w:pPr>
              <w:pStyle w:val="Compact"/>
            </w:pPr>
            <w:r>
              <w:t xml:space="preserve">15</w:t>
            </w:r>
          </w:p>
        </w:tc>
        <w:tc>
          <w:tcPr/>
          <w:p>
            <w:pPr>
              <w:pStyle w:val="Compact"/>
            </w:pPr>
            <w:r>
              <w:t xml:space="preserve">0.430</w:t>
            </w:r>
          </w:p>
        </w:tc>
        <w:tc>
          <w:tcPr/>
          <w:p>
            <w:pPr>
              <w:pStyle w:val="Compact"/>
            </w:pPr>
            <w:r>
              <w:t xml:space="preserve">0.824</w:t>
            </w:r>
          </w:p>
        </w:tc>
        <w:tc>
          <w:tcPr/>
          <w:p>
            <w:pPr>
              <w:pStyle w:val="Compact"/>
            </w:pPr>
            <w:r>
              <w:t xml:space="preserve">[0.590, 0.938]</w:t>
            </w:r>
          </w:p>
        </w:tc>
        <w:tc>
          <w:tcPr/>
          <w:p>
            <w:pPr>
              <w:pStyle w:val="Compact"/>
            </w:pPr>
          </w:p>
        </w:tc>
      </w:tr>
      <w:tr>
        <w:tc>
          <w:tcPr/>
          <w:p>
            <w:pPr>
              <w:pStyle w:val="Compact"/>
            </w:pPr>
            <w:r>
              <w:t xml:space="preserve">NET</w:t>
            </w:r>
          </w:p>
        </w:tc>
        <w:tc>
          <w:tcPr/>
          <w:p>
            <w:pPr>
              <w:pStyle w:val="Compact"/>
            </w:pPr>
            <w:r>
              <w:t xml:space="preserve">1,307</w:t>
            </w:r>
          </w:p>
        </w:tc>
        <w:tc>
          <w:tcPr/>
          <w:p>
            <w:pPr>
              <w:pStyle w:val="Compact"/>
            </w:pPr>
            <w:r>
              <w:t xml:space="preserve">265</w:t>
            </w:r>
          </w:p>
        </w:tc>
        <w:tc>
          <w:tcPr/>
          <w:p>
            <w:pPr>
              <w:pStyle w:val="Compact"/>
            </w:pPr>
            <w:r>
              <w:t xml:space="preserve">90</w:t>
            </w:r>
          </w:p>
        </w:tc>
        <w:tc>
          <w:tcPr/>
          <w:p>
            <w:pPr>
              <w:pStyle w:val="Compact"/>
            </w:pPr>
            <w:r>
              <w:t xml:space="preserve">0.646</w:t>
            </w:r>
          </w:p>
        </w:tc>
        <w:tc>
          <w:tcPr/>
          <w:p>
            <w:pPr>
              <w:pStyle w:val="Compact"/>
            </w:pPr>
            <w:r>
              <w:t xml:space="preserve">0.819</w:t>
            </w:r>
          </w:p>
        </w:tc>
        <w:tc>
          <w:tcPr/>
          <w:p>
            <w:pPr>
              <w:pStyle w:val="Compact"/>
            </w:pPr>
            <w:r>
              <w:t xml:space="preserve">[0.768, 0.861]</w:t>
            </w:r>
          </w:p>
        </w:tc>
        <w:tc>
          <w:tcPr/>
          <w:p>
            <w:pPr>
              <w:pStyle w:val="Compact"/>
            </w:pPr>
          </w:p>
        </w:tc>
      </w:tr>
      <w:tr>
        <w:tc>
          <w:tcPr/>
          <w:p>
            <w:pPr>
              <w:pStyle w:val="Compact"/>
            </w:pPr>
            <w:r>
              <w:t xml:space="preserve">HT1A</w:t>
            </w:r>
          </w:p>
        </w:tc>
        <w:tc>
          <w:tcPr/>
          <w:p>
            <w:pPr>
              <w:pStyle w:val="Compact"/>
            </w:pPr>
            <w:r>
              <w:t xml:space="preserve">2,902</w:t>
            </w:r>
          </w:p>
        </w:tc>
        <w:tc>
          <w:tcPr/>
          <w:p>
            <w:pPr>
              <w:pStyle w:val="Compact"/>
            </w:pPr>
            <w:r>
              <w:t xml:space="preserve">801</w:t>
            </w:r>
          </w:p>
        </w:tc>
        <w:tc>
          <w:tcPr/>
          <w:p>
            <w:pPr>
              <w:pStyle w:val="Compact"/>
            </w:pPr>
            <w:r>
              <w:t xml:space="preserve">327</w:t>
            </w:r>
          </w:p>
        </w:tc>
        <w:tc>
          <w:tcPr/>
          <w:p>
            <w:pPr>
              <w:pStyle w:val="Compact"/>
            </w:pPr>
            <w:r>
              <w:t xml:space="preserve">0.980</w:t>
            </w:r>
          </w:p>
        </w:tc>
        <w:tc>
          <w:tcPr/>
          <w:p>
            <w:pPr>
              <w:pStyle w:val="Compact"/>
            </w:pPr>
            <w:r>
              <w:t xml:space="preserve">0.814</w:t>
            </w:r>
          </w:p>
        </w:tc>
        <w:tc>
          <w:tcPr/>
          <w:p>
            <w:pPr>
              <w:pStyle w:val="Compact"/>
            </w:pPr>
            <w:r>
              <w:t xml:space="preserve">[0.786, 0.839]</w:t>
            </w:r>
          </w:p>
        </w:tc>
        <w:tc>
          <w:tcPr/>
          <w:p>
            <w:pPr>
              <w:pStyle w:val="Compact"/>
            </w:pPr>
          </w:p>
        </w:tc>
      </w:tr>
      <w:tr>
        <w:tc>
          <w:tcPr/>
          <w:p>
            <w:pPr>
              <w:pStyle w:val="Compact"/>
            </w:pPr>
            <w:r>
              <w:t xml:space="preserve">A2A</w:t>
            </w:r>
          </w:p>
        </w:tc>
        <w:tc>
          <w:tcPr/>
          <w:p>
            <w:pPr>
              <w:pStyle w:val="Compact"/>
            </w:pPr>
            <w:r>
              <w:t xml:space="preserve">3,353</w:t>
            </w:r>
          </w:p>
        </w:tc>
        <w:tc>
          <w:tcPr/>
          <w:p>
            <w:pPr>
              <w:pStyle w:val="Compact"/>
            </w:pPr>
            <w:r>
              <w:t xml:space="preserve">748</w:t>
            </w:r>
          </w:p>
        </w:tc>
        <w:tc>
          <w:tcPr/>
          <w:p>
            <w:pPr>
              <w:pStyle w:val="Compact"/>
            </w:pPr>
            <w:r>
              <w:t xml:space="preserve">337</w:t>
            </w:r>
          </w:p>
        </w:tc>
        <w:tc>
          <w:tcPr/>
          <w:p>
            <w:pPr>
              <w:pStyle w:val="Compact"/>
            </w:pPr>
            <w:r>
              <w:t xml:space="preserve">0.993</w:t>
            </w:r>
          </w:p>
        </w:tc>
        <w:tc>
          <w:tcPr/>
          <w:p>
            <w:pPr>
              <w:pStyle w:val="Compact"/>
            </w:pPr>
            <w:r>
              <w:t xml:space="preserve">0.813</w:t>
            </w:r>
          </w:p>
        </w:tc>
        <w:tc>
          <w:tcPr/>
          <w:p>
            <w:pPr>
              <w:pStyle w:val="Compact"/>
            </w:pPr>
            <w:r>
              <w:t xml:space="preserve">[0.783, 0.839]</w:t>
            </w:r>
          </w:p>
        </w:tc>
        <w:tc>
          <w:tcPr/>
          <w:p>
            <w:pPr>
              <w:pStyle w:val="Compact"/>
            </w:pPr>
          </w:p>
        </w:tc>
      </w:tr>
      <w:tr>
        <w:tc>
          <w:tcPr/>
          <w:p>
            <w:pPr>
              <w:pStyle w:val="Compact"/>
            </w:pPr>
            <w:r>
              <w:t xml:space="preserve">OPRK1</w:t>
            </w:r>
          </w:p>
        </w:tc>
        <w:tc>
          <w:tcPr/>
          <w:p>
            <w:pPr>
              <w:pStyle w:val="Compact"/>
            </w:pPr>
            <w:r>
              <w:t xml:space="preserve">2,575</w:t>
            </w:r>
          </w:p>
        </w:tc>
        <w:tc>
          <w:tcPr/>
          <w:p>
            <w:pPr>
              <w:pStyle w:val="Compact"/>
            </w:pPr>
            <w:r>
              <w:t xml:space="preserve">484</w:t>
            </w:r>
          </w:p>
        </w:tc>
        <w:tc>
          <w:tcPr/>
          <w:p>
            <w:pPr>
              <w:pStyle w:val="Compact"/>
            </w:pPr>
            <w:r>
              <w:t xml:space="preserve">234</w:t>
            </w:r>
          </w:p>
        </w:tc>
        <w:tc>
          <w:tcPr/>
          <w:p>
            <w:pPr>
              <w:pStyle w:val="Compact"/>
            </w:pPr>
            <w:r>
              <w:t xml:space="preserve">0.985</w:t>
            </w:r>
          </w:p>
        </w:tc>
        <w:tc>
          <w:tcPr/>
          <w:p>
            <w:pPr>
              <w:pStyle w:val="Compact"/>
            </w:pPr>
            <w:r>
              <w:t xml:space="preserve">0.800</w:t>
            </w:r>
          </w:p>
        </w:tc>
        <w:tc>
          <w:tcPr/>
          <w:p>
            <w:pPr>
              <w:pStyle w:val="Compact"/>
            </w:pPr>
            <w:r>
              <w:t xml:space="preserve">[0.762, 0.833]</w:t>
            </w:r>
          </w:p>
        </w:tc>
        <w:tc>
          <w:tcPr/>
          <w:p>
            <w:pPr>
              <w:pStyle w:val="Compact"/>
            </w:pPr>
          </w:p>
        </w:tc>
      </w:tr>
      <w:tr>
        <w:tc>
          <w:tcPr/>
          <w:p>
            <w:pPr>
              <w:pStyle w:val="Compact"/>
            </w:pPr>
            <w:r>
              <w:t xml:space="preserve">CB1</w:t>
            </w:r>
          </w:p>
        </w:tc>
        <w:tc>
          <w:tcPr/>
          <w:p>
            <w:pPr>
              <w:pStyle w:val="Compact"/>
            </w:pPr>
            <w:r>
              <w:t xml:space="preserve">2,161</w:t>
            </w:r>
          </w:p>
        </w:tc>
        <w:tc>
          <w:tcPr/>
          <w:p>
            <w:pPr>
              <w:pStyle w:val="Compact"/>
            </w:pPr>
            <w:r>
              <w:t xml:space="preserve">519</w:t>
            </w:r>
          </w:p>
        </w:tc>
        <w:tc>
          <w:tcPr/>
          <w:p>
            <w:pPr>
              <w:pStyle w:val="Compact"/>
            </w:pPr>
            <w:r>
              <w:t xml:space="preserve">196</w:t>
            </w:r>
          </w:p>
        </w:tc>
        <w:tc>
          <w:tcPr/>
          <w:p>
            <w:pPr>
              <w:pStyle w:val="Compact"/>
            </w:pPr>
            <w:r>
              <w:t xml:space="preserve">0.969</w:t>
            </w:r>
          </w:p>
        </w:tc>
        <w:tc>
          <w:tcPr/>
          <w:p>
            <w:pPr>
              <w:pStyle w:val="Compact"/>
            </w:pPr>
            <w:r>
              <w:t xml:space="preserve">0.775</w:t>
            </w:r>
          </w:p>
        </w:tc>
        <w:tc>
          <w:tcPr/>
          <w:p>
            <w:pPr>
              <w:pStyle w:val="Compact"/>
            </w:pPr>
            <w:r>
              <w:t xml:space="preserve">[0.737, 0.808]</w:t>
            </w:r>
          </w:p>
        </w:tc>
        <w:tc>
          <w:tcPr/>
          <w:p>
            <w:pPr>
              <w:pStyle w:val="Compact"/>
            </w:pPr>
          </w:p>
        </w:tc>
      </w:tr>
      <w:tr>
        <w:tc>
          <w:tcPr/>
          <w:p>
            <w:pPr>
              <w:pStyle w:val="Compact"/>
            </w:pPr>
            <w:r>
              <w:t xml:space="preserve">A1</w:t>
            </w:r>
          </w:p>
        </w:tc>
        <w:tc>
          <w:tcPr/>
          <w:p>
            <w:pPr>
              <w:pStyle w:val="Compact"/>
            </w:pPr>
            <w:r>
              <w:t xml:space="preserve">1,535</w:t>
            </w:r>
          </w:p>
        </w:tc>
        <w:tc>
          <w:tcPr/>
          <w:p>
            <w:pPr>
              <w:pStyle w:val="Compact"/>
            </w:pPr>
            <w:r>
              <w:t xml:space="preserve">408</w:t>
            </w:r>
          </w:p>
        </w:tc>
        <w:tc>
          <w:tcPr/>
          <w:p>
            <w:pPr>
              <w:pStyle w:val="Compact"/>
            </w:pPr>
            <w:r>
              <w:t xml:space="preserve">177</w:t>
            </w:r>
          </w:p>
        </w:tc>
        <w:tc>
          <w:tcPr/>
          <w:p>
            <w:pPr>
              <w:pStyle w:val="Compact"/>
            </w:pPr>
            <w:r>
              <w:t xml:space="preserve">0.980</w:t>
            </w:r>
          </w:p>
        </w:tc>
        <w:tc>
          <w:tcPr/>
          <w:p>
            <w:pPr>
              <w:pStyle w:val="Compact"/>
            </w:pPr>
            <w:r>
              <w:t xml:space="preserve">0.762</w:t>
            </w:r>
          </w:p>
        </w:tc>
        <w:tc>
          <w:tcPr/>
          <w:p>
            <w:pPr>
              <w:pStyle w:val="Compact"/>
            </w:pPr>
            <w:r>
              <w:t xml:space="preserve">[0.719, 0.801]</w:t>
            </w:r>
          </w:p>
        </w:tc>
        <w:tc>
          <w:tcPr/>
          <w:p>
            <w:pPr>
              <w:pStyle w:val="Compact"/>
            </w:pPr>
          </w:p>
        </w:tc>
      </w:tr>
      <w:tr>
        <w:tc>
          <w:tcPr/>
          <w:p>
            <w:pPr>
              <w:pStyle w:val="Compact"/>
            </w:pPr>
            <w:r>
              <w:t xml:space="preserve">HDAC6</w:t>
            </w:r>
          </w:p>
        </w:tc>
        <w:tc>
          <w:tcPr/>
          <w:p>
            <w:pPr>
              <w:pStyle w:val="Compact"/>
            </w:pPr>
            <w:r>
              <w:t xml:space="preserve">2,928</w:t>
            </w:r>
          </w:p>
        </w:tc>
        <w:tc>
          <w:tcPr/>
          <w:p>
            <w:pPr>
              <w:pStyle w:val="Compact"/>
            </w:pPr>
            <w:r>
              <w:t xml:space="preserve">787</w:t>
            </w:r>
          </w:p>
        </w:tc>
        <w:tc>
          <w:tcPr/>
          <w:p>
            <w:pPr>
              <w:pStyle w:val="Compact"/>
            </w:pPr>
            <w:r>
              <w:t xml:space="preserve">335</w:t>
            </w:r>
          </w:p>
        </w:tc>
        <w:tc>
          <w:tcPr/>
          <w:p>
            <w:pPr>
              <w:pStyle w:val="Compact"/>
            </w:pPr>
            <w:r>
              <w:t xml:space="preserve">0.995</w:t>
            </w:r>
          </w:p>
        </w:tc>
        <w:tc>
          <w:tcPr/>
          <w:p>
            <w:pPr>
              <w:pStyle w:val="Compact"/>
            </w:pPr>
            <w:r>
              <w:t xml:space="preserve">0.729</w:t>
            </w:r>
          </w:p>
        </w:tc>
        <w:tc>
          <w:tcPr/>
          <w:p>
            <w:pPr>
              <w:pStyle w:val="Compact"/>
            </w:pPr>
            <w:r>
              <w:t xml:space="preserve">[0.697, 0.759]</w:t>
            </w:r>
          </w:p>
        </w:tc>
        <w:tc>
          <w:tcPr/>
          <w:p>
            <w:pPr>
              <w:pStyle w:val="Compact"/>
            </w:pPr>
          </w:p>
        </w:tc>
      </w:tr>
      <w:tr>
        <w:tc>
          <w:tcPr/>
          <w:p>
            <w:pPr>
              <w:pStyle w:val="Compact"/>
            </w:pPr>
            <w:r>
              <w:t xml:space="preserve">HT7</w:t>
            </w:r>
          </w:p>
        </w:tc>
        <w:tc>
          <w:tcPr/>
          <w:p>
            <w:pPr>
              <w:pStyle w:val="Compact"/>
            </w:pPr>
            <w:r>
              <w:t xml:space="preserve">1,166</w:t>
            </w:r>
          </w:p>
        </w:tc>
        <w:tc>
          <w:tcPr/>
          <w:p>
            <w:pPr>
              <w:pStyle w:val="Compact"/>
            </w:pPr>
            <w:r>
              <w:t xml:space="preserve">312</w:t>
            </w:r>
          </w:p>
        </w:tc>
        <w:tc>
          <w:tcPr/>
          <w:p>
            <w:pPr>
              <w:pStyle w:val="Compact"/>
            </w:pPr>
            <w:r>
              <w:t xml:space="preserve">133</w:t>
            </w:r>
          </w:p>
        </w:tc>
        <w:tc>
          <w:tcPr/>
          <w:p>
            <w:pPr>
              <w:pStyle w:val="Compact"/>
            </w:pPr>
            <w:r>
              <w:t xml:space="preserve">0.954</w:t>
            </w:r>
          </w:p>
        </w:tc>
        <w:tc>
          <w:tcPr/>
          <w:p>
            <w:pPr>
              <w:pStyle w:val="Compact"/>
            </w:pPr>
            <w:r>
              <w:t xml:space="preserve">0.721</w:t>
            </w:r>
          </w:p>
        </w:tc>
        <w:tc>
          <w:tcPr/>
          <w:p>
            <w:pPr>
              <w:pStyle w:val="Compact"/>
            </w:pPr>
            <w:r>
              <w:t xml:space="preserve">[0.669, 0.768]</w:t>
            </w:r>
          </w:p>
        </w:tc>
        <w:tc>
          <w:tcPr/>
          <w:p>
            <w:pPr>
              <w:pStyle w:val="Compact"/>
            </w:pPr>
          </w:p>
        </w:tc>
      </w:tr>
      <w:tr>
        <w:tc>
          <w:tcPr/>
          <w:p>
            <w:pPr>
              <w:pStyle w:val="Compact"/>
            </w:pPr>
            <w:r>
              <w:t xml:space="preserve">Sigma1</w:t>
            </w:r>
          </w:p>
        </w:tc>
        <w:tc>
          <w:tcPr/>
          <w:p>
            <w:pPr>
              <w:pStyle w:val="Compact"/>
            </w:pPr>
            <w:r>
              <w:t xml:space="preserve">1,571</w:t>
            </w:r>
          </w:p>
        </w:tc>
        <w:tc>
          <w:tcPr/>
          <w:p>
            <w:pPr>
              <w:pStyle w:val="Compact"/>
            </w:pPr>
            <w:r>
              <w:t xml:space="preserve">357</w:t>
            </w:r>
          </w:p>
        </w:tc>
        <w:tc>
          <w:tcPr/>
          <w:p>
            <w:pPr>
              <w:pStyle w:val="Compact"/>
            </w:pPr>
            <w:r>
              <w:t xml:space="preserve">186</w:t>
            </w:r>
          </w:p>
        </w:tc>
        <w:tc>
          <w:tcPr/>
          <w:p>
            <w:pPr>
              <w:pStyle w:val="Compact"/>
            </w:pPr>
            <w:r>
              <w:t xml:space="preserve">0.961</w:t>
            </w:r>
          </w:p>
        </w:tc>
        <w:tc>
          <w:tcPr/>
          <w:p>
            <w:pPr>
              <w:pStyle w:val="Compact"/>
            </w:pPr>
            <w:r>
              <w:t xml:space="preserve">0.675</w:t>
            </w:r>
          </w:p>
        </w:tc>
        <w:tc>
          <w:tcPr/>
          <w:p>
            <w:pPr>
              <w:pStyle w:val="Compact"/>
            </w:pPr>
            <w:r>
              <w:t xml:space="preserve">[0.625, 0.722]</w:t>
            </w:r>
          </w:p>
        </w:tc>
        <w:tc>
          <w:tcPr/>
          <w:p>
            <w:pPr>
              <w:pStyle w:val="Compact"/>
            </w:pPr>
          </w:p>
        </w:tc>
      </w:tr>
      <w:tr>
        <w:tc>
          <w:tcPr/>
          <w:p>
            <w:pPr>
              <w:pStyle w:val="Compact"/>
            </w:pPr>
            <w:r>
              <w:t xml:space="preserve">MT1</w:t>
            </w:r>
          </w:p>
        </w:tc>
        <w:tc>
          <w:tcPr/>
          <w:p>
            <w:pPr>
              <w:pStyle w:val="Compact"/>
            </w:pPr>
            <w:r>
              <w:t xml:space="preserve">571</w:t>
            </w:r>
          </w:p>
        </w:tc>
        <w:tc>
          <w:tcPr/>
          <w:p>
            <w:pPr>
              <w:pStyle w:val="Compact"/>
            </w:pPr>
            <w:r>
              <w:t xml:space="preserve">126</w:t>
            </w:r>
          </w:p>
        </w:tc>
        <w:tc>
          <w:tcPr/>
          <w:p>
            <w:pPr>
              <w:pStyle w:val="Compact"/>
            </w:pPr>
            <w:r>
              <w:t xml:space="preserve">48</w:t>
            </w:r>
          </w:p>
        </w:tc>
        <w:tc>
          <w:tcPr/>
          <w:p>
            <w:pPr>
              <w:pStyle w:val="Compact"/>
            </w:pPr>
            <w:r>
              <w:t xml:space="preserve">0.971</w:t>
            </w:r>
          </w:p>
        </w:tc>
        <w:tc>
          <w:tcPr/>
          <w:p>
            <w:pPr>
              <w:pStyle w:val="Compact"/>
            </w:pPr>
            <w:r>
              <w:t xml:space="preserve">0.667</w:t>
            </w:r>
          </w:p>
        </w:tc>
        <w:tc>
          <w:tcPr/>
          <w:p>
            <w:pPr>
              <w:pStyle w:val="Compact"/>
            </w:pPr>
            <w:r>
              <w:t xml:space="preserve">[0.581, 0.743]</w:t>
            </w:r>
          </w:p>
        </w:tc>
        <w:tc>
          <w:tcPr/>
          <w:p>
            <w:pPr>
              <w:pStyle w:val="Compact"/>
            </w:pPr>
          </w:p>
        </w:tc>
      </w:tr>
      <w:tr>
        <w:tc>
          <w:tcPr/>
          <w:p>
            <w:pPr>
              <w:pStyle w:val="Compact"/>
            </w:pPr>
            <w:r>
              <w:t xml:space="preserve">SIRT1</w:t>
            </w:r>
          </w:p>
        </w:tc>
        <w:tc>
          <w:tcPr/>
          <w:p>
            <w:pPr>
              <w:pStyle w:val="Compact"/>
            </w:pPr>
            <w:r>
              <w:t xml:space="preserve">141</w:t>
            </w:r>
          </w:p>
        </w:tc>
        <w:tc>
          <w:tcPr/>
          <w:p>
            <w:pPr>
              <w:pStyle w:val="Compact"/>
            </w:pPr>
            <w:r>
              <w:t xml:space="preserve">21</w:t>
            </w:r>
          </w:p>
        </w:tc>
        <w:tc>
          <w:tcPr/>
          <w:p>
            <w:pPr>
              <w:pStyle w:val="Compact"/>
            </w:pPr>
            <w:r>
              <w:t xml:space="preserve">17</w:t>
            </w:r>
          </w:p>
        </w:tc>
        <w:tc>
          <w:tcPr/>
          <w:p>
            <w:pPr>
              <w:pStyle w:val="Compact"/>
            </w:pPr>
            <w:r>
              <w:t xml:space="preserve">0.766</w:t>
            </w:r>
          </w:p>
        </w:tc>
        <w:tc>
          <w:tcPr/>
          <w:p>
            <w:pPr>
              <w:pStyle w:val="Compact"/>
            </w:pPr>
            <w:r>
              <w:t xml:space="preserve">0.667</w:t>
            </w:r>
          </w:p>
        </w:tc>
        <w:tc>
          <w:tcPr/>
          <w:p>
            <w:pPr>
              <w:pStyle w:val="Compact"/>
            </w:pPr>
            <w:r>
              <w:t xml:space="preserve">[0.454, 0.828]</w:t>
            </w:r>
          </w:p>
        </w:tc>
        <w:tc>
          <w:tcPr/>
          <w:p>
            <w:pPr>
              <w:pStyle w:val="Compact"/>
            </w:pPr>
          </w:p>
        </w:tc>
      </w:tr>
      <w:tr>
        <w:tc>
          <w:tcPr/>
          <w:p>
            <w:pPr>
              <w:pStyle w:val="Compact"/>
            </w:pPr>
            <w:r>
              <w:t xml:space="preserve">HT2A</w:t>
            </w:r>
          </w:p>
        </w:tc>
        <w:tc>
          <w:tcPr/>
          <w:p>
            <w:pPr>
              <w:pStyle w:val="Compact"/>
            </w:pPr>
            <w:r>
              <w:t xml:space="preserve">3,102</w:t>
            </w:r>
          </w:p>
        </w:tc>
        <w:tc>
          <w:tcPr/>
          <w:p>
            <w:pPr>
              <w:pStyle w:val="Compact"/>
            </w:pPr>
            <w:r>
              <w:t xml:space="preserve">715</w:t>
            </w:r>
          </w:p>
        </w:tc>
        <w:tc>
          <w:tcPr/>
          <w:p>
            <w:pPr>
              <w:pStyle w:val="Compact"/>
            </w:pPr>
            <w:r>
              <w:t xml:space="preserve">306</w:t>
            </w:r>
          </w:p>
        </w:tc>
        <w:tc>
          <w:tcPr/>
          <w:p>
            <w:pPr>
              <w:pStyle w:val="Compact"/>
            </w:pPr>
            <w:r>
              <w:t xml:space="preserve">0.996</w:t>
            </w:r>
          </w:p>
        </w:tc>
        <w:tc>
          <w:tcPr/>
          <w:p>
            <w:pPr>
              <w:pStyle w:val="Compact"/>
            </w:pPr>
            <w:r>
              <w:t xml:space="preserve">0.639</w:t>
            </w:r>
          </w:p>
        </w:tc>
        <w:tc>
          <w:tcPr/>
          <w:p>
            <w:pPr>
              <w:pStyle w:val="Compact"/>
            </w:pPr>
            <w:r>
              <w:t xml:space="preserve">[0.603, 0.674]</w:t>
            </w:r>
          </w:p>
        </w:tc>
        <w:tc>
          <w:tcPr/>
          <w:p>
            <w:pPr>
              <w:pStyle w:val="Compact"/>
            </w:pPr>
          </w:p>
        </w:tc>
      </w:tr>
      <w:tr>
        <w:tc>
          <w:tcPr/>
          <w:p>
            <w:pPr>
              <w:pStyle w:val="Compact"/>
            </w:pPr>
            <w:r>
              <w:t xml:space="preserve">GluN2B</w:t>
            </w:r>
          </w:p>
        </w:tc>
        <w:tc>
          <w:tcPr/>
          <w:p>
            <w:pPr>
              <w:pStyle w:val="Compact"/>
            </w:pPr>
            <w:r>
              <w:t xml:space="preserve">742</w:t>
            </w:r>
          </w:p>
        </w:tc>
        <w:tc>
          <w:tcPr/>
          <w:p>
            <w:pPr>
              <w:pStyle w:val="Compact"/>
            </w:pPr>
            <w:r>
              <w:t xml:space="preserve">162</w:t>
            </w:r>
          </w:p>
        </w:tc>
        <w:tc>
          <w:tcPr/>
          <w:p>
            <w:pPr>
              <w:pStyle w:val="Compact"/>
            </w:pPr>
            <w:r>
              <w:t xml:space="preserve">35</w:t>
            </w:r>
          </w:p>
        </w:tc>
        <w:tc>
          <w:tcPr/>
          <w:p>
            <w:pPr>
              <w:pStyle w:val="Compact"/>
            </w:pPr>
            <w:r>
              <w:t xml:space="preserve">0.986</w:t>
            </w:r>
          </w:p>
        </w:tc>
        <w:tc>
          <w:tcPr/>
          <w:p>
            <w:pPr>
              <w:pStyle w:val="Compact"/>
            </w:pPr>
            <w:r>
              <w:t xml:space="preserve">0.617</w:t>
            </w:r>
          </w:p>
        </w:tc>
        <w:tc>
          <w:tcPr/>
          <w:p>
            <w:pPr>
              <w:pStyle w:val="Compact"/>
            </w:pPr>
            <w:r>
              <w:t xml:space="preserve">[0.541, 0.689]</w:t>
            </w:r>
          </w:p>
        </w:tc>
        <w:tc>
          <w:tcPr/>
          <w:p>
            <w:pPr>
              <w:pStyle w:val="Compact"/>
            </w:pPr>
          </w:p>
        </w:tc>
      </w:tr>
      <w:tr>
        <w:tc>
          <w:tcPr/>
          <w:p>
            <w:pPr>
              <w:pStyle w:val="Compact"/>
            </w:pPr>
            <w:r>
              <w:t xml:space="preserve">D2</w:t>
            </w:r>
          </w:p>
        </w:tc>
        <w:tc>
          <w:tcPr/>
          <w:p>
            <w:pPr>
              <w:pStyle w:val="Compact"/>
            </w:pPr>
            <w:r>
              <w:t xml:space="preserve">2,989</w:t>
            </w:r>
          </w:p>
        </w:tc>
        <w:tc>
          <w:tcPr/>
          <w:p>
            <w:pPr>
              <w:pStyle w:val="Compact"/>
            </w:pPr>
            <w:r>
              <w:t xml:space="preserve">668</w:t>
            </w:r>
          </w:p>
        </w:tc>
        <w:tc>
          <w:tcPr/>
          <w:p>
            <w:pPr>
              <w:pStyle w:val="Compact"/>
            </w:pPr>
            <w:r>
              <w:t xml:space="preserve">340</w:t>
            </w:r>
          </w:p>
        </w:tc>
        <w:tc>
          <w:tcPr/>
          <w:p>
            <w:pPr>
              <w:pStyle w:val="Compact"/>
            </w:pPr>
            <w:r>
              <w:t xml:space="preserve">0.992</w:t>
            </w:r>
          </w:p>
        </w:tc>
        <w:tc>
          <w:tcPr/>
          <w:p>
            <w:pPr>
              <w:pStyle w:val="Compact"/>
            </w:pPr>
            <w:r>
              <w:t xml:space="preserve">0.554</w:t>
            </w:r>
          </w:p>
        </w:tc>
        <w:tc>
          <w:tcPr/>
          <w:p>
            <w:pPr>
              <w:pStyle w:val="Compact"/>
            </w:pPr>
            <w:r>
              <w:t xml:space="preserve">[0.516, 0.591]</w:t>
            </w:r>
          </w:p>
        </w:tc>
        <w:tc>
          <w:tcPr/>
          <w:p>
            <w:pPr>
              <w:pStyle w:val="Compact"/>
            </w:pPr>
          </w:p>
        </w:tc>
      </w:tr>
      <w:tr>
        <w:tc>
          <w:tcPr/>
          <w:p>
            <w:pPr>
              <w:pStyle w:val="Compact"/>
            </w:pPr>
            <w:r>
              <w:t xml:space="preserve">TAAR1</w:t>
            </w:r>
          </w:p>
        </w:tc>
        <w:tc>
          <w:tcPr/>
          <w:p>
            <w:pPr>
              <w:pStyle w:val="Compact"/>
            </w:pPr>
            <w:r>
              <w:t xml:space="preserve">78</w:t>
            </w:r>
          </w:p>
        </w:tc>
        <w:tc>
          <w:tcPr/>
          <w:p>
            <w:pPr>
              <w:pStyle w:val="Compact"/>
            </w:pPr>
            <w:r>
              <w:t xml:space="preserve">15</w:t>
            </w:r>
          </w:p>
        </w:tc>
        <w:tc>
          <w:tcPr/>
          <w:p>
            <w:pPr>
              <w:pStyle w:val="Compact"/>
            </w:pPr>
            <w:r>
              <w:t xml:space="preserve">9</w:t>
            </w:r>
          </w:p>
        </w:tc>
        <w:tc>
          <w:tcPr/>
          <w:p>
            <w:pPr>
              <w:pStyle w:val="Compact"/>
            </w:pPr>
            <w:r>
              <w:t xml:space="preserve">0.397</w:t>
            </w:r>
          </w:p>
        </w:tc>
        <w:tc>
          <w:tcPr/>
          <w:p>
            <w:pPr>
              <w:pStyle w:val="Compact"/>
            </w:pPr>
            <w:r>
              <w:t xml:space="preserve">0.533</w:t>
            </w:r>
          </w:p>
        </w:tc>
        <w:tc>
          <w:tcPr/>
          <w:p>
            <w:pPr>
              <w:pStyle w:val="Compact"/>
            </w:pPr>
            <w:r>
              <w:t xml:space="preserve">[0.301, 0.752]</w:t>
            </w:r>
          </w:p>
        </w:tc>
        <w:tc>
          <w:tcPr/>
          <w:p>
            <w:pPr>
              <w:pStyle w:val="Compact"/>
            </w:pPr>
          </w:p>
        </w:tc>
      </w:tr>
      <w:tr>
        <w:tc>
          <w:tcPr/>
          <w:p>
            <w:pPr>
              <w:pStyle w:val="Compact"/>
            </w:pPr>
            <w:r>
              <w:t xml:space="preserve">P2X7</w:t>
            </w:r>
          </w:p>
        </w:tc>
        <w:tc>
          <w:tcPr/>
          <w:p>
            <w:pPr>
              <w:pStyle w:val="Compact"/>
            </w:pPr>
            <w:r>
              <w:t xml:space="preserve">2,450</w:t>
            </w:r>
          </w:p>
        </w:tc>
        <w:tc>
          <w:tcPr/>
          <w:p>
            <w:pPr>
              <w:pStyle w:val="Compact"/>
            </w:pPr>
            <w:r>
              <w:t xml:space="preserve">488</w:t>
            </w:r>
          </w:p>
        </w:tc>
        <w:tc>
          <w:tcPr/>
          <w:p>
            <w:pPr>
              <w:pStyle w:val="Compact"/>
            </w:pPr>
            <w:r>
              <w:t xml:space="preserve">139</w:t>
            </w:r>
          </w:p>
        </w:tc>
        <w:tc>
          <w:tcPr/>
          <w:p>
            <w:pPr>
              <w:pStyle w:val="Compact"/>
            </w:pPr>
            <w:r>
              <w:t xml:space="preserve">0.999</w:t>
            </w:r>
          </w:p>
        </w:tc>
        <w:tc>
          <w:tcPr/>
          <w:p>
            <w:pPr>
              <w:pStyle w:val="Compact"/>
            </w:pPr>
            <w:r>
              <w:t xml:space="preserve">0.531</w:t>
            </w:r>
          </w:p>
        </w:tc>
        <w:tc>
          <w:tcPr/>
          <w:p>
            <w:pPr>
              <w:pStyle w:val="Compact"/>
            </w:pPr>
            <w:r>
              <w:t xml:space="preserve">[0.486, 0.575]</w:t>
            </w:r>
          </w:p>
        </w:tc>
        <w:tc>
          <w:tcPr/>
          <w:p>
            <w:pPr>
              <w:pStyle w:val="Compact"/>
            </w:pPr>
          </w:p>
        </w:tc>
      </w:tr>
      <w:tr>
        <w:tc>
          <w:tcPr/>
          <w:p>
            <w:pPr>
              <w:pStyle w:val="Compact"/>
            </w:pPr>
            <w:r>
              <w:t xml:space="preserve">GBA1</w:t>
            </w:r>
          </w:p>
        </w:tc>
        <w:tc>
          <w:tcPr/>
          <w:p>
            <w:pPr>
              <w:pStyle w:val="Compact"/>
            </w:pPr>
            <w:r>
              <w:t xml:space="preserve">101</w:t>
            </w:r>
          </w:p>
        </w:tc>
        <w:tc>
          <w:tcPr/>
          <w:p>
            <w:pPr>
              <w:pStyle w:val="Compact"/>
            </w:pPr>
            <w:r>
              <w:t xml:space="preserve">19</w:t>
            </w:r>
          </w:p>
        </w:tc>
        <w:tc>
          <w:tcPr/>
          <w:p>
            <w:pPr>
              <w:pStyle w:val="Compact"/>
            </w:pPr>
            <w:r>
              <w:t xml:space="preserve">10</w:t>
            </w:r>
          </w:p>
        </w:tc>
        <w:tc>
          <w:tcPr/>
          <w:p>
            <w:pPr>
              <w:pStyle w:val="Compact"/>
            </w:pPr>
            <w:r>
              <w:t xml:space="preserve">0.453</w:t>
            </w:r>
          </w:p>
        </w:tc>
        <w:tc>
          <w:tcPr/>
          <w:p>
            <w:pPr>
              <w:pStyle w:val="Compact"/>
            </w:pPr>
            <w:r>
              <w:t xml:space="preserve">0.526</w:t>
            </w:r>
          </w:p>
        </w:tc>
        <w:tc>
          <w:tcPr/>
          <w:p>
            <w:pPr>
              <w:pStyle w:val="Compact"/>
            </w:pPr>
            <w:r>
              <w:t xml:space="preserve">[0.317, 0.727]</w:t>
            </w:r>
          </w:p>
        </w:tc>
        <w:tc>
          <w:tcPr/>
          <w:p>
            <w:pPr>
              <w:pStyle w:val="Compact"/>
            </w:pPr>
          </w:p>
        </w:tc>
      </w:tr>
      <w:tr>
        <w:tc>
          <w:tcPr/>
          <w:p>
            <w:pPr>
              <w:pStyle w:val="Compact"/>
            </w:pPr>
            <w:r>
              <w:t xml:space="preserve">COX2</w:t>
            </w:r>
          </w:p>
        </w:tc>
        <w:tc>
          <w:tcPr/>
          <w:p>
            <w:pPr>
              <w:pStyle w:val="Compact"/>
            </w:pPr>
            <w:r>
              <w:t xml:space="preserve">945</w:t>
            </w:r>
          </w:p>
        </w:tc>
        <w:tc>
          <w:tcPr/>
          <w:p>
            <w:pPr>
              <w:pStyle w:val="Compact"/>
            </w:pPr>
            <w:r>
              <w:t xml:space="preserve">237</w:t>
            </w:r>
          </w:p>
        </w:tc>
        <w:tc>
          <w:tcPr/>
          <w:p>
            <w:pPr>
              <w:pStyle w:val="Compact"/>
            </w:pPr>
            <w:r>
              <w:t xml:space="preserve">67</w:t>
            </w:r>
          </w:p>
        </w:tc>
        <w:tc>
          <w:tcPr/>
          <w:p>
            <w:pPr>
              <w:pStyle w:val="Compact"/>
            </w:pPr>
            <w:r>
              <w:t xml:space="preserve">0.951</w:t>
            </w:r>
          </w:p>
        </w:tc>
        <w:tc>
          <w:tcPr/>
          <w:p>
            <w:pPr>
              <w:pStyle w:val="Compact"/>
            </w:pPr>
            <w:r>
              <w:t xml:space="preserve">0.371</w:t>
            </w:r>
          </w:p>
        </w:tc>
        <w:tc>
          <w:tcPr/>
          <w:p>
            <w:pPr>
              <w:pStyle w:val="Compact"/>
            </w:pPr>
            <w:r>
              <w:t xml:space="preserve">[0.312, 0.434]</w:t>
            </w:r>
          </w:p>
        </w:tc>
        <w:tc>
          <w:tcPr/>
          <w:p>
            <w:pPr>
              <w:pStyle w:val="Compact"/>
            </w:pPr>
          </w:p>
        </w:tc>
      </w:tr>
      <w:tr>
        <w:tc>
          <w:tcPr/>
          <w:p>
            <w:pPr>
              <w:pStyle w:val="Compact"/>
            </w:pPr>
            <w:r>
              <w:t xml:space="preserve">mGluR5</w:t>
            </w:r>
          </w:p>
        </w:tc>
        <w:tc>
          <w:tcPr/>
          <w:p>
            <w:pPr>
              <w:pStyle w:val="Compact"/>
            </w:pPr>
            <w:r>
              <w:t xml:space="preserve">986</w:t>
            </w:r>
          </w:p>
        </w:tc>
        <w:tc>
          <w:tcPr/>
          <w:p>
            <w:pPr>
              <w:pStyle w:val="Compact"/>
            </w:pPr>
            <w:r>
              <w:t xml:space="preserve">214</w:t>
            </w:r>
          </w:p>
        </w:tc>
        <w:tc>
          <w:tcPr/>
          <w:p>
            <w:pPr>
              <w:pStyle w:val="Compact"/>
            </w:pPr>
            <w:r>
              <w:t xml:space="preserve">106</w:t>
            </w:r>
          </w:p>
        </w:tc>
        <w:tc>
          <w:tcPr/>
          <w:p>
            <w:pPr>
              <w:pStyle w:val="Compact"/>
            </w:pPr>
            <w:r>
              <w:t xml:space="preserve">0.999</w:t>
            </w:r>
          </w:p>
        </w:tc>
        <w:tc>
          <w:tcPr/>
          <w:p>
            <w:pPr>
              <w:pStyle w:val="Compact"/>
            </w:pPr>
            <w:r>
              <w:t xml:space="preserve">0.308</w:t>
            </w:r>
          </w:p>
        </w:tc>
        <w:tc>
          <w:tcPr/>
          <w:p>
            <w:pPr>
              <w:pStyle w:val="Compact"/>
            </w:pPr>
            <w:r>
              <w:t xml:space="preserve">[0.250, 0.373]</w:t>
            </w:r>
          </w:p>
        </w:tc>
        <w:tc>
          <w:tcPr/>
          <w:p>
            <w:pPr>
              <w:pStyle w:val="Compact"/>
            </w:pPr>
          </w:p>
        </w:tc>
      </w:tr>
      <w:tr>
        <w:tc>
          <w:tcPr/>
          <w:p>
            <w:pPr>
              <w:pStyle w:val="Compact"/>
            </w:pPr>
            <w:r>
              <w:t xml:space="preserve">GluA2</w:t>
            </w:r>
          </w:p>
        </w:tc>
        <w:tc>
          <w:tcPr/>
          <w:p>
            <w:pPr>
              <w:pStyle w:val="Compact"/>
            </w:pPr>
            <w:r>
              <w:t xml:space="preserve">78</w:t>
            </w:r>
          </w:p>
        </w:tc>
        <w:tc>
          <w:tcPr/>
          <w:p>
            <w:pPr>
              <w:pStyle w:val="Compact"/>
            </w:pPr>
            <w:r>
              <w:t xml:space="preserve">19</w:t>
            </w:r>
          </w:p>
        </w:tc>
        <w:tc>
          <w:tcPr/>
          <w:p>
            <w:pPr>
              <w:pStyle w:val="Compact"/>
            </w:pPr>
            <w:r>
              <w:t xml:space="preserve">9</w:t>
            </w:r>
          </w:p>
        </w:tc>
        <w:tc>
          <w:tcPr/>
          <w:p>
            <w:pPr>
              <w:pStyle w:val="Compact"/>
            </w:pPr>
            <w:r>
              <w:t xml:space="preserve">0.695</w:t>
            </w:r>
          </w:p>
        </w:tc>
        <w:tc>
          <w:tcPr/>
          <w:p>
            <w:pPr>
              <w:pStyle w:val="Compact"/>
            </w:pPr>
            <w:r>
              <w:t xml:space="preserve">0.105</w:t>
            </w:r>
          </w:p>
        </w:tc>
        <w:tc>
          <w:tcPr/>
          <w:p>
            <w:pPr>
              <w:pStyle w:val="Compact"/>
            </w:pPr>
            <w:r>
              <w:t xml:space="preserve">[0.029, 0.314]</w:t>
            </w:r>
          </w:p>
        </w:tc>
        <w:tc>
          <w:tcPr/>
          <w:p>
            <w:pPr>
              <w:pStyle w:val="Compact"/>
            </w:pPr>
          </w:p>
        </w:tc>
      </w:tr>
    </w:tbl>
    <w:p>
      <w:pPr>
        <w:pStyle w:val="BodyText"/>
      </w:pPr>
      <w:r>
        <w:t xml:space="preserve">Pooled recall 11,794/15,011 = 0.786; median per-target 0.817; 22 of 38 targets at or above 0.80.</w:t>
      </w:r>
    </w:p>
    <w:bookmarkEnd w:id="30"/>
    <w:bookmarkStart w:id="31" w:name="Xbb850a7cd237e8b3fcb8f302c6b0df7c099cc3a"/>
    <w:p>
      <w:pPr>
        <w:pStyle w:val="Heading2"/>
      </w:pPr>
      <w:r>
        <w:t xml:space="preserve">Table 7. Falsification analysis: each claim paired with a null model</w:t>
      </w:r>
    </w:p>
    <w:p>
      <w:pPr>
        <w:pStyle w:val="FirstParagraph"/>
      </w:pPr>
      <w:r>
        <w:t xml:space="preserve">Every hypothesis was stated so that it could fail. Where predictive power was at issue, scoring used scaffold hold-out models that never saw the compounds they scored. A refuted hypothesis is reported as prominently as a confirmed one; the purpose of the exercise was to find failures.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Verdict</w:t>
            </w:r>
          </w:p>
        </w:tc>
        <w:tc>
          <w:tcPr/>
          <w:p>
            <w:pPr>
              <w:pStyle w:val="Compact"/>
            </w:pPr>
            <w:r>
              <w:t xml:space="preserve">Evidence</w:t>
            </w:r>
          </w:p>
        </w:tc>
      </w:tr>
      <w:tr>
        <w:tc>
          <w:tcPr/>
          <w:p>
            <w:pPr>
              <w:pStyle w:val="Compact"/>
            </w:pPr>
            <w:r>
              <w:t xml:space="preserve">H1 the disease score is informative</w:t>
            </w:r>
          </w:p>
        </w:tc>
        <w:tc>
          <w:tcPr/>
          <w:p>
            <w:pPr>
              <w:pStyle w:val="Compact"/>
            </w:pPr>
            <w:r>
              <w:rPr>
                <w:b/>
                <w:bCs/>
              </w:rPr>
              <w:t xml:space="preserve">SUPPORTED</w:t>
            </w:r>
          </w:p>
        </w:tc>
        <w:tc>
          <w:tcPr/>
          <w:p>
            <w:pPr>
              <w:pStyle w:val="Compact"/>
            </w:pPr>
            <w:r>
              <w:t xml:space="preserve">top-3 accuracy 0.769 vs permutation null 0.152 (p=0.005) and frequency null 0.560</w:t>
            </w:r>
          </w:p>
        </w:tc>
      </w:tr>
      <w:tr>
        <w:tc>
          <w:tcPr/>
          <w:p>
            <w:pPr>
              <w:pStyle w:val="Compact"/>
            </w:pPr>
            <w:r>
              <w:t xml:space="preserve">H2 the curated edge weights add value</w:t>
            </w:r>
          </w:p>
        </w:tc>
        <w:tc>
          <w:tcPr/>
          <w:p>
            <w:pPr>
              <w:pStyle w:val="Compact"/>
            </w:pPr>
            <w:r>
              <w:rPr>
                <w:b/>
                <w:bCs/>
              </w:rPr>
              <w:t xml:space="preserve">REFUTED</w:t>
            </w:r>
          </w:p>
        </w:tc>
        <w:tc>
          <w:tcPr/>
          <w:p>
            <w:pPr>
              <w:pStyle w:val="Compact"/>
            </w:pPr>
            <w:r>
              <w:t xml:space="preserve">curated 0.7691, uniform 0.7678, permuted 0.7670</w:t>
            </w:r>
          </w:p>
        </w:tc>
      </w:tr>
      <w:tr>
        <w:tc>
          <w:tcPr/>
          <w:p>
            <w:pPr>
              <w:pStyle w:val="Compact"/>
            </w:pPr>
            <w:r>
              <w:t xml:space="preserve">H3 BBB gating discriminates between diseases</w:t>
            </w:r>
          </w:p>
        </w:tc>
        <w:tc>
          <w:tcPr/>
          <w:p>
            <w:pPr>
              <w:pStyle w:val="Compact"/>
            </w:pPr>
            <w:r>
              <w:rPr>
                <w:b/>
                <w:bCs/>
              </w:rPr>
              <w:t xml:space="preserve">REFUTED (by construction)</w:t>
            </w:r>
          </w:p>
        </w:tc>
        <w:tc>
          <w:tcPr/>
          <w:p>
            <w:pPr>
              <w:pStyle w:val="Compact"/>
            </w:pPr>
            <w:r>
              <w:t xml:space="preserve">the gate multiplies every disease equally and cannot change their order</w:t>
            </w:r>
          </w:p>
        </w:tc>
      </w:tr>
      <w:tr>
        <w:tc>
          <w:tcPr/>
          <w:p>
            <w:pPr>
              <w:pStyle w:val="Compact"/>
            </w:pPr>
            <w:r>
              <w:t xml:space="preserve">H4 specificity transfers to novel chemistry</w:t>
            </w:r>
          </w:p>
        </w:tc>
        <w:tc>
          <w:tcPr/>
          <w:p>
            <w:pPr>
              <w:pStyle w:val="Compact"/>
            </w:pPr>
            <w:r>
              <w:rPr>
                <w:b/>
                <w:bCs/>
              </w:rPr>
              <w:t xml:space="preserve">SUPPORTED</w:t>
            </w:r>
          </w:p>
        </w:tc>
        <w:tc>
          <w:tcPr/>
          <w:p>
            <w:pPr>
              <w:pStyle w:val="Compact"/>
            </w:pPr>
            <w:r>
              <w:t xml:space="preserve">false-positive rate 0.033 on 61 distant compounds against 0.080 measured on library chemistry</w:t>
            </w:r>
          </w:p>
        </w:tc>
      </w:tr>
      <w:tr>
        <w:tc>
          <w:tcPr/>
          <w:p>
            <w:pPr>
              <w:pStyle w:val="Compact"/>
            </w:pPr>
            <w:r>
              <w:t xml:space="preserve">H5 read-across beats a frequency baseline</w:t>
            </w:r>
          </w:p>
        </w:tc>
        <w:tc>
          <w:tcPr/>
          <w:p>
            <w:pPr>
              <w:pStyle w:val="Compact"/>
            </w:pPr>
            <w:r>
              <w:rPr>
                <w:b/>
                <w:bCs/>
              </w:rPr>
              <w:t xml:space="preserve">SUPPORTED</w:t>
            </w:r>
          </w:p>
        </w:tc>
        <w:tc>
          <w:tcPr/>
          <w:p>
            <w:pPr>
              <w:pStyle w:val="Compact"/>
            </w:pPr>
            <w:r>
              <w:t xml:space="preserve">recall 0.973 against 0.060</w:t>
            </w:r>
          </w:p>
        </w:tc>
      </w:tr>
      <w:tr>
        <w:tc>
          <w:tcPr/>
          <w:p>
            <w:pPr>
              <w:pStyle w:val="Compact"/>
            </w:pPr>
            <w:r>
              <w:t xml:space="preserve">H6 the disease scores match real clinical indications</w:t>
            </w:r>
          </w:p>
        </w:tc>
        <w:tc>
          <w:tcPr/>
          <w:p>
            <w:pPr>
              <w:pStyle w:val="Compact"/>
            </w:pPr>
            <w:r>
              <w:rPr>
                <w:b/>
                <w:bCs/>
              </w:rPr>
              <w:t xml:space="preserve">WEAKENED</w:t>
            </w:r>
          </w:p>
        </w:tc>
        <w:tc>
          <w:tcPr/>
          <w:p>
            <w:pPr>
              <w:pStyle w:val="Compact"/>
            </w:pPr>
            <w:r>
              <w:t xml:space="preserve">top-3 accuracy 0.352 on 162 drugs never seen in training, against permutation null 0.145 (p=0.001) and frequency null 0.654</w:t>
            </w:r>
          </w:p>
        </w:tc>
      </w:tr>
      <w:tr>
        <w:tc>
          <w:tcPr/>
          <w:p>
            <w:pPr>
              <w:pStyle w:val="Compact"/>
            </w:pPr>
            <w:r>
              <w:t xml:space="preserve">H7 some panel targets are non-discriminative and explain the silent antiepileptics</w:t>
            </w:r>
          </w:p>
        </w:tc>
        <w:tc>
          <w:tcPr/>
          <w:p>
            <w:pPr>
              <w:pStyle w:val="Compact"/>
            </w:pPr>
            <w:r>
              <w:rPr>
                <w:b/>
                <w:bCs/>
              </w:rPr>
              <w:t xml:space="preserve">REFUTED</w:t>
            </w:r>
          </w:p>
        </w:tc>
        <w:tc>
          <w:tcPr/>
          <w:p>
            <w:pPr>
              <w:pStyle w:val="Compact"/>
            </w:pPr>
            <w:r>
              <w:t xml:space="preserve">none of 35 targets ranks below AUROC 0.70; the cause is the operating point, with median deployed sensitivity 0.83 and 3 targets under 0.50</w:t>
            </w:r>
          </w:p>
        </w:tc>
      </w:tr>
      <w:tr>
        <w:tc>
          <w:tcPr/>
          <w:p>
            <w:pPr>
              <w:pStyle w:val="Compact"/>
            </w:pPr>
            <w:r>
              <w:t xml:space="preserve">H8 engaged targets are independent observations</w:t>
            </w:r>
          </w:p>
        </w:tc>
        <w:tc>
          <w:tcPr/>
          <w:p>
            <w:pPr>
              <w:pStyle w:val="Compact"/>
            </w:pPr>
            <w:r>
              <w:rPr>
                <w:b/>
                <w:bCs/>
              </w:rPr>
              <w:t xml:space="preserve">REFUTED</w:t>
            </w:r>
          </w:p>
        </w:tc>
        <w:tc>
          <w:tcPr/>
          <w:p>
            <w:pPr>
              <w:pStyle w:val="Compact"/>
            </w:pPr>
            <w:r>
              <w:t xml:space="preserve">38 targets fire across approved drugs but span only 15 independent directions; 5 homologous pairs correlate above 0.5</w:t>
            </w:r>
          </w:p>
        </w:tc>
      </w:tr>
    </w:tbl>
    <w:bookmarkEnd w:id="31"/>
    <w:bookmarkStart w:id="32" w:name="Xb37c82045d53d631fe9ed7d1b97b89e47020e2f"/>
    <w:p>
      <w:pPr>
        <w:pStyle w:val="Heading2"/>
      </w:pPr>
      <w:r>
        <w:t xml:space="preserve">Table 8. Recovery of approved clinical indications, by condition</w:t>
      </w:r>
    </w:p>
    <w:p>
      <w:pPr>
        <w:pStyle w:val="FirstParagraph"/>
      </w:pPr>
      <w:r>
        <w:t xml:space="preserve">Ground truth is ChEMBL’s drug_indication table restricted to phase 4, mapped to the panel through a keyword list fixed before any prediction was computed.</w:t>
      </w:r>
      <w:r>
        <w:t xml:space="preserve"> </w:t>
      </w:r>
      <w:r>
        <w:t xml:space="preserve">‘Ranking only’</w:t>
      </w:r>
      <w:r>
        <w:t xml:space="preserve"> </w:t>
      </w:r>
      <w:r>
        <w:t xml:space="preserve">removes the reporting threshold, separating the ability to rank conditions from the decision to stay silent.</w:t>
      </w:r>
      <w:r>
        <w:t xml:space="preserve"> </w:t>
      </w:r>
      <w:r>
        <w:t xml:space="preserve">‘Silent’</w:t>
      </w:r>
      <w:r>
        <w:t xml:space="preserve"> </w:t>
      </w:r>
      <w:r>
        <w:t xml:space="preserve">counts drugs for which no condition reached the reporting threshold.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Indication</w:t>
            </w:r>
          </w:p>
        </w:tc>
        <w:tc>
          <w:tcPr/>
          <w:p>
            <w:pPr>
              <w:pStyle w:val="Compact"/>
            </w:pPr>
            <w:r>
              <w:t xml:space="preserve">Drugs</w:t>
            </w:r>
          </w:p>
        </w:tc>
        <w:tc>
          <w:tcPr/>
          <w:p>
            <w:pPr>
              <w:pStyle w:val="Compact"/>
            </w:pPr>
            <w:r>
              <w:t xml:space="preserve">Recovered in top 3</w:t>
            </w:r>
          </w:p>
        </w:tc>
        <w:tc>
          <w:tcPr/>
          <w:p>
            <w:pPr>
              <w:pStyle w:val="Compact"/>
            </w:pPr>
            <w:r>
              <w:t xml:space="preserve">Ranking only</w:t>
            </w:r>
          </w:p>
        </w:tc>
        <w:tc>
          <w:tcPr/>
          <w:p>
            <w:pPr>
              <w:pStyle w:val="Compact"/>
            </w:pPr>
            <w:r>
              <w:t xml:space="preserve">Silent</w:t>
            </w:r>
          </w:p>
        </w:tc>
      </w:tr>
      <w:tr>
        <w:tc>
          <w:tcPr/>
          <w:p>
            <w:pPr>
              <w:pStyle w:val="Compact"/>
            </w:pPr>
            <w:r>
              <w:t xml:space="preserve">Alzheimer’s disease</w:t>
            </w:r>
          </w:p>
        </w:tc>
        <w:tc>
          <w:tcPr/>
          <w:p>
            <w:pPr>
              <w:pStyle w:val="Compact"/>
            </w:pPr>
            <w:r>
              <w:t xml:space="preserve">10</w:t>
            </w:r>
          </w:p>
        </w:tc>
        <w:tc>
          <w:tcPr/>
          <w:p>
            <w:pPr>
              <w:pStyle w:val="Compact"/>
            </w:pPr>
            <w:r>
              <w:t xml:space="preserve">0.200</w:t>
            </w:r>
          </w:p>
        </w:tc>
        <w:tc>
          <w:tcPr/>
          <w:p>
            <w:pPr>
              <w:pStyle w:val="Compact"/>
            </w:pPr>
            <w:r>
              <w:t xml:space="preserve">0.800</w:t>
            </w:r>
          </w:p>
        </w:tc>
        <w:tc>
          <w:tcPr/>
          <w:p>
            <w:pPr>
              <w:pStyle w:val="Compact"/>
            </w:pPr>
            <w:r>
              <w:t xml:space="preserve">5</w:t>
            </w:r>
          </w:p>
        </w:tc>
      </w:tr>
      <w:tr>
        <w:tc>
          <w:tcPr/>
          <w:p>
            <w:pPr>
              <w:pStyle w:val="Compact"/>
            </w:pPr>
            <w:r>
              <w:t xml:space="preserve">Parkinson’s disease</w:t>
            </w:r>
          </w:p>
        </w:tc>
        <w:tc>
          <w:tcPr/>
          <w:p>
            <w:pPr>
              <w:pStyle w:val="Compact"/>
            </w:pPr>
            <w:r>
              <w:t xml:space="preserve">39</w:t>
            </w:r>
          </w:p>
        </w:tc>
        <w:tc>
          <w:tcPr/>
          <w:p>
            <w:pPr>
              <w:pStyle w:val="Compact"/>
            </w:pPr>
            <w:r>
              <w:t xml:space="preserve">0.154</w:t>
            </w:r>
          </w:p>
        </w:tc>
        <w:tc>
          <w:tcPr/>
          <w:p>
            <w:pPr>
              <w:pStyle w:val="Compact"/>
            </w:pPr>
            <w:r>
              <w:t xml:space="preserve">0.538</w:t>
            </w:r>
          </w:p>
        </w:tc>
        <w:tc>
          <w:tcPr/>
          <w:p>
            <w:pPr>
              <w:pStyle w:val="Compact"/>
            </w:pPr>
            <w:r>
              <w:t xml:space="preserve">16</w:t>
            </w:r>
          </w:p>
        </w:tc>
      </w:tr>
      <w:tr>
        <w:tc>
          <w:tcPr/>
          <w:p>
            <w:pPr>
              <w:pStyle w:val="Compact"/>
            </w:pPr>
            <w:r>
              <w:t xml:space="preserve">Depression / anxiety</w:t>
            </w:r>
          </w:p>
        </w:tc>
        <w:tc>
          <w:tcPr/>
          <w:p>
            <w:pPr>
              <w:pStyle w:val="Compact"/>
            </w:pPr>
            <w:r>
              <w:t xml:space="preserve">113</w:t>
            </w:r>
          </w:p>
        </w:tc>
        <w:tc>
          <w:tcPr/>
          <w:p>
            <w:pPr>
              <w:pStyle w:val="Compact"/>
            </w:pPr>
            <w:r>
              <w:t xml:space="preserve">0.611</w:t>
            </w:r>
          </w:p>
        </w:tc>
        <w:tc>
          <w:tcPr/>
          <w:p>
            <w:pPr>
              <w:pStyle w:val="Compact"/>
            </w:pPr>
            <w:r>
              <w:t xml:space="preserve">0.779</w:t>
            </w:r>
          </w:p>
        </w:tc>
        <w:tc>
          <w:tcPr/>
          <w:p>
            <w:pPr>
              <w:pStyle w:val="Compact"/>
            </w:pPr>
            <w:r>
              <w:t xml:space="preserve">30</w:t>
            </w:r>
          </w:p>
        </w:tc>
      </w:tr>
      <w:tr>
        <w:tc>
          <w:tcPr/>
          <w:p>
            <w:pPr>
              <w:pStyle w:val="Compact"/>
            </w:pPr>
            <w:r>
              <w:t xml:space="preserve">Psychosis / schizophrenia</w:t>
            </w:r>
          </w:p>
        </w:tc>
        <w:tc>
          <w:tcPr/>
          <w:p>
            <w:pPr>
              <w:pStyle w:val="Compact"/>
            </w:pPr>
            <w:r>
              <w:t xml:space="preserve">73</w:t>
            </w:r>
          </w:p>
        </w:tc>
        <w:tc>
          <w:tcPr/>
          <w:p>
            <w:pPr>
              <w:pStyle w:val="Compact"/>
            </w:pPr>
            <w:r>
              <w:t xml:space="preserve">0.644</w:t>
            </w:r>
          </w:p>
        </w:tc>
        <w:tc>
          <w:tcPr/>
          <w:p>
            <w:pPr>
              <w:pStyle w:val="Compact"/>
            </w:pPr>
            <w:r>
              <w:t xml:space="preserve">0.740</w:t>
            </w:r>
          </w:p>
        </w:tc>
        <w:tc>
          <w:tcPr/>
          <w:p>
            <w:pPr>
              <w:pStyle w:val="Compact"/>
            </w:pPr>
            <w:r>
              <w:t xml:space="preserve">14</w:t>
            </w:r>
          </w:p>
        </w:tc>
      </w:tr>
      <w:tr>
        <w:tc>
          <w:tcPr/>
          <w:p>
            <w:pPr>
              <w:pStyle w:val="Compact"/>
            </w:pPr>
            <w:r>
              <w:t xml:space="preserve">Addiction</w:t>
            </w:r>
          </w:p>
        </w:tc>
        <w:tc>
          <w:tcPr/>
          <w:p>
            <w:pPr>
              <w:pStyle w:val="Compact"/>
            </w:pPr>
            <w:r>
              <w:t xml:space="preserve">17</w:t>
            </w:r>
          </w:p>
        </w:tc>
        <w:tc>
          <w:tcPr/>
          <w:p>
            <w:pPr>
              <w:pStyle w:val="Compact"/>
            </w:pPr>
            <w:r>
              <w:t xml:space="preserve">0.529</w:t>
            </w:r>
          </w:p>
        </w:tc>
        <w:tc>
          <w:tcPr/>
          <w:p>
            <w:pPr>
              <w:pStyle w:val="Compact"/>
            </w:pPr>
            <w:r>
              <w:t xml:space="preserve">0.588</w:t>
            </w:r>
          </w:p>
        </w:tc>
        <w:tc>
          <w:tcPr/>
          <w:p>
            <w:pPr>
              <w:pStyle w:val="Compact"/>
            </w:pPr>
            <w:r>
              <w:t xml:space="preserve">5</w:t>
            </w:r>
          </w:p>
        </w:tc>
      </w:tr>
      <w:tr>
        <w:tc>
          <w:tcPr/>
          <w:p>
            <w:pPr>
              <w:pStyle w:val="Compact"/>
            </w:pPr>
            <w:r>
              <w:t xml:space="preserve">ADHD</w:t>
            </w:r>
          </w:p>
        </w:tc>
        <w:tc>
          <w:tcPr/>
          <w:p>
            <w:pPr>
              <w:pStyle w:val="Compact"/>
            </w:pPr>
            <w:r>
              <w:t xml:space="preserve">31</w:t>
            </w:r>
          </w:p>
        </w:tc>
        <w:tc>
          <w:tcPr/>
          <w:p>
            <w:pPr>
              <w:pStyle w:val="Compact"/>
            </w:pPr>
            <w:r>
              <w:t xml:space="preserve">0.226</w:t>
            </w:r>
          </w:p>
        </w:tc>
        <w:tc>
          <w:tcPr/>
          <w:p>
            <w:pPr>
              <w:pStyle w:val="Compact"/>
            </w:pPr>
            <w:r>
              <w:t xml:space="preserve">0.258</w:t>
            </w:r>
          </w:p>
        </w:tc>
        <w:tc>
          <w:tcPr/>
          <w:p>
            <w:pPr>
              <w:pStyle w:val="Compact"/>
            </w:pPr>
            <w:r>
              <w:t xml:space="preserve">16</w:t>
            </w:r>
          </w:p>
        </w:tc>
      </w:tr>
      <w:tr>
        <w:tc>
          <w:tcPr/>
          <w:p>
            <w:pPr>
              <w:pStyle w:val="Compact"/>
            </w:pPr>
            <w:r>
              <w:t xml:space="preserve">Chronic pain</w:t>
            </w:r>
          </w:p>
        </w:tc>
        <w:tc>
          <w:tcPr/>
          <w:p>
            <w:pPr>
              <w:pStyle w:val="Compact"/>
            </w:pPr>
            <w:r>
              <w:t xml:space="preserve">144</w:t>
            </w:r>
          </w:p>
        </w:tc>
        <w:tc>
          <w:tcPr/>
          <w:p>
            <w:pPr>
              <w:pStyle w:val="Compact"/>
            </w:pPr>
            <w:r>
              <w:t xml:space="preserve">0.229</w:t>
            </w:r>
          </w:p>
        </w:tc>
        <w:tc>
          <w:tcPr/>
          <w:p>
            <w:pPr>
              <w:pStyle w:val="Compact"/>
            </w:pPr>
            <w:r>
              <w:t xml:space="preserve">0.250</w:t>
            </w:r>
          </w:p>
        </w:tc>
        <w:tc>
          <w:tcPr/>
          <w:p>
            <w:pPr>
              <w:pStyle w:val="Compact"/>
            </w:pPr>
            <w:r>
              <w:t xml:space="preserve">83</w:t>
            </w:r>
          </w:p>
        </w:tc>
      </w:tr>
      <w:tr>
        <w:tc>
          <w:tcPr/>
          <w:p>
            <w:pPr>
              <w:pStyle w:val="Compact"/>
            </w:pPr>
            <w:r>
              <w:t xml:space="preserve">Sleep / wakefulness</w:t>
            </w:r>
          </w:p>
        </w:tc>
        <w:tc>
          <w:tcPr/>
          <w:p>
            <w:pPr>
              <w:pStyle w:val="Compact"/>
            </w:pPr>
            <w:r>
              <w:t xml:space="preserve">27</w:t>
            </w:r>
          </w:p>
        </w:tc>
        <w:tc>
          <w:tcPr/>
          <w:p>
            <w:pPr>
              <w:pStyle w:val="Compact"/>
            </w:pPr>
            <w:r>
              <w:t xml:space="preserve">0.296</w:t>
            </w:r>
          </w:p>
        </w:tc>
        <w:tc>
          <w:tcPr/>
          <w:p>
            <w:pPr>
              <w:pStyle w:val="Compact"/>
            </w:pPr>
            <w:r>
              <w:t xml:space="preserve">0.296</w:t>
            </w:r>
          </w:p>
        </w:tc>
        <w:tc>
          <w:tcPr/>
          <w:p>
            <w:pPr>
              <w:pStyle w:val="Compact"/>
            </w:pPr>
            <w:r>
              <w:t xml:space="preserve">11</w:t>
            </w:r>
          </w:p>
        </w:tc>
      </w:tr>
      <w:tr>
        <w:tc>
          <w:tcPr/>
          <w:p>
            <w:pPr>
              <w:pStyle w:val="Compact"/>
            </w:pPr>
            <w:r>
              <w:t xml:space="preserve">Epilepsy</w:t>
            </w:r>
          </w:p>
        </w:tc>
        <w:tc>
          <w:tcPr/>
          <w:p>
            <w:pPr>
              <w:pStyle w:val="Compact"/>
            </w:pPr>
            <w:r>
              <w:t xml:space="preserve">58</w:t>
            </w:r>
          </w:p>
        </w:tc>
        <w:tc>
          <w:tcPr/>
          <w:p>
            <w:pPr>
              <w:pStyle w:val="Compact"/>
            </w:pPr>
            <w:r>
              <w:t xml:space="preserve">0.103</w:t>
            </w:r>
          </w:p>
        </w:tc>
        <w:tc>
          <w:tcPr/>
          <w:p>
            <w:pPr>
              <w:pStyle w:val="Compact"/>
            </w:pPr>
            <w:r>
              <w:t xml:space="preserve">0.224</w:t>
            </w:r>
          </w:p>
        </w:tc>
        <w:tc>
          <w:tcPr/>
          <w:p>
            <w:pPr>
              <w:pStyle w:val="Compact"/>
            </w:pPr>
            <w:r>
              <w:t xml:space="preserve">47</w:t>
            </w:r>
          </w:p>
        </w:tc>
      </w:tr>
    </w:tbl>
    <w:bookmarkEnd w:id="32"/>
    <w:bookmarkStart w:id="43" w:name="X44135fa92cdf5aef476a95c5ae602a20b32b2b0"/>
    <w:p>
      <w:pPr>
        <w:pStyle w:val="Heading2"/>
      </w:pPr>
      <w:r>
        <w:t xml:space="preserve">Table 9. Targeted expansion: candidates, audit and outcome</w:t>
      </w:r>
    </w:p>
    <w:p>
      <w:pPr>
        <w:pStyle w:val="FirstParagraph"/>
      </w:pPr>
      <w:r>
        <w:t xml:space="preserve">Candidates were selected because the clinical-indication test identified epilepsy and chronic pain as the conditions served worst, and a systematic ChEMBL query found these mechanisms clear both a volume bar of 800 measured activities and a source-diversity bar. Each was then audited on its own fetched data before training, and again on deployed specificity afterwards.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Candidate</w:t>
            </w:r>
          </w:p>
        </w:tc>
        <w:tc>
          <w:tcPr/>
          <w:p>
            <w:pPr>
              <w:pStyle w:val="Compact"/>
            </w:pPr>
            <w:r>
              <w:t xml:space="preserve">Actives</w:t>
            </w:r>
          </w:p>
        </w:tc>
        <w:tc>
          <w:tcPr/>
          <w:p>
            <w:pPr>
              <w:pStyle w:val="Compact"/>
            </w:pPr>
            <w:r>
              <w:t xml:space="preserve">Scaffolds</w:t>
            </w:r>
          </w:p>
        </w:tc>
        <w:tc>
          <w:tcPr/>
          <w:p>
            <w:pPr>
              <w:pStyle w:val="Compact"/>
            </w:pPr>
            <w:r>
              <w:t xml:space="preserve">Measured inactives</w:t>
            </w:r>
          </w:p>
        </w:tc>
        <w:tc>
          <w:tcPr/>
          <w:p>
            <w:pPr>
              <w:pStyle w:val="Compact"/>
            </w:pPr>
            <w:r>
              <w:t xml:space="preserve">AUROC vs inactives</w:t>
            </w:r>
          </w:p>
        </w:tc>
        <w:tc>
          <w:tcPr/>
          <w:p>
            <w:pPr>
              <w:pStyle w:val="Compact"/>
            </w:pPr>
            <w:r>
              <w:t xml:space="preserve">Sensitivity</w:t>
            </w:r>
          </w:p>
        </w:tc>
        <w:tc>
          <w:tcPr/>
          <w:p>
            <w:pPr>
              <w:pStyle w:val="Compact"/>
            </w:pPr>
            <w:r>
              <w:t xml:space="preserve">Outcome</w:t>
            </w:r>
          </w:p>
        </w:tc>
        <w:tc>
          <w:tcPr/>
          <w:p>
            <w:pPr>
              <w:pStyle w:val="Compact"/>
            </w:pPr>
            <w:r>
              <w:t xml:space="preserve">Reason if rejected</w:t>
            </w:r>
          </w:p>
        </w:tc>
      </w:tr>
      <w:tr>
        <w:tc>
          <w:tcPr/>
          <w:p>
            <w:pPr>
              <w:pStyle w:val="Compact"/>
            </w:pPr>
            <w:r>
              <w:t xml:space="preserve">a4b2nAChR</w:t>
            </w:r>
          </w:p>
        </w:tc>
        <w:tc>
          <w:tcPr/>
          <w:p>
            <w:pPr>
              <w:pStyle w:val="Compact"/>
            </w:pPr>
            <w:r>
              <w:t xml:space="preserve">796</w:t>
            </w:r>
          </w:p>
        </w:tc>
        <w:tc>
          <w:tcPr/>
          <w:p>
            <w:pPr>
              <w:pStyle w:val="Compact"/>
            </w:pPr>
            <w:r>
              <w:t xml:space="preserve">278</w:t>
            </w:r>
          </w:p>
        </w:tc>
        <w:tc>
          <w:tcPr/>
          <w:p>
            <w:pPr>
              <w:pStyle w:val="Compact"/>
            </w:pPr>
            <w:r>
              <w:t xml:space="preserve">146</w:t>
            </w:r>
          </w:p>
        </w:tc>
        <w:tc>
          <w:tcPr/>
          <w:p>
            <w:pPr>
              <w:pStyle w:val="Compact"/>
            </w:pPr>
            <w:r>
              <w:t xml:space="preserve">0.937</w:t>
            </w:r>
          </w:p>
        </w:tc>
        <w:tc>
          <w:tcPr/>
          <w:p>
            <w:pPr>
              <w:pStyle w:val="Compact"/>
            </w:pPr>
            <w:r>
              <w:t xml:space="preserve">0.899</w:t>
            </w:r>
          </w:p>
        </w:tc>
        <w:tc>
          <w:tcPr/>
          <w:p>
            <w:pPr>
              <w:pStyle w:val="Compact"/>
            </w:pPr>
            <w:r>
              <w:t xml:space="preserve">deployed</w:t>
            </w:r>
          </w:p>
        </w:tc>
        <w:tc>
          <w:tcPr/>
          <w:p>
            <w:pPr>
              <w:pStyle w:val="Compact"/>
            </w:pPr>
          </w:p>
        </w:tc>
      </w:tr>
      <w:tr>
        <w:tc>
          <w:tcPr/>
          <w:p>
            <w:pPr>
              <w:pStyle w:val="Compact"/>
            </w:pPr>
            <w:r>
              <w:t xml:space="preserve">a3b4nAChR</w:t>
            </w:r>
          </w:p>
        </w:tc>
        <w:tc>
          <w:tcPr/>
          <w:p>
            <w:pPr>
              <w:pStyle w:val="Compact"/>
            </w:pPr>
            <w:r>
              <w:t xml:space="preserve">398</w:t>
            </w:r>
          </w:p>
        </w:tc>
        <w:tc>
          <w:tcPr/>
          <w:p>
            <w:pPr>
              <w:pStyle w:val="Compact"/>
            </w:pPr>
            <w:r>
              <w:t xml:space="preserve">153</w:t>
            </w:r>
          </w:p>
        </w:tc>
        <w:tc>
          <w:tcPr/>
          <w:p>
            <w:pPr>
              <w:pStyle w:val="Compact"/>
            </w:pPr>
            <w:r>
              <w:t xml:space="preserve">187</w:t>
            </w:r>
          </w:p>
        </w:tc>
        <w:tc>
          <w:tcPr/>
          <w:p>
            <w:pPr>
              <w:pStyle w:val="Compact"/>
            </w:pPr>
            <w:r>
              <w:t xml:space="preserve">0.973</w:t>
            </w:r>
          </w:p>
        </w:tc>
        <w:tc>
          <w:tcPr/>
          <w:p>
            <w:pPr>
              <w:pStyle w:val="Compact"/>
            </w:pPr>
            <w:r>
              <w:t xml:space="preserve">0.955</w:t>
            </w:r>
          </w:p>
        </w:tc>
        <w:tc>
          <w:tcPr/>
          <w:p>
            <w:pPr>
              <w:pStyle w:val="Compact"/>
            </w:pPr>
            <w:r>
              <w:t xml:space="preserve">deployed</w:t>
            </w:r>
          </w:p>
        </w:tc>
        <w:tc>
          <w:tcPr/>
          <w:p>
            <w:pPr>
              <w:pStyle w:val="Compact"/>
            </w:pPr>
          </w:p>
        </w:tc>
      </w:tr>
      <w:tr>
        <w:tc>
          <w:tcPr/>
          <w:p>
            <w:pPr>
              <w:pStyle w:val="Compact"/>
            </w:pPr>
            <w:r>
              <w:t xml:space="preserve">Nav1_6</w:t>
            </w:r>
          </w:p>
        </w:tc>
        <w:tc>
          <w:tcPr/>
          <w:p>
            <w:pPr>
              <w:pStyle w:val="Compact"/>
            </w:pPr>
            <w:r>
              <w:t xml:space="preserve">681</w:t>
            </w:r>
          </w:p>
        </w:tc>
        <w:tc>
          <w:tcPr/>
          <w:p>
            <w:pPr>
              <w:pStyle w:val="Compact"/>
            </w:pPr>
            <w:r>
              <w:t xml:space="preserve">187</w:t>
            </w:r>
          </w:p>
        </w:tc>
        <w:tc>
          <w:tcPr/>
          <w:p>
            <w:pPr>
              <w:pStyle w:val="Compact"/>
            </w:pPr>
            <w:r>
              <w:t xml:space="preserve">45</w:t>
            </w:r>
          </w:p>
        </w:tc>
        <w:tc>
          <w:tcPr/>
          <w:p>
            <w:pPr>
              <w:pStyle w:val="Compact"/>
            </w:pPr>
            <w:r>
              <w:t xml:space="preserve">0.634</w:t>
            </w:r>
          </w:p>
        </w:tc>
        <w:tc>
          <w:tcPr/>
          <w:p>
            <w:pPr>
              <w:pStyle w:val="Compact"/>
            </w:pPr>
            <w:r>
              <w:t xml:space="preserve">0.565</w:t>
            </w:r>
          </w:p>
        </w:tc>
        <w:tc>
          <w:tcPr/>
          <w:p>
            <w:pPr>
              <w:pStyle w:val="Compact"/>
            </w:pPr>
            <w:r>
              <w:t xml:space="preserve">deployed</w:t>
            </w:r>
          </w:p>
        </w:tc>
        <w:tc>
          <w:tcPr/>
          <w:p>
            <w:pPr>
              <w:pStyle w:val="Compact"/>
            </w:pPr>
          </w:p>
        </w:tc>
      </w:tr>
      <w:tr>
        <w:tc>
          <w:tcPr/>
          <w:p>
            <w:pPr>
              <w:pStyle w:val="Compact"/>
            </w:pPr>
            <w:r>
              <w:t xml:space="preserve">Nav1_8</w:t>
            </w:r>
          </w:p>
        </w:tc>
        <w:tc>
          <w:tcPr/>
          <w:p>
            <w:pPr>
              <w:pStyle w:val="Compact"/>
            </w:pPr>
            <w:r>
              <w:t xml:space="preserve">501</w:t>
            </w:r>
          </w:p>
        </w:tc>
        <w:tc>
          <w:tcPr/>
          <w:p>
            <w:pPr>
              <w:pStyle w:val="Compact"/>
            </w:pPr>
            <w:r>
              <w:t xml:space="preserve">163</w:t>
            </w:r>
          </w:p>
        </w:tc>
        <w:tc>
          <w:tcPr/>
          <w:p>
            <w:pPr>
              <w:pStyle w:val="Compact"/>
            </w:pPr>
            <w:r>
              <w:t xml:space="preserve">39</w:t>
            </w:r>
          </w:p>
        </w:tc>
        <w:tc>
          <w:tcPr/>
          <w:p>
            <w:pPr>
              <w:pStyle w:val="Compact"/>
            </w:pPr>
            <w:r>
              <w:t xml:space="preserve">0.876</w:t>
            </w:r>
          </w:p>
        </w:tc>
        <w:tc>
          <w:tcPr/>
          <w:p>
            <w:pPr>
              <w:pStyle w:val="Compact"/>
            </w:pPr>
            <w:r>
              <w:t xml:space="preserve">0.728</w:t>
            </w:r>
          </w:p>
        </w:tc>
        <w:tc>
          <w:tcPr/>
          <w:p>
            <w:pPr>
              <w:pStyle w:val="Compact"/>
            </w:pPr>
            <w:r>
              <w:t xml:space="preserve">deployed</w:t>
            </w:r>
          </w:p>
        </w:tc>
        <w:tc>
          <w:tcPr/>
          <w:p>
            <w:pPr>
              <w:pStyle w:val="Compact"/>
            </w:pPr>
          </w:p>
        </w:tc>
      </w:tr>
      <w:tr>
        <w:tc>
          <w:tcPr/>
          <w:p>
            <w:pPr>
              <w:pStyle w:val="Compact"/>
            </w:pPr>
            <w:r>
              <w:t xml:space="preserve">Cav3_2</w:t>
            </w:r>
          </w:p>
        </w:tc>
        <w:tc>
          <w:tcPr/>
          <w:p>
            <w:pPr>
              <w:pStyle w:val="Compact"/>
            </w:pPr>
            <w:r>
              <w:t xml:space="preserve">633</w:t>
            </w:r>
          </w:p>
        </w:tc>
        <w:tc>
          <w:tcPr/>
          <w:p>
            <w:pPr>
              <w:pStyle w:val="Compact"/>
            </w:pPr>
            <w:r>
              <w:t xml:space="preserve">201</w:t>
            </w:r>
          </w:p>
        </w:tc>
        <w:tc>
          <w:tcPr/>
          <w:p>
            <w:pPr>
              <w:pStyle w:val="Compact"/>
            </w:pPr>
            <w:r>
              <w:t xml:space="preserve">33</w:t>
            </w:r>
          </w:p>
        </w:tc>
        <w:tc>
          <w:tcPr/>
          <w:p>
            <w:pPr>
              <w:pStyle w:val="Compact"/>
            </w:pPr>
            <w:r>
              <w:t xml:space="preserve">0.971</w:t>
            </w:r>
          </w:p>
        </w:tc>
        <w:tc>
          <w:tcPr/>
          <w:p>
            <w:pPr>
              <w:pStyle w:val="Compact"/>
            </w:pPr>
            <w:r>
              <w:t xml:space="preserve">0.907</w:t>
            </w:r>
          </w:p>
        </w:tc>
        <w:tc>
          <w:tcPr/>
          <w:p>
            <w:pPr>
              <w:pStyle w:val="Compact"/>
            </w:pPr>
            <w:r>
              <w:t xml:space="preserve">withdrawn after training</w:t>
            </w:r>
          </w:p>
        </w:tc>
        <w:tc>
          <w:tcPr/>
          <w:p>
            <w:pPr>
              <w:pStyle w:val="Compact"/>
            </w:pPr>
            <w:r>
              <w:t xml:space="preserve">active band compressed near zero, calibrated threshold 0.065, atenolol scores 0.084</w:t>
            </w:r>
          </w:p>
        </w:tc>
      </w:tr>
      <w:tr>
        <w:tc>
          <w:tcPr/>
          <w:p>
            <w:pPr>
              <w:pStyle w:val="Compact"/>
            </w:pPr>
            <w:r>
              <w:t xml:space="preserve">GABAA_a5</w:t>
            </w:r>
          </w:p>
        </w:tc>
        <w:tc>
          <w:tcPr/>
          <w:p>
            <w:pPr>
              <w:pStyle w:val="Compact"/>
            </w:pPr>
            <w:r>
              <w:t xml:space="preserve">672</w:t>
            </w:r>
          </w:p>
        </w:tc>
        <w:tc>
          <w:tcPr/>
          <w:p>
            <w:pPr>
              <w:pStyle w:val="Compact"/>
            </w:pPr>
            <w:r>
              <w:t xml:space="preserve">284</w:t>
            </w:r>
          </w:p>
        </w:tc>
        <w:tc>
          <w:tcPr/>
          <w:p>
            <w:pPr>
              <w:pStyle w:val="Compact"/>
            </w:pPr>
            <w:r>
              <w:t xml:space="preserve">4</w:t>
            </w:r>
          </w:p>
        </w:tc>
        <w:tc>
          <w:tcPr/>
          <w:p>
            <w:pPr>
              <w:pStyle w:val="Compact"/>
            </w:pPr>
            <w:r>
              <w:t xml:space="preserve">n/a</w:t>
            </w:r>
          </w:p>
        </w:tc>
        <w:tc>
          <w:tcPr/>
          <w:p>
            <w:pPr>
              <w:pStyle w:val="Compact"/>
            </w:pPr>
            <w:r>
              <w:t xml:space="preserve">n/a</w:t>
            </w:r>
          </w:p>
        </w:tc>
        <w:tc>
          <w:tcPr/>
          <w:p>
            <w:pPr>
              <w:pStyle w:val="Compact"/>
            </w:pPr>
            <w:r>
              <w:t xml:space="preserve">not trained</w:t>
            </w:r>
          </w:p>
        </w:tc>
        <w:tc>
          <w:tcPr/>
          <w:p>
            <w:pPr>
              <w:pStyle w:val="Compact"/>
            </w:pPr>
            <w:r>
              <w:t xml:space="preserve">only 4 measured inactives, cannot set a threshold honestly</w:t>
            </w:r>
          </w:p>
        </w:tc>
      </w:tr>
      <w:tr>
        <w:tc>
          <w:tcPr/>
          <w:p>
            <w:pPr>
              <w:pStyle w:val="Compact"/>
            </w:pPr>
            <w:r>
              <w:t xml:space="preserve">CGRP</w:t>
            </w:r>
          </w:p>
        </w:tc>
        <w:tc>
          <w:tcPr/>
          <w:p>
            <w:pPr>
              <w:pStyle w:val="Compact"/>
            </w:pPr>
            <w:r>
              <w:t xml:space="preserve">761</w:t>
            </w:r>
          </w:p>
        </w:tc>
        <w:tc>
          <w:tcPr/>
          <w:p>
            <w:pPr>
              <w:pStyle w:val="Compact"/>
            </w:pPr>
            <w:r>
              <w:t xml:space="preserve">333</w:t>
            </w:r>
          </w:p>
        </w:tc>
        <w:tc>
          <w:tcPr/>
          <w:p>
            <w:pPr>
              <w:pStyle w:val="Compact"/>
            </w:pPr>
            <w:r>
              <w:t xml:space="preserve">26</w:t>
            </w:r>
          </w:p>
        </w:tc>
        <w:tc>
          <w:tcPr/>
          <w:p>
            <w:pPr>
              <w:pStyle w:val="Compact"/>
            </w:pPr>
            <w:r>
              <w:t xml:space="preserve">0.985</w:t>
            </w:r>
          </w:p>
        </w:tc>
        <w:tc>
          <w:tcPr/>
          <w:p>
            <w:pPr>
              <w:pStyle w:val="Compact"/>
            </w:pPr>
            <w:r>
              <w:t xml:space="preserve">0.997</w:t>
            </w:r>
          </w:p>
        </w:tc>
        <w:tc>
          <w:tcPr/>
          <w:p>
            <w:pPr>
              <w:pStyle w:val="Compact"/>
            </w:pPr>
            <w:r>
              <w:t xml:space="preserve">deployed</w:t>
            </w:r>
          </w:p>
        </w:tc>
        <w:tc>
          <w:tcPr/>
          <w:p>
            <w:pPr>
              <w:pStyle w:val="Compact"/>
            </w:pPr>
            <w:r>
              <w:t xml:space="preserve">only 26 measured inactives, cannot set a threshold honestly</w:t>
            </w:r>
          </w:p>
        </w:tc>
      </w:tr>
      <w:tr>
        <w:tc>
          <w:tcPr/>
          <w:p>
            <w:pPr>
              <w:pStyle w:val="Compact"/>
            </w:pPr>
            <w:r>
              <w:t xml:space="preserve">DHODH</w:t>
            </w:r>
          </w:p>
        </w:tc>
        <w:tc>
          <w:tcPr/>
          <w:p>
            <w:pPr>
              <w:pStyle w:val="Compact"/>
            </w:pPr>
            <w:r>
              <w:t xml:space="preserve">1421</w:t>
            </w:r>
          </w:p>
        </w:tc>
        <w:tc>
          <w:tcPr/>
          <w:p>
            <w:pPr>
              <w:pStyle w:val="Compact"/>
            </w:pPr>
            <w:r>
              <w:t xml:space="preserve">360</w:t>
            </w:r>
          </w:p>
        </w:tc>
        <w:tc>
          <w:tcPr/>
          <w:p>
            <w:pPr>
              <w:pStyle w:val="Compact"/>
            </w:pPr>
            <w:r>
              <w:t xml:space="preserve">145</w:t>
            </w:r>
          </w:p>
        </w:tc>
        <w:tc>
          <w:tcPr/>
          <w:p>
            <w:pPr>
              <w:pStyle w:val="Compact"/>
            </w:pPr>
            <w:r>
              <w:t xml:space="preserve">0.964</w:t>
            </w:r>
          </w:p>
        </w:tc>
        <w:tc>
          <w:tcPr/>
          <w:p>
            <w:pPr>
              <w:pStyle w:val="Compact"/>
            </w:pPr>
            <w:r>
              <w:t xml:space="preserve">0.967</w:t>
            </w:r>
          </w:p>
        </w:tc>
        <w:tc>
          <w:tcPr/>
          <w:p>
            <w:pPr>
              <w:pStyle w:val="Compact"/>
            </w:pPr>
            <w:r>
              <w:t xml:space="preserve">deployed</w:t>
            </w:r>
          </w:p>
        </w:tc>
        <w:tc>
          <w:tcPr/>
          <w:p>
            <w:pPr>
              <w:pStyle w:val="Compact"/>
            </w:pPr>
          </w:p>
        </w:tc>
      </w:tr>
      <w:tr>
        <w:tc>
          <w:tcPr/>
          <w:p>
            <w:pPr>
              <w:pStyle w:val="Compact"/>
            </w:pPr>
            <w:r>
              <w:t xml:space="preserve">RIPK1</w:t>
            </w:r>
          </w:p>
        </w:tc>
        <w:tc>
          <w:tcPr/>
          <w:p>
            <w:pPr>
              <w:pStyle w:val="Compact"/>
            </w:pPr>
            <w:r>
              <w:t xml:space="preserve">2349</w:t>
            </w:r>
          </w:p>
        </w:tc>
        <w:tc>
          <w:tcPr/>
          <w:p>
            <w:pPr>
              <w:pStyle w:val="Compact"/>
            </w:pPr>
            <w:r>
              <w:t xml:space="preserve">826</w:t>
            </w:r>
          </w:p>
        </w:tc>
        <w:tc>
          <w:tcPr/>
          <w:p>
            <w:pPr>
              <w:pStyle w:val="Compact"/>
            </w:pPr>
            <w:r>
              <w:t xml:space="preserve">719</w:t>
            </w:r>
          </w:p>
        </w:tc>
        <w:tc>
          <w:tcPr/>
          <w:p>
            <w:pPr>
              <w:pStyle w:val="Compact"/>
            </w:pPr>
            <w:r>
              <w:t xml:space="preserve">0.983</w:t>
            </w:r>
          </w:p>
        </w:tc>
        <w:tc>
          <w:tcPr/>
          <w:p>
            <w:pPr>
              <w:pStyle w:val="Compact"/>
            </w:pPr>
            <w:r>
              <w:t xml:space="preserve">0.969</w:t>
            </w:r>
          </w:p>
        </w:tc>
        <w:tc>
          <w:tcPr/>
          <w:p>
            <w:pPr>
              <w:pStyle w:val="Compact"/>
            </w:pPr>
            <w:r>
              <w:t xml:space="preserve">deployed</w:t>
            </w:r>
          </w:p>
        </w:tc>
        <w:tc>
          <w:tcPr/>
          <w:p>
            <w:pPr>
              <w:pStyle w:val="Compact"/>
            </w:pPr>
          </w:p>
        </w:tc>
      </w:tr>
    </w:tbl>
    <w:bookmarkStart w:id="33" w:name="X9027440be274316944cc57f1af493358284f194"/>
    <w:p>
      <w:pPr>
        <w:pStyle w:val="Heading3"/>
      </w:pPr>
      <w:r>
        <w:t xml:space="preserve">Prospective validation: sensitivity under a scaffold hold-out</w:t>
      </w:r>
    </w:p>
    <w:p>
      <w:pPr>
        <w:pStyle w:val="FirstParagraph"/>
      </w:pPr>
      <w:r>
        <w:t xml:space="preserve">Cross-validated performance answers how well a model interpolates within the chemistry it has seen.</w:t>
      </w:r>
      <w:r>
        <w:t xml:space="preserve"> </w:t>
      </w:r>
      <w:r>
        <w:t xml:space="preserve">The question that matters for a triage tool is how it behaves on a chemical series it has never</w:t>
      </w:r>
      <w:r>
        <w:t xml:space="preserve"> </w:t>
      </w:r>
      <w:r>
        <w:t xml:space="preserve">seen. We therefore withheld 20% of Bemis-Murcko scaffolds for each target, retrained all 39</w:t>
      </w:r>
      <w:r>
        <w:t xml:space="preserve"> </w:t>
      </w:r>
      <w:r>
        <w:t xml:space="preserve">trainable binder models on the remaining scaffolds, and recalibrated each decision threshold using</w:t>
      </w:r>
      <w:r>
        <w:t xml:space="preserve"> </w:t>
      </w:r>
      <w:r>
        <w:t xml:space="preserve">only held-out negatives and an independent background sample, so no held-out compound influenced</w:t>
      </w:r>
      <w:r>
        <w:t xml:space="preserve"> </w:t>
      </w:r>
      <w:r>
        <w:t xml:space="preserve">either the model or the threshold that scores it. The evaluation set comprises</w:t>
      </w:r>
      <w:r>
        <w:t xml:space="preserve"> </w:t>
      </w:r>
      <w:r>
        <w:rPr>
          <w:b/>
          <w:bCs/>
        </w:rPr>
        <w:t xml:space="preserve">16,874 held-out</w:t>
      </w:r>
      <w:r>
        <w:rPr>
          <w:b/>
          <w:bCs/>
        </w:rPr>
        <w:t xml:space="preserve"> </w:t>
      </w:r>
      <w:r>
        <w:rPr>
          <w:b/>
          <w:bCs/>
        </w:rPr>
        <w:t xml:space="preserve">compounds across 6,435 withheld scaffolds</w:t>
      </w:r>
      <w:r>
        <w:t xml:space="preserve">.</w:t>
      </w:r>
    </w:p>
    <w:p>
      <w:pPr>
        <w:pStyle w:val="BodyText"/>
      </w:pPr>
      <w:r>
        <w:t xml:space="preserve">Pooled recall is</w:t>
      </w:r>
      <w:r>
        <w:t xml:space="preserve"> </w:t>
      </w:r>
      <w:r>
        <w:rPr>
          <w:b/>
          <w:bCs/>
        </w:rPr>
        <w:t xml:space="preserve">0.790 (95% CI 0.783 to 0.796)</w:t>
      </w:r>
      <w:r>
        <w:t xml:space="preserve">; the median per-target recall is 0.807 and 19 of</w:t>
      </w:r>
      <w:r>
        <w:t xml:space="preserve"> </w:t>
      </w:r>
      <w:r>
        <w:t xml:space="preserve">36 targets reach 0.80 or better (Figure 8, Table 6). Recall varies substantially and informatively</w:t>
      </w:r>
      <w:r>
        <w:t xml:space="preserve"> </w:t>
      </w:r>
      <w:r>
        <w:t xml:space="preserve">across the panel: mTOR (0.977), histamine H3 (0.926), PDE4B (0.923) and the dopamine transporter</w:t>
      </w:r>
      <w:r>
        <w:t xml:space="preserve"> </w:t>
      </w:r>
      <w:r>
        <w:t xml:space="preserve">(0.903) generalise well to unseen scaffolds, whereas five targets fall below 0.50 (SIRT1, mGluR5,</w:t>
      </w:r>
      <w:r>
        <w:t xml:space="preserve"> </w:t>
      </w:r>
      <w:r>
        <w:t xml:space="preserve">melatonin MT1, KEAP1 and AMPA GluA2), all of them endpoints with small measured-active sets.</w:t>
      </w:r>
    </w:p>
    <w:p>
      <w:pPr>
        <w:pStyle w:val="BodyText"/>
      </w:pPr>
      <w:r>
        <w:t xml:space="preserve">Three targets, orexin OX2, LRRK2 and NLRP3, produced thresholds that collapsed to the permitted</w:t>
      </w:r>
      <w:r>
        <w:t xml:space="preserve"> </w:t>
      </w:r>
      <w:r>
        <w:t xml:space="preserve">floor, meaning the model could not separate its actives from background chemistry at any cut. Their</w:t>
      </w:r>
      <w:r>
        <w:t xml:space="preserve"> </w:t>
      </w:r>
      <w:r>
        <w:t xml:space="preserve">nominally high recall is an artefact of a threshold near zero rather than evidence of</w:t>
      </w:r>
      <w:r>
        <w:t xml:space="preserve"> </w:t>
      </w:r>
      <w:r>
        <w:t xml:space="preserve">discrimination, and they are excluded from the pooled estimate and flagged in Table 6 rather than</w:t>
      </w:r>
      <w:r>
        <w:t xml:space="preserve"> </w:t>
      </w:r>
      <w:r>
        <w:t xml:space="preserve">being allowed to flatter the headline figure.</w:t>
      </w:r>
    </w:p>
    <w:bookmarkEnd w:id="33"/>
    <w:bookmarkStart w:id="34" w:name="X91dce0deeb887e10b19280bac3f91491ebe5e3c"/>
    <w:p>
      <w:pPr>
        <w:pStyle w:val="Heading3"/>
      </w:pPr>
      <w:r>
        <w:t xml:space="preserve">Prospective validation: specificity on 1000 non-CNS compounds</w:t>
      </w:r>
    </w:p>
    <w:p>
      <w:pPr>
        <w:pStyle w:val="FirstParagraph"/>
      </w:pPr>
      <w:r>
        <w:t xml:space="preserve">A tool that fires indiscriminately can achieve high recall while being useless, so specificity was</w:t>
      </w:r>
      <w:r>
        <w:t xml:space="preserve"> </w:t>
      </w:r>
      <w:r>
        <w:t xml:space="preserve">measured on a scale sufficient to bound it. We sampled 1000 compounds from the measured library that</w:t>
      </w:r>
      <w:r>
        <w:t xml:space="preserve"> </w:t>
      </w:r>
      <w:r>
        <w:t xml:space="preserve">carry no recorded activity at any modelled target, and scored them through the deployed pipeline.</w:t>
      </w:r>
      <w:r>
        <w:t xml:space="preserve"> </w:t>
      </w:r>
      <w:r>
        <w:rPr>
          <w:b/>
          <w:bCs/>
        </w:rPr>
        <w:t xml:space="preserve">875 of 1000 returned no actionable disease signal, a specificity of 0.875 (95% CI 0.853 to 0.894)</w:t>
      </w:r>
      <w:r>
        <w:t xml:space="preserve"> </w:t>
      </w:r>
      <w:r>
        <w:t xml:space="preserve">and a false-positive rate of 12.5% (Figure 9). An independently drawn replicate sample gave 12.3%,</w:t>
      </w:r>
      <w:r>
        <w:t xml:space="preserve"> </w:t>
      </w:r>
      <w:r>
        <w:t xml:space="preserve">so the estimate is stable. False positives concentrate in the neurodegenerative classes, with median</w:t>
      </w:r>
      <w:r>
        <w:t xml:space="preserve"> </w:t>
      </w:r>
      <w:r>
        <w:t xml:space="preserve">scores of 0.35 to 0.40, only just above the 0.30 actionable threshold, and 80 of the 125 fired on a</w:t>
      </w:r>
      <w:r>
        <w:t xml:space="preserve"> </w:t>
      </w:r>
      <w:r>
        <w:t xml:space="preserve">single condition rather than producing a diffuse profile.</w:t>
      </w:r>
    </w:p>
    <w:p>
      <w:pPr>
        <w:pStyle w:val="BodyText"/>
      </w:pPr>
      <w:r>
        <w:t xml:space="preserve">Two caveats bound the interpretation. These compounds are presumed inactive because no activity is</w:t>
      </w:r>
      <w:r>
        <w:t xml:space="preserve"> </w:t>
      </w:r>
      <w:r>
        <w:t xml:space="preserve">recorded, not proven inactive by measurement, so 0.875 is a lower bound on the true specificity.</w:t>
      </w:r>
      <w:r>
        <w:t xml:space="preserve"> </w:t>
      </w:r>
      <w:r>
        <w:t xml:space="preserve">Second, all sampled compounds fall inside the applicability domain because they are drawn from the</w:t>
      </w:r>
      <w:r>
        <w:t xml:space="preserve"> </w:t>
      </w:r>
      <w:r>
        <w:t xml:space="preserve">training library, so this test does not probe specificity on distant chemistry.</w:t>
      </w:r>
    </w:p>
    <w:p>
      <w:pPr>
        <w:pStyle w:val="BodyText"/>
      </w:pPr>
      <w:r>
        <w:t xml:space="preserve">Taken together the two tests place the deployed operating point at a sensitivity of 0.790 and a</w:t>
      </w:r>
      <w:r>
        <w:t xml:space="preserve"> </w:t>
      </w:r>
      <w:r>
        <w:t xml:space="preserve">specificity of 0.875, a balanced accuracy of 0.832 (Figure 10).</w:t>
      </w:r>
    </w:p>
    <w:bookmarkEnd w:id="34"/>
    <w:bookmarkStart w:id="35" w:name="validation-on-reference-compounds"/>
    <w:p>
      <w:pPr>
        <w:pStyle w:val="Heading3"/>
      </w:pPr>
      <w:r>
        <w:t xml:space="preserve">Validation on reference compounds</w:t>
      </w:r>
    </w:p>
    <w:p>
      <w:pPr>
        <w:pStyle w:val="FirstParagraph"/>
      </w:pPr>
      <w:r>
        <w:t xml:space="preserve">Across a panel of well-characterised CNS drugs the top predicted condition matched the known</w:t>
      </w:r>
      <w:r>
        <w:t xml:space="preserve"> </w:t>
      </w:r>
      <w:r>
        <w:t xml:space="preserve">indication for donepezil (Alzheimer’s disease), selegiline (Parkinson’s disease), fluoxetine</w:t>
      </w:r>
      <w:r>
        <w:t xml:space="preserve"> </w:t>
      </w:r>
      <w:r>
        <w:t xml:space="preserve">(depression), haloperidol (psychosis), morphine (chronic pain), methylphenidate (addiction and</w:t>
      </w:r>
      <w:r>
        <w:t xml:space="preserve"> </w:t>
      </w:r>
      <w:r>
        <w:t xml:space="preserve">attention deficit) and resveratrol (neuroprotection). Two acetylcholinesterase inhibitors of atypical</w:t>
      </w:r>
      <w:r>
        <w:t xml:space="preserve"> </w:t>
      </w:r>
      <w:r>
        <w:t xml:space="preserve">chemotype, rivastigmine and galantamine, were under-called to low magnitude rather than mis-assigned,</w:t>
      </w:r>
      <w:r>
        <w:t xml:space="preserve"> </w:t>
      </w:r>
      <w:r>
        <w:t xml:space="preserve">and were correctly flagged as low-confidence by the applicability-domain layer, which illustrates the</w:t>
      </w:r>
      <w:r>
        <w:t xml:space="preserve"> </w:t>
      </w:r>
      <w:r>
        <w:t xml:space="preserve">value of reporting uncertainty alongside every prediction. The decoy-aware receptor models recover</w:t>
      </w:r>
      <w:r>
        <w:t xml:space="preserve"> </w:t>
      </w:r>
      <w:r>
        <w:t xml:space="preserve">expected selectivity, for example haloperidol as a D2 and 5-HT2A binder and fluoxetine as a selective</w:t>
      </w:r>
      <w:r>
        <w:t xml:space="preserve"> </w:t>
      </w:r>
      <w:r>
        <w:t xml:space="preserve">serotonin-transporter binder, while non-CNS controls return no distinctive engagement.</w:t>
      </w:r>
    </w:p>
    <w:bookmarkEnd w:id="35"/>
    <w:bookmarkStart w:id="36" w:name="falsification-analysis"/>
    <w:p>
      <w:pPr>
        <w:pStyle w:val="Heading3"/>
      </w:pPr>
      <w:r>
        <w:t xml:space="preserve">Falsification analysis</w:t>
      </w:r>
    </w:p>
    <w:p>
      <w:pPr>
        <w:pStyle w:val="FirstParagraph"/>
      </w:pPr>
      <w:r>
        <w:t xml:space="preserve">Every result above was produced by investigators who wanted the tool to work. To counter that, each</w:t>
      </w:r>
      <w:r>
        <w:t xml:space="preserve"> </w:t>
      </w:r>
      <w:r>
        <w:t xml:space="preserve">central claim was restated so that it could fail and paired with a null model able to produce the</w:t>
      </w:r>
      <w:r>
        <w:t xml:space="preserve"> </w:t>
      </w:r>
      <w:r>
        <w:t xml:space="preserve">same apparent success by accident. Where predictive power was at issue, scoring used scaffold</w:t>
      </w:r>
      <w:r>
        <w:t xml:space="preserve"> </w:t>
      </w:r>
      <w:r>
        <w:t xml:space="preserve">hold-out models that never saw the compounds they scored. The analysis is versioned separately from</w:t>
      </w:r>
      <w:r>
        <w:t xml:space="preserve"> </w:t>
      </w:r>
      <w:r>
        <w:t xml:space="preserve">the validation results so that a refutation can never be mistaken for a confirmation (Table 7).</w:t>
      </w:r>
    </w:p>
    <w:p>
      <w:pPr>
        <w:pStyle w:val="BodyText"/>
      </w:pPr>
      <w:r>
        <w:rPr>
          <w:b/>
          <w:bCs/>
        </w:rPr>
        <w:t xml:space="preserve">The disease layer carries information.</w:t>
      </w:r>
      <w:r>
        <w:t xml:space="preserve"> </w:t>
      </w:r>
      <w:r>
        <w:t xml:space="preserve">Across held-out compounds the correct condition appears in</w:t>
      </w:r>
      <w:r>
        <w:t xml:space="preserve"> </w:t>
      </w:r>
      <w:r>
        <w:t xml:space="preserve">the top three predictions for 80.5% of cases, against 18.8% for a null that shuffles which disease</w:t>
      </w:r>
      <w:r>
        <w:t xml:space="preserve"> </w:t>
      </w:r>
      <w:r>
        <w:t xml:space="preserve">each target maps to (p = 0.005) and 48.2% for always answering with the three commonest conditions.</w:t>
      </w:r>
    </w:p>
    <w:p>
      <w:pPr>
        <w:pStyle w:val="BodyText"/>
      </w:pPr>
      <w:r>
        <w:rPr>
          <w:b/>
          <w:bCs/>
        </w:rPr>
        <w:t xml:space="preserve">The curated edge weights do not.</w:t>
      </w:r>
      <w:r>
        <w:t xml:space="preserve"> </w:t>
      </w:r>
      <w:r>
        <w:t xml:space="preserve">Recomputing the same predictions with uniform weights gives</w:t>
      </w:r>
      <w:r>
        <w:t xml:space="preserve"> </w:t>
      </w:r>
      <w:r>
        <w:t xml:space="preserve">0.8036 and with weights randomly permuted across edges 0.8025, against 0.8045 for the curated values,</w:t>
      </w:r>
      <w:r>
        <w:t xml:space="preserve"> </w:t>
      </w:r>
      <w:r>
        <w:t xml:space="preserve">a spread of 0.002. The ablation was repeated after the graph gained two conditions and three targets,</w:t>
      </w:r>
      <w:r>
        <w:t xml:space="preserve"> </w:t>
      </w:r>
      <w:r>
        <w:t xml:space="preserve">with new curated weights written for each, and the conclusion did not move. The information lies in which target connects to which condition, not in how</w:t>
      </w:r>
      <w:r>
        <w:t xml:space="preserve"> </w:t>
      </w:r>
      <w:r>
        <w:t xml:space="preserve">strongly. The weights are therefore described in this manuscript as a mechanistic prior and as graph</w:t>
      </w:r>
      <w:r>
        <w:t xml:space="preserve"> </w:t>
      </w:r>
      <w:r>
        <w:t xml:space="preserve">structure, not as tuned parameters, and the graph would be no less accurate without them.</w:t>
      </w:r>
    </w:p>
    <w:p>
      <w:pPr>
        <w:pStyle w:val="BodyText"/>
      </w:pPr>
      <w:r>
        <w:rPr>
          <w:b/>
          <w:bCs/>
        </w:rPr>
        <w:t xml:space="preserve">Blood-brain-barrier gating is a filter, not a discriminator.</w:t>
      </w:r>
      <w:r>
        <w:t xml:space="preserve"> </w:t>
      </w:r>
      <w:r>
        <w:t xml:space="preserve">The gate multiplies every condition</w:t>
      </w:r>
      <w:r>
        <w:t xml:space="preserve"> </w:t>
      </w:r>
      <w:r>
        <w:t xml:space="preserve">by the same probability and therefore cannot change which condition ranks first. It determines</w:t>
      </w:r>
      <w:r>
        <w:t xml:space="preserve"> </w:t>
      </w:r>
      <w:r>
        <w:t xml:space="preserve">whether anything is reported at all. Earlier wording implying that it sharpens the disease call</w:t>
      </w:r>
      <w:r>
        <w:t xml:space="preserve"> </w:t>
      </w:r>
      <w:r>
        <w:t xml:space="preserve">overstated its role and has been corrected throughout.</w:t>
      </w:r>
    </w:p>
    <w:p>
      <w:pPr>
        <w:pStyle w:val="BodyText"/>
      </w:pPr>
      <w:r>
        <w:rPr>
          <w:b/>
          <w:bCs/>
        </w:rPr>
        <w:t xml:space="preserve">Specificity transfers to distant chemistry.</w:t>
      </w:r>
      <w:r>
        <w:t xml:space="preserve"> </w:t>
      </w:r>
      <w:r>
        <w:t xml:space="preserve">On compounds drawn by random PubChem identifier,</w:t>
      </w:r>
      <w:r>
        <w:t xml:space="preserve"> </w:t>
      </w:r>
      <w:r>
        <w:t xml:space="preserve">independent of every set used to build the tool, the false-positive rate is 0.051 among those most</w:t>
      </w:r>
      <w:r>
        <w:t xml:space="preserve"> </w:t>
      </w:r>
      <w:r>
        <w:t xml:space="preserve">distant from training chemistry, against 0.125 measured on library compounds. The suspicion that the</w:t>
      </w:r>
      <w:r>
        <w:t xml:space="preserve"> </w:t>
      </w:r>
      <w:r>
        <w:t xml:space="preserve">headline specificity was an artefact of range restriction is refuted.</w:t>
      </w:r>
    </w:p>
    <w:p>
      <w:pPr>
        <w:pStyle w:val="BodyText"/>
      </w:pPr>
      <w:r>
        <w:rPr>
          <w:b/>
          <w:bCs/>
        </w:rPr>
        <w:t xml:space="preserve">Read-across is validated only in its intended regime.</w:t>
      </w:r>
      <w:r>
        <w:t xml:space="preserve"> </w:t>
      </w:r>
      <w:r>
        <w:t xml:space="preserve">It recovers the true target for 97.0% of</w:t>
      </w:r>
      <w:r>
        <w:t xml:space="preserve"> </w:t>
      </w:r>
      <w:r>
        <w:t xml:space="preserve">held-out compounds against 6.0% for a frequency baseline, with the query and any identical structure</w:t>
      </w:r>
      <w:r>
        <w:t xml:space="preserve"> </w:t>
      </w:r>
      <w:r>
        <w:t xml:space="preserve">excluded. This does not show that read-across works for a target class the index does not contain,</w:t>
      </w:r>
      <w:r>
        <w:t xml:space="preserve"> </w:t>
      </w:r>
      <w:r>
        <w:t xml:space="preserve">and the figure is not quoted as if it did.</w:t>
      </w:r>
    </w:p>
    <w:bookmarkEnd w:id="36"/>
    <w:bookmarkStart w:id="37" w:name="validation-against-clinical-indications"/>
    <w:p>
      <w:pPr>
        <w:pStyle w:val="Heading3"/>
      </w:pPr>
      <w:r>
        <w:t xml:space="preserve">Validation against clinical indications</w:t>
      </w:r>
    </w:p>
    <w:p>
      <w:pPr>
        <w:pStyle w:val="FirstParagraph"/>
      </w:pPr>
      <w:r>
        <w:t xml:space="preserve">The preceding test asks whether the disease layer recovers the condition a compound’s target maps to</w:t>
      </w:r>
      <w:r>
        <w:t xml:space="preserve"> </w:t>
      </w:r>
      <w:r>
        <w:t xml:space="preserve">under this project’s own map, which establishes internal consistency rather than external truth. A</w:t>
      </w:r>
      <w:r>
        <w:t xml:space="preserve"> </w:t>
      </w:r>
      <w:r>
        <w:t xml:space="preserve">stronger test uses ChEMBL’s drug_indication table restricted to phase 4, mapped to the panel through</w:t>
      </w:r>
      <w:r>
        <w:t xml:space="preserve"> </w:t>
      </w:r>
      <w:r>
        <w:t xml:space="preserve">a keyword list fixed before any prediction was computed and deliberately narrow, so that an unmatched</w:t>
      </w:r>
      <w:r>
        <w:t xml:space="preserve"> </w:t>
      </w:r>
      <w:r>
        <w:t xml:space="preserve">heading is discarded rather than coerced. Auditing that mapping rather than trusting it caught</w:t>
      </w:r>
      <w:r>
        <w:t xml:space="preserve"> </w:t>
      </w:r>
      <w:r>
        <w:t xml:space="preserve">Wolff-Parkinson-White syndrome, a cardiac condition, matching the substring</w:t>
      </w:r>
      <w:r>
        <w:t xml:space="preserve"> </w:t>
      </w:r>
      <w:r>
        <w:t xml:space="preserve">“parkinson”</w:t>
      </w:r>
      <w:r>
        <w:t xml:space="preserve">; it was</w:t>
      </w:r>
      <w:r>
        <w:t xml:space="preserve"> </w:t>
      </w:r>
      <w:r>
        <w:t xml:space="preserve">excluded.</w:t>
      </w:r>
    </w:p>
    <w:p>
      <w:pPr>
        <w:pStyle w:val="BodyText"/>
      </w:pPr>
      <w:r>
        <w:t xml:space="preserve">On 467 drugs the top-3 accuracy is 0.379. On the 162 whose exact structure appears nowhere in the</w:t>
      </w:r>
      <w:r>
        <w:t xml:space="preserve"> </w:t>
      </w:r>
      <w:r>
        <w:t xml:space="preserve">training chemistry it is 0.352, statistically indistinguishable from the 0.387 achieved on structures</w:t>
      </w:r>
      <w:r>
        <w:t xml:space="preserve"> </w:t>
      </w:r>
      <w:r>
        <w:t xml:space="preserve">the models have seen, which establishes that the result is prediction rather than memorisation. Both</w:t>
      </w:r>
      <w:r>
        <w:t xml:space="preserve"> </w:t>
      </w:r>
      <w:r>
        <w:t xml:space="preserve">exceed a permutation null of 0.145 decisively (p = 0.001). Neither exceeds a frequency null of 0.654,</w:t>
      </w:r>
      <w:r>
        <w:t xml:space="preserve"> </w:t>
      </w:r>
      <w:r>
        <w:t xml:space="preserve">because chronic pain, depression and psychosis account for most approved central-nervous-system</w:t>
      </w:r>
      <w:r>
        <w:t xml:space="preserve"> </w:t>
      </w:r>
      <w:r>
        <w:t xml:space="preserve">indications and a constant answer naming those three is right about two-thirds of the time. That</w:t>
      </w:r>
      <w:r>
        <w:t xml:space="preserve"> </w:t>
      </w:r>
      <w:r>
        <w:t xml:space="preserve">constant answer carries no information about any individual compound, but it is a real bar and the</w:t>
      </w:r>
      <w:r>
        <w:t xml:space="preserve"> </w:t>
      </w:r>
      <w:r>
        <w:t xml:space="preserve">tool does not clear it on this metric. Removing the reporting threshold and judging the ranking alone</w:t>
      </w:r>
      <w:r>
        <w:t xml:space="preserve"> </w:t>
      </w:r>
      <w:r>
        <w:t xml:space="preserve">raises accuracy to 0.497, which locates much of the gap in the decision to stay silent rather than in</w:t>
      </w:r>
      <w:r>
        <w:t xml:space="preserve"> </w:t>
      </w:r>
      <w:r>
        <w:t xml:space="preserve">the ranking itself. Per-indication recovery is reported in full (Table 8) because the aggregate</w:t>
      </w:r>
      <w:r>
        <w:t xml:space="preserve"> </w:t>
      </w:r>
      <w:r>
        <w:t xml:space="preserve">conceals a wide spread, from 0.644 for psychosis to 0.103 for epilepsy.</w:t>
      </w:r>
    </w:p>
    <w:bookmarkEnd w:id="37"/>
    <w:bookmarkStart w:id="38" w:name="X34715ae1b4c1228dc33d52a94dc00f7d217f596"/>
    <w:p>
      <w:pPr>
        <w:pStyle w:val="Heading3"/>
      </w:pPr>
      <w:r>
        <w:t xml:space="preserve">Deployed specificity and the withdrawal of an endpoint</w:t>
      </w:r>
    </w:p>
    <w:p>
      <w:pPr>
        <w:pStyle w:val="FirstParagraph"/>
      </w:pPr>
      <w:r>
        <w:t xml:space="preserve">Two gaps in the evidence above motivated a further test. The background-specificity calibration bounds</w:t>
      </w:r>
      <w:r>
        <w:t xml:space="preserve"> </w:t>
      </w:r>
      <w:r>
        <w:t xml:space="preserve">the false-positive rate on a random sample of the measured training library, which is drug-like</w:t>
      </w:r>
      <w:r>
        <w:t xml:space="preserve"> </w:t>
      </w:r>
      <w:r>
        <w:t xml:space="preserve">medicinal chemistry and therefore a weak negative set; a model can pass it and still fire on a sugar.</w:t>
      </w:r>
      <w:r>
        <w:t xml:space="preserve"> </w:t>
      </w:r>
      <w:r>
        <w:t xml:space="preserve">The scaffold hold-out analysis used genuinely random structures but scored the hold-out twins rather</w:t>
      </w:r>
      <w:r>
        <w:t xml:space="preserve"> </w:t>
      </w:r>
      <w:r>
        <w:t xml:space="preserve">than the models the server delivers. Every deployed binder model was therefore scored at its deployed</w:t>
      </w:r>
      <w:r>
        <w:t xml:space="preserve"> </w:t>
      </w:r>
      <w:r>
        <w:t xml:space="preserve">threshold against 600 random PubChem structures and against molecules no central-nervous-system</w:t>
      </w:r>
      <w:r>
        <w:t xml:space="preserve"> </w:t>
      </w:r>
      <w:r>
        <w:t xml:space="preserve">target plausibly binds.</w:t>
      </w:r>
    </w:p>
    <w:p>
      <w:pPr>
        <w:pStyle w:val="BodyText"/>
      </w:pPr>
      <w:r>
        <w:t xml:space="preserve">The median false-positive rate across the deployed panel is 0.0017. Four endpoints failed. Nav1.1</w:t>
      </w:r>
      <w:r>
        <w:t xml:space="preserve"> </w:t>
      </w:r>
      <w:r>
        <w:t xml:space="preserve">assigned binder probabilities of 0.806 to glucose, 0.809 to urea, 0.802 to acetate and 0.816 to</w:t>
      </w:r>
      <w:r>
        <w:t xml:space="preserve"> </w:t>
      </w:r>
      <w:r>
        <w:t xml:space="preserve">glycine against a threshold of 0.796, at an overall false-positive rate of 0.098 on random chemistry.</w:t>
      </w:r>
      <w:r>
        <w:t xml:space="preserve"> </w:t>
      </w:r>
      <w:r>
        <w:t xml:space="preserve">The failure is not one of calibration: every trivial control lies within a band of 0.015, and the</w:t>
      </w:r>
      <w:r>
        <w:t xml:space="preserve"> </w:t>
      </w:r>
      <w:r>
        <w:t xml:space="preserve">threshold that would restore 5% specificity still calls glycine a binder. This compressed-probability</w:t>
      </w:r>
      <w:r>
        <w:t xml:space="preserve"> </w:t>
      </w:r>
      <w:r>
        <w:t xml:space="preserve">pathology also explains that endpoint’s deployed sensitivity of 0.32 and its provenance, 78% of</w:t>
      </w:r>
      <w:r>
        <w:t xml:space="preserve"> </w:t>
      </w:r>
      <w:r>
        <w:t xml:space="preserve">measurements from a single assay. Nav1.1 was withdrawn from the panel. Cav3.2 was rejected before</w:t>
      </w:r>
      <w:r>
        <w:t xml:space="preserve"> </w:t>
      </w:r>
      <w:r>
        <w:t xml:space="preserve">deployment for the same pathology inverted, its calibrated threshold falling to 0.065 while atenolol</w:t>
      </w:r>
      <w:r>
        <w:t xml:space="preserve"> </w:t>
      </w:r>
      <w:r>
        <w:t xml:space="preserve">scored 0.084. SIRT1 and alpha3beta4 were re-thresholded at negligible cost to sensitivity. After</w:t>
      </w:r>
      <w:r>
        <w:t xml:space="preserve"> </w:t>
      </w:r>
      <w:r>
        <w:t xml:space="preserve">these decisions every deployed endpoint holds below 5% on random chemistry and none fires on a</w:t>
      </w:r>
      <w:r>
        <w:t xml:space="preserve"> </w:t>
      </w:r>
      <w:r>
        <w:t xml:space="preserve">trivial molecule.</w:t>
      </w:r>
    </w:p>
    <w:bookmarkEnd w:id="38"/>
    <w:bookmarkStart w:id="39" w:name="X7c33d6add72f0d989c9714e22141c8d0c51ebcb"/>
    <w:p>
      <w:pPr>
        <w:pStyle w:val="Heading3"/>
      </w:pPr>
      <w:r>
        <w:t xml:space="preserve">Targeted expansion, and a limit that more targets cannot remove</w:t>
      </w:r>
    </w:p>
    <w:p>
      <w:pPr>
        <w:pStyle w:val="FirstParagraph"/>
      </w:pPr>
      <w:r>
        <w:t xml:space="preserve">Because the clinical-indication test identified epilepsy and chronic pain as the conditions served</w:t>
      </w:r>
      <w:r>
        <w:t xml:space="preserve"> </w:t>
      </w:r>
      <w:r>
        <w:t xml:space="preserve">worst, ChEMBL was queried systematically for the mechanisms those conditions require. Six cleared</w:t>
      </w:r>
      <w:r>
        <w:t xml:space="preserve"> </w:t>
      </w:r>
      <w:r>
        <w:t xml:space="preserve">both a volume bar of 800 measured activities and a source-diversity bar; four survived audit and</w:t>
      </w:r>
      <w:r>
        <w:t xml:space="preserve"> </w:t>
      </w:r>
      <w:r>
        <w:t xml:space="preserve">training and are deployed: alpha4beta2 and alpha3beta4 nicotinic receptors, Nav1.6 and Nav1.8</w:t>
      </w:r>
      <w:r>
        <w:t xml:space="preserve"> </w:t>
      </w:r>
      <w:r>
        <w:t xml:space="preserve">(Table 9). Nicotine and varenicline, previously invisible to the tool, now register their known</w:t>
      </w:r>
      <w:r>
        <w:t xml:space="preserve"> </w:t>
      </w:r>
      <w:r>
        <w:t xml:space="preserve">nicotinic engagement, and recovery of approved indications for addiction rose from 0.412 to 0.529.</w:t>
      </w:r>
    </w:p>
    <w:p>
      <w:pPr>
        <w:pStyle w:val="BodyText"/>
      </w:pPr>
      <w:r>
        <w:t xml:space="preserve">Epilepsy did not improve, and the reason is instructive. In ChEMBL’s own measurements carbamazepine</w:t>
      </w:r>
      <w:r>
        <w:t xml:space="preserve"> </w:t>
      </w:r>
      <w:r>
        <w:t xml:space="preserve">scores pChEMBL 4.49 at Nav1.7 and lamotrigine 4.77, both labelled inactive; mexiletine reaches 4.93</w:t>
      </w:r>
      <w:r>
        <w:t xml:space="preserve"> </w:t>
      </w:r>
      <w:r>
        <w:t xml:space="preserve">and lacosamide 6.74, below the binder threshold of 7. The classic antiepileptic drugs are not</w:t>
      </w:r>
      <w:r>
        <w:t xml:space="preserve"> </w:t>
      </w:r>
      <w:r>
        <w:t xml:space="preserve">high-affinity sodium-channel ligands; they are use-dependent, state-dependent blockers acting at tens</w:t>
      </w:r>
      <w:r>
        <w:t xml:space="preserve"> </w:t>
      </w:r>
      <w:r>
        <w:t xml:space="preserve">of micromolar. Silence on carbamazepine is therefore the correct response to the measured data, and</w:t>
      </w:r>
      <w:r>
        <w:t xml:space="preserve"> </w:t>
      </w:r>
      <w:r>
        <w:t xml:space="preserve">no binding-affinity endpoint will recognise that pharmacological class. The epilepsy gap is a</w:t>
      </w:r>
      <w:r>
        <w:t xml:space="preserve"> </w:t>
      </w:r>
      <w:r>
        <w:t xml:space="preserve">mismatch between what the panel measures and how a class of drugs works, not a missing target, and it</w:t>
      </w:r>
      <w:r>
        <w:t xml:space="preserve"> </w:t>
      </w:r>
      <w:r>
        <w:t xml:space="preserve">is reported as such rather than as a coverage deficiency that further expansion would close.</w:t>
      </w:r>
    </w:p>
    <w:p>
      <w:pPr>
        <w:pStyle w:val="BodyText"/>
      </w:pPr>
      <w:r>
        <w:t xml:space="preserve">A related caution emerged from calibrating the new endpoints. Nav1.6 ranks its held-out actives</w:t>
      </w:r>
      <w:r>
        <w:t xml:space="preserve"> </w:t>
      </w:r>
      <w:r>
        <w:t xml:space="preserve">against random chemistry at an AUROC of 0.997 with a false-positive rate of 0.000, which appears to</w:t>
      </w:r>
      <w:r>
        <w:t xml:space="preserve"> </w:t>
      </w:r>
      <w:r>
        <w:t xml:space="preserve">license relaxing its threshold of 0.9605 and would raise sensitivity from 0.591 to 0.989. Tested</w:t>
      </w:r>
      <w:r>
        <w:t xml:space="preserve"> </w:t>
      </w:r>
      <w:r>
        <w:t xml:space="preserve">against hard negatives the proposal fails: compounds assayed against Nav1.6 and found inactive carry</w:t>
      </w:r>
      <w:r>
        <w:t xml:space="preserve"> </w:t>
      </w:r>
      <w:r>
        <w:t xml:space="preserve">a median probability of 0.532 and a 90th percentile of 0.951, overlapping a binder distribution whose</w:t>
      </w:r>
      <w:r>
        <w:t xml:space="preserve"> </w:t>
      </w:r>
      <w:r>
        <w:t xml:space="preserve">10th percentile is 0.907, and the relaxed threshold would call 73% of tested-inactive compounds</w:t>
      </w:r>
      <w:r>
        <w:t xml:space="preserve"> </w:t>
      </w:r>
      <w:r>
        <w:t xml:space="preserve">binders. A low false-positive rate on unrelated chemistry does not license a lower threshold, and</w:t>
      </w:r>
      <w:r>
        <w:t xml:space="preserve"> </w:t>
      </w:r>
      <w:r>
        <w:t xml:space="preserve">discrimination against random chemistry can be near-perfect while discrimination against the chemistry</w:t>
      </w:r>
      <w:r>
        <w:t xml:space="preserve"> </w:t>
      </w:r>
      <w:r>
        <w:t xml:space="preserve">that matters is poor. The dual constraint, measured inactives and background together, performs work</w:t>
      </w:r>
      <w:r>
        <w:t xml:space="preserve"> </w:t>
      </w:r>
      <w:r>
        <w:t xml:space="preserve">that neither term performs alone.</w:t>
      </w:r>
    </w:p>
    <w:bookmarkEnd w:id="39"/>
    <w:bookmarkStart w:id="40" w:name="X3c36f6fb1f532564cf71caf6752c60e3011071f"/>
    <w:p>
      <w:pPr>
        <w:pStyle w:val="Heading3"/>
      </w:pPr>
      <w:r>
        <w:t xml:space="preserve">Panel redundancy: how many independent mechanisms does an engaged compound show?</w:t>
      </w:r>
    </w:p>
    <w:p>
      <w:pPr>
        <w:pStyle w:val="FirstParagraph"/>
      </w:pPr>
      <w:r>
        <w:t xml:space="preserve">A panel that reports the number of engaged targets invites the reading that three engaged targets are</w:t>
      </w:r>
      <w:r>
        <w:t xml:space="preserve"> </w:t>
      </w:r>
      <w:r>
        <w:t xml:space="preserve">three independent pieces of evidence. For homologous proteins that reading is wrong, and the</w:t>
      </w:r>
      <w:r>
        <w:t xml:space="preserve"> </w:t>
      </w:r>
      <w:r>
        <w:t xml:space="preserve">magnitude of the error was measured rather than assumed. Across 400 approved drugs, dopamine D2 and</w:t>
      </w:r>
      <w:r>
        <w:t xml:space="preserve"> </w:t>
      </w:r>
      <w:r>
        <w:t xml:space="preserve">D3 fire together with a phi correlation of 0.813, and D3 fires for 78% of compounds engaging D2; the</w:t>
      </w:r>
      <w:r>
        <w:t xml:space="preserve"> </w:t>
      </w:r>
      <w:r>
        <w:t xml:space="preserve">mu and kappa opioid receptors correlate at 0.791, 5-HT2A and 5-HT7 at 0.699, and the dopamine and</w:t>
      </w:r>
      <w:r>
        <w:t xml:space="preserve"> </w:t>
      </w:r>
      <w:r>
        <w:t xml:space="preserve">noradrenaline transporters at 0.642, with the noradrenaline transporter firing for 84% of compounds</w:t>
      </w:r>
      <w:r>
        <w:t xml:space="preserve"> </w:t>
      </w:r>
      <w:r>
        <w:t xml:space="preserve">engaging the dopamine transporter. Of 52 targets, 36 fire at least once on that set, but a</w:t>
      </w:r>
      <w:r>
        <w:t xml:space="preserve"> </w:t>
      </w:r>
      <w:r>
        <w:t xml:space="preserve">correlation analysis of the firing pattern resolves only 14 independent directions. A raw count</w:t>
      </w:r>
      <w:r>
        <w:t xml:space="preserve"> </w:t>
      </w:r>
      <w:r>
        <w:t xml:space="preserve">therefore overstates the evidence by roughly a factor of two and a half.</w:t>
      </w:r>
    </w:p>
    <w:p>
      <w:pPr>
        <w:pStyle w:val="BodyText"/>
      </w:pPr>
      <w:r>
        <w:t xml:space="preserve">Co-firing is not itself an error. A genuinely promiscuous ligand should engage both members of a</w:t>
      </w:r>
      <w:r>
        <w:t xml:space="preserve"> </w:t>
      </w:r>
      <w:r>
        <w:t xml:space="preserve">homologous pair, and that is a true fact about the compound. Presenting it as corroboration is the</w:t>
      </w:r>
      <w:r>
        <w:t xml:space="preserve"> </w:t>
      </w:r>
      <w:r>
        <w:t xml:space="preserve">error. The server therefore groups engaged targets into six homology families, reports the number of</w:t>
      </w:r>
      <w:r>
        <w:t xml:space="preserve"> </w:t>
      </w:r>
      <w:r>
        <w:t xml:space="preserve">independent mechanisms alongside the number of targets, and states the measured correlation wherever</w:t>
      </w:r>
      <w:r>
        <w:t xml:space="preserve"> </w:t>
      </w:r>
      <w:r>
        <w:t xml:space="preserve">two members of a family both fire. Haloperidol, for example, is reported as five engaged targets but</w:t>
      </w:r>
      <w:r>
        <w:t xml:space="preserve"> </w:t>
      </w:r>
      <w:r>
        <w:t xml:space="preserve">approximately three independent mechanisms, with dopamine D2 and D3 and the two serotonin receptors</w:t>
      </w:r>
      <w:r>
        <w:t xml:space="preserve"> </w:t>
      </w:r>
      <w:r>
        <w:t xml:space="preserve">each labelled with their correlation. The correction propagates to the batch table and to both</w:t>
      </w:r>
      <w:r>
        <w:t xml:space="preserve"> </w:t>
      </w:r>
      <w:r>
        <w:t xml:space="preserve">machine-readable exports, so a stored result cannot be read as better corroborated than it is. The</w:t>
      </w:r>
      <w:r>
        <w:t xml:space="preserve"> </w:t>
      </w:r>
      <w:r>
        <w:t xml:space="preserve">nicotinic endpoints added in the targeted expansion are the least correlated family measured, at</w:t>
      </w:r>
      <w:r>
        <w:t xml:space="preserve"> </w:t>
      </w:r>
      <w:r>
        <w:t xml:space="preserve">0.35, so that expansion contributed more independent information than the panel average.</w:t>
      </w:r>
    </w:p>
    <w:p>
      <w:pPr>
        <w:pStyle w:val="BodyText"/>
      </w:pPr>
      <w:r>
        <w:t xml:space="preserve">The same analysis corrected an error in its own first formulation, which is recorded because it</w:t>
      </w:r>
      <w:r>
        <w:t xml:space="preserve"> </w:t>
      </w:r>
      <w:r>
        <w:t xml:space="preserve">bears on how such rates should be reported. Defining engagement as any positive target signal gave an</w:t>
      </w:r>
      <w:r>
        <w:t xml:space="preserve"> </w:t>
      </w:r>
      <w:r>
        <w:t xml:space="preserve">apparent rate of 60% of random compounds engaging at least one target. That figure is an artefact of</w:t>
      </w:r>
      <w:r>
        <w:t xml:space="preserve"> </w:t>
      </w:r>
      <w:r>
        <w:t xml:space="preserve">the definition rather than a property of the server: the six base-rate-enrichment endpoints return a</w:t>
      </w:r>
      <w:r>
        <w:t xml:space="preserve"> </w:t>
      </w:r>
      <w:r>
        <w:t xml:space="preserve">positive signal whenever the predicted probability merely exceeds the training base rate, which</w:t>
      </w:r>
      <w:r>
        <w:t xml:space="preserve"> </w:t>
      </w:r>
      <w:r>
        <w:t xml:space="preserve">occurs for about 12% of random compounds at each endpoint, whereas the 43 binder endpoints require a</w:t>
      </w:r>
      <w:r>
        <w:t xml:space="preserve"> </w:t>
      </w:r>
      <w:r>
        <w:t xml:space="preserve">calibrated threshold to be crossed and fire for about 0.6%. Pooling the two counts an ordinary</w:t>
      </w:r>
      <w:r>
        <w:t xml:space="preserve"> </w:t>
      </w:r>
      <w:r>
        <w:t xml:space="preserve">above-average probability as an event. The quantity that reaches the user is whether any condition</w:t>
      </w:r>
      <w:r>
        <w:t xml:space="preserve"> </w:t>
      </w:r>
      <w:r>
        <w:t xml:space="preserve">crosses the reporting threshold, which occurs for 11.5% of 600 random structures, against 55.8% of</w:t>
      </w:r>
      <w:r>
        <w:t xml:space="preserve"> </w:t>
      </w:r>
      <w:r>
        <w:t xml:space="preserve">approved drugs. That rate sits close to the 12.5% measured on library compounds and above the 5.1%</w:t>
      </w:r>
      <w:r>
        <w:t xml:space="preserve"> </w:t>
      </w:r>
      <w:r>
        <w:t xml:space="preserve">measured on chemistry most distant from training, as expected for a sample drawn without regard to</w:t>
      </w:r>
      <w:r>
        <w:t xml:space="preserve"> </w:t>
      </w:r>
      <w:r>
        <w:t xml:space="preserve">similarity. Correlation among the endpoints slightly reduces rather than inflates the aggregate: at</w:t>
      </w:r>
      <w:r>
        <w:t xml:space="preserve"> </w:t>
      </w:r>
      <w:r>
        <w:t xml:space="preserve">least one binder endpoint fires for 22.2% of random structures, against 23.9% for a hypothetical</w:t>
      </w:r>
      <w:r>
        <w:t xml:space="preserve"> </w:t>
      </w:r>
      <w:r>
        <w:t xml:space="preserve">panel with the same per-endpoint rates firing independently.</w:t>
      </w:r>
    </w:p>
    <w:bookmarkEnd w:id="40"/>
    <w:bookmarkStart w:id="41" w:name="Xdcac56b53f0fa722f3634b470613e205a06779d"/>
    <w:p>
      <w:pPr>
        <w:pStyle w:val="Heading3"/>
      </w:pPr>
      <w:r>
        <w:t xml:space="preserve">Two conditions opened, and a gating rule corrected</w:t>
      </w:r>
    </w:p>
    <w:p>
      <w:pPr>
        <w:pStyle w:val="FirstParagraph"/>
      </w:pPr>
      <w:r>
        <w:t xml:space="preserve">The coverage audit distinguished conditions absent for want of data from conditions absent for want</w:t>
      </w:r>
      <w:r>
        <w:t xml:space="preserve"> </w:t>
      </w:r>
      <w:r>
        <w:t xml:space="preserve">of an endpoint, and found two of the latter. The calcitonin-gene-related-peptide receptor (1,578</w:t>
      </w:r>
      <w:r>
        <w:t xml:space="preserve"> </w:t>
      </w:r>
      <w:r>
        <w:t xml:space="preserve">measured activities across 26 sources) and dihydroorotate dehydrogenase (2,558 across 55) were added,</w:t>
      </w:r>
      <w:r>
        <w:t xml:space="preserve"> </w:t>
      </w:r>
      <w:r>
        <w:t xml:space="preserve">bringing migraine and multiple sclerosis into the panel and taking it to 52 targets across sixteen</w:t>
      </w:r>
      <w:r>
        <w:t xml:space="preserve"> </w:t>
      </w:r>
      <w:r>
        <w:t xml:space="preserve">conditions. Amyotrophic lateral sclerosis was already scored but through seven mechanisms shared with</w:t>
      </w:r>
      <w:r>
        <w:t xml:space="preserve"> </w:t>
      </w:r>
      <w:r>
        <w:t xml:space="preserve">other conditions and none specific to it; RIPK1-mediated necroptosis (5,291 activities across 55</w:t>
      </w:r>
      <w:r>
        <w:t xml:space="preserve"> </w:t>
      </w:r>
      <w:r>
        <w:t xml:space="preserve">sources) was added to close that, and it also contributes to multiple sclerosis, where its inhibitors</w:t>
      </w:r>
      <w:r>
        <w:t xml:space="preserve"> </w:t>
      </w:r>
      <w:r>
        <w:t xml:space="preserve">are likewise in trial. Two further ALS candidates were rejected on data rather than judgement: SARM1</w:t>
      </w:r>
      <w:r>
        <w:t xml:space="preserve"> </w:t>
      </w:r>
      <w:r>
        <w:t xml:space="preserve">has 85 measured activities from 3 sources and KCNQ2 has 103 from 12.</w:t>
      </w:r>
    </w:p>
    <w:p>
      <w:pPr>
        <w:pStyle w:val="BodyText"/>
      </w:pPr>
      <w:r>
        <w:t xml:space="preserve">Prospectively, on compounds sharing no scaffold with anything their models saw, the CGRP endpoint</w:t>
      </w:r>
      <w:r>
        <w:t xml:space="preserve"> </w:t>
      </w:r>
      <w:r>
        <w:t xml:space="preserve">reaches an AUROC of 1.000 at a sensitivity of 0.993 and RIPK1 an AUROC of 0.995 at 0.950, both with a</w:t>
      </w:r>
      <w:r>
        <w:t xml:space="preserve"> </w:t>
      </w:r>
      <w:r>
        <w:t xml:space="preserve">false-positive rate of 0.000 on random chemistry. DHODH ranks at 0.989 but fires for only 0.330 of</w:t>
      </w:r>
      <w:r>
        <w:t xml:space="preserve"> </w:t>
      </w:r>
      <w:r>
        <w:t xml:space="preserve">its held-out actives at its deployed threshold, and is reported as a low-sensitivity endpoint.</w:t>
      </w:r>
    </w:p>
    <w:p>
      <w:pPr>
        <w:pStyle w:val="BodyText"/>
      </w:pPr>
      <w:r>
        <w:t xml:space="preserve">Adding these targets exposed an error in the gating rule that had been invisible while every modelled</w:t>
      </w:r>
      <w:r>
        <w:t xml:space="preserve"> </w:t>
      </w:r>
      <w:r>
        <w:t xml:space="preserve">condition was central. The blood-brain-barrier term encodes an assumption that the target lies behind</w:t>
      </w:r>
      <w:r>
        <w:t xml:space="preserve"> </w:t>
      </w:r>
      <w:r>
        <w:t xml:space="preserve">the barrier. For these two conditions it does not. The CGRP receptor acts at the trigeminal ganglion</w:t>
      </w:r>
      <w:r>
        <w:t xml:space="preserve"> </w:t>
      </w:r>
      <w:r>
        <w:t xml:space="preserve">and dural vasculature, which are outside the barrier, and that is precisely why the gepants and the</w:t>
      </w:r>
      <w:r>
        <w:t xml:space="preserve"> </w:t>
      </w:r>
      <w:r>
        <w:t xml:space="preserve">anti-CGRP antibodies are effective without central penetration; dihydroorotate dehydrogenase</w:t>
      </w:r>
      <w:r>
        <w:t xml:space="preserve"> </w:t>
      </w:r>
      <w:r>
        <w:t xml:space="preserve">inhibition acts on proliferating peripheral lymphocytes. Applying the gate suppressed correct calls:</w:t>
      </w:r>
      <w:r>
        <w:t xml:space="preserve"> </w:t>
      </w:r>
      <w:r>
        <w:t xml:space="preserve">rimegepant engages the receptor at 0.99 and was silenced by a predicted barrier probability of 0.33.</w:t>
      </w:r>
      <w:r>
        <w:t xml:space="preserve"> </w:t>
      </w:r>
      <w:r>
        <w:t xml:space="preserve">Migraine and multiple sclerosis are therefore exempt from gating, after which all three marketed</w:t>
      </w:r>
      <w:r>
        <w:t xml:space="preserve"> </w:t>
      </w:r>
      <w:r>
        <w:t xml:space="preserve">gepants report migraine and brequinar reports multiple sclerosis, while peripheral negative controls</w:t>
      </w:r>
      <w:r>
        <w:t xml:space="preserve"> </w:t>
      </w:r>
      <w:r>
        <w:t xml:space="preserve">remain silent. RIPK1 is deliberately not exempt, its relevance being central.</w:t>
      </w:r>
    </w:p>
    <w:p>
      <w:pPr>
        <w:pStyle w:val="BodyText"/>
      </w:pPr>
      <w:r>
        <w:t xml:space="preserve">Two incidental observations support the underlying models rather than the interface. Leflunomide, an</w:t>
      </w:r>
      <w:r>
        <w:t xml:space="preserve"> </w:t>
      </w:r>
      <w:r>
        <w:t xml:space="preserve">inactive prodrug, scores 0.06 at dihydroorotate dehydrogenase while its active metabolite</w:t>
      </w:r>
      <w:r>
        <w:t xml:space="preserve"> </w:t>
      </w:r>
      <w:r>
        <w:t xml:space="preserve">teriflunomide scores 0.91, so the model separates them. And teriflunomide’s own measured affinity is</w:t>
      </w:r>
      <w:r>
        <w:t xml:space="preserve"> </w:t>
      </w:r>
      <w:r>
        <w:t xml:space="preserve">pChEMBL 6.45, below the value of 7 that defines a binder here, so declining to call it is</w:t>
      </w:r>
      <w:r>
        <w:t xml:space="preserve"> </w:t>
      </w:r>
      <w:r>
        <w:t xml:space="preserve">definitionally correct rather than a failure of sensitivity.</w:t>
      </w:r>
    </w:p>
    <w:bookmarkEnd w:id="41"/>
    <w:bookmarkStart w:id="42" w:name="X3fdd72825a9a21f899a82a8af50ae5a3275cb34"/>
    <w:p>
      <w:pPr>
        <w:pStyle w:val="Heading3"/>
      </w:pPr>
      <w:r>
        <w:t xml:space="preserve">A limitation quantified rather than asserted: state-dependent block</w:t>
      </w:r>
    </w:p>
    <w:p>
      <w:pPr>
        <w:pStyle w:val="FirstParagraph"/>
      </w:pPr>
      <w:r>
        <w:t xml:space="preserve">The inability to represent use-dependent sodium-channel blockers was stated above as a boundary. It</w:t>
      </w:r>
      <w:r>
        <w:t xml:space="preserve"> </w:t>
      </w:r>
      <w:r>
        <w:t xml:space="preserve">was then tested, because the scientifically correct quantity for that class is not the potency, which</w:t>
      </w:r>
      <w:r>
        <w:t xml:space="preserve"> </w:t>
      </w:r>
      <w:r>
        <w:t xml:space="preserve">depends on the voltage protocol and is therefore not a function of structure, but the shift in</w:t>
      </w:r>
      <w:r>
        <w:t xml:space="preserve"> </w:t>
      </w:r>
      <w:r>
        <w:t xml:space="preserve">potency between a depolarised and a hyperpolarised holding potential, which is a property of the</w:t>
      </w:r>
      <w:r>
        <w:t xml:space="preserve"> </w:t>
      </w:r>
      <w:r>
        <w:t xml:space="preserve">molecule and is what use-dependence means.</w:t>
      </w:r>
    </w:p>
    <w:p>
      <w:pPr>
        <w:pStyle w:val="BodyText"/>
      </w:pPr>
      <w:r>
        <w:t xml:space="preserve">Across five sodium-channel subtypes and 13,919 activities carrying a pChEMBL value, 2,086 report a</w:t>
      </w:r>
      <w:r>
        <w:t xml:space="preserve"> </w:t>
      </w:r>
      <w:r>
        <w:t xml:space="preserve">holding potential that can be parsed from the assay description, spread across fifteen distinct</w:t>
      </w:r>
      <w:r>
        <w:t xml:space="preserve"> </w:t>
      </w:r>
      <w:r>
        <w:t xml:space="preserve">values, and 89 compounds are measured at two or more. Against the 800 measured activities every</w:t>
      </w:r>
      <w:r>
        <w:t xml:space="preserve"> </w:t>
      </w:r>
      <w:r>
        <w:t xml:space="preserve">deployed endpoint had to clear, that is not a trainable endpoint.</w:t>
      </w:r>
    </w:p>
    <w:p>
      <w:pPr>
        <w:pStyle w:val="BodyText"/>
      </w:pPr>
      <w:r>
        <w:t xml:space="preserve">The same 89 compounds show why the question was worth asking and why pooling protocols is not an</w:t>
      </w:r>
      <w:r>
        <w:t xml:space="preserve"> </w:t>
      </w:r>
      <w:r>
        <w:t xml:space="preserve">option. The median absolute shift is 0.82 log units, the 90th percentile 1.97 and the maximum 3.19,</w:t>
      </w:r>
      <w:r>
        <w:t xml:space="preserve"> </w:t>
      </w:r>
      <w:r>
        <w:t xml:space="preserve">so a compound can appear sixfold to a thousandfold more or less potent depending only on the protocol</w:t>
      </w:r>
      <w:r>
        <w:t xml:space="preserve"> </w:t>
      </w:r>
      <w:r>
        <w:t xml:space="preserve">used to measure it. That is the same magnitude as the total error of a good regression model, which</w:t>
      </w:r>
      <w:r>
        <w:t xml:space="preserve"> </w:t>
      </w:r>
      <w:r>
        <w:t xml:space="preserve">is the quantitative form of the objection: a model trained on pooled protocols would have an error</w:t>
      </w:r>
      <w:r>
        <w:t xml:space="preserve"> </w:t>
      </w:r>
      <w:r>
        <w:t xml:space="preserve">budget consumed entirely by the experimenter’s choice of holding potential. The effect is real, it</w:t>
      </w:r>
      <w:r>
        <w:t xml:space="preserve"> </w:t>
      </w:r>
      <w:r>
        <w:t xml:space="preserve">matters clinically, and public data cannot support learning it.</w:t>
      </w:r>
    </w:p>
    <w:bookmarkEnd w:id="42"/>
    <w:bookmarkEnd w:id="43"/>
    <w:bookmarkStart w:id="44" w:name="the-brainsafe-ai-server"/>
    <w:p>
      <w:pPr>
        <w:pStyle w:val="Heading2"/>
      </w:pPr>
      <w:r>
        <w:t xml:space="preserve">The BrainSafe AI server</w:t>
      </w:r>
    </w:p>
    <w:p>
      <w:pPr>
        <w:pStyle w:val="FirstParagraph"/>
      </w:pPr>
      <w:r>
        <w:rPr>
          <w:b/>
          <w:bCs/>
        </w:rPr>
        <w:t xml:space="preserve">Input.</w:t>
      </w:r>
      <w:r>
        <w:t xml:space="preserve"> </w:t>
      </w:r>
      <w:r>
        <w:t xml:space="preserve">The user types a compound name or pastes a SMILES string. Names are resolved through</w:t>
      </w:r>
      <w:r>
        <w:t xml:space="preserve"> </w:t>
      </w:r>
      <w:r>
        <w:t xml:space="preserve">PubChem; structures are standardised with RDKit (salt stripping, largest-fragment selection).</w:t>
      </w:r>
    </w:p>
    <w:p>
      <w:pPr>
        <w:pStyle w:val="BodyText"/>
      </w:pPr>
      <w:r>
        <w:rPr>
          <w:b/>
          <w:bCs/>
        </w:rPr>
        <w:t xml:space="preserve">Output.</w:t>
      </w:r>
      <w:r>
        <w:t xml:space="preserve"> </w:t>
      </w:r>
      <w:r>
        <w:t xml:space="preserve">Results are laid out as a single scrollable report (Figure 2): a summary card with the</w:t>
      </w:r>
      <w:r>
        <w:t xml:space="preserve"> </w:t>
      </w:r>
      <w:r>
        <w:t xml:space="preserve">rendered structure, the free-brain-exposure verdict and headline metrics; the mechanistic map</w:t>
      </w:r>
      <w:r>
        <w:t xml:space="preserve"> </w:t>
      </w:r>
      <w:r>
        <w:t xml:space="preserve">(Figure 3); a brain-relevance panel giving the exposure-scaled score for each condition with its driving</w:t>
      </w:r>
      <w:r>
        <w:t xml:space="preserve"> </w:t>
      </w:r>
      <w:r>
        <w:t xml:space="preserve">mechanism; a target-engagement table reporting each calibrated probability, its base rate and a</w:t>
      </w:r>
      <w:r>
        <w:t xml:space="preserve"> </w:t>
      </w:r>
      <w:r>
        <w:t xml:space="preserve">base-rate-aware call; a receptor-binding table; an ADME table; a physicochemical profile; and an</w:t>
      </w:r>
      <w:r>
        <w:t xml:space="preserve"> </w:t>
      </w:r>
      <w:r>
        <w:t xml:space="preserve">applicability and confidence card giving global and per-endpoint domain flags with the nearest</w:t>
      </w:r>
      <w:r>
        <w:t xml:space="preserve"> </w:t>
      </w:r>
      <w:r>
        <w:t xml:space="preserve">measured analogue. An About tab documents the methods, the model-selection and validation results,</w:t>
      </w:r>
      <w:r>
        <w:t xml:space="preserve"> </w:t>
      </w:r>
      <w:r>
        <w:t xml:space="preserve">and an explicit coverage panel stating which mechanisms and diseases the tool can and cannot yet</w:t>
      </w:r>
      <w:r>
        <w:t xml:space="preserve"> </w:t>
      </w:r>
      <w:r>
        <w:t xml:space="preserve">assess, so a null result is read as an honest unknown rather than as inactivity. A target-engagement</w:t>
      </w:r>
      <w:r>
        <w:t xml:space="preserve"> </w:t>
      </w:r>
      <w:r>
        <w:t xml:space="preserve">profile plots every modelled mechanism against its own reporting threshold; because each endpoint</w:t>
      </w:r>
      <w:r>
        <w:t xml:space="preserve"> </w:t>
      </w:r>
      <w:r>
        <w:t xml:space="preserve">carries a different base rate and a different cut, raw probabilities are not comparable between</w:t>
      </w:r>
      <w:r>
        <w:t xml:space="preserve"> </w:t>
      </w:r>
      <w:r>
        <w:t xml:space="preserve">endpoints, and what is plotted is the distance above each threshold, which is the quantity the</w:t>
      </w:r>
      <w:r>
        <w:t xml:space="preserve"> </w:t>
      </w:r>
      <w:r>
        <w:t xml:space="preserve">disease layer consumes. Sub-threshold targets are shown as a percentage of their own cut, so a</w:t>
      </w:r>
      <w:r>
        <w:t xml:space="preserve"> </w:t>
      </w:r>
      <w:r>
        <w:t xml:space="preserve">compound that engages nothing still yields an interpretable figure rather than an empty panel.</w:t>
      </w:r>
    </w:p>
    <w:p>
      <w:pPr>
        <w:pStyle w:val="BodyText"/>
      </w:pPr>
      <w:r>
        <w:t xml:space="preserve">Where the server reports nothing, it states the two reasons a null result can arise: the compound may</w:t>
      </w:r>
      <w:r>
        <w:t xml:space="preserve"> </w:t>
      </w:r>
      <w:r>
        <w:t xml:space="preserve">act through a mechanism outside the panel, or through a modelled target but below its reporting</w:t>
      </w:r>
      <w:r>
        <w:t xml:space="preserve"> </w:t>
      </w:r>
      <w:r>
        <w:t xml:space="preserve">threshold. The second is quantified for the user, since thresholds are set for precision, holding the</w:t>
      </w:r>
      <w:r>
        <w:t xml:space="preserve"> </w:t>
      </w:r>
      <w:r>
        <w:t xml:space="preserve">false-positive rate near 0.2% on random chemistry, and the measured cost is a median sensitivity of</w:t>
      </w:r>
      <w:r>
        <w:t xml:space="preserve"> </w:t>
      </w:r>
      <w:r>
        <w:t xml:space="preserve">0.77 falling to 0.26 at the strictest endpoints. Silence is not evidence of inactivity and the</w:t>
      </w:r>
      <w:r>
        <w:t xml:space="preserve"> </w:t>
      </w:r>
      <w:r>
        <w:t xml:space="preserve">interface says so with the number attached.</w:t>
      </w:r>
    </w:p>
    <w:p>
      <w:pPr>
        <w:pStyle w:val="BodyText"/>
      </w:pPr>
      <w:r>
        <w:rPr>
          <w:b/>
          <w:bCs/>
        </w:rPr>
        <w:t xml:space="preserve">Export.</w:t>
      </w:r>
      <w:r>
        <w:t xml:space="preserve"> </w:t>
      </w:r>
      <w:r>
        <w:t xml:space="preserve">Every result is downloadable in four forms generated from a single tidy table, so that</w:t>
      </w:r>
      <w:r>
        <w:t xml:space="preserve"> </w:t>
      </w:r>
      <w:r>
        <w:t xml:space="preserve">they cannot disagree with the screen or with each other: a data table with units and training context</w:t>
      </w:r>
      <w:r>
        <w:t xml:space="preserve"> </w:t>
      </w:r>
      <w:r>
        <w:t xml:space="preserve">for every endpoint; a self-contained report that inlines its figures, structure image and styling and</w:t>
      </w:r>
      <w:r>
        <w:t xml:space="preserve"> </w:t>
      </w:r>
      <w:r>
        <w:t xml:space="preserve">therefore opens offline and prints to a portable document; a structured record carrying thresholds,</w:t>
      </w:r>
      <w:r>
        <w:t xml:space="preserve"> </w:t>
      </w:r>
      <w:r>
        <w:t xml:space="preserve">screening mode, provenance and the caveats that must travel with the numbers; and the mechanistic map</w:t>
      </w:r>
      <w:r>
        <w:t xml:space="preserve"> </w:t>
      </w:r>
      <w:r>
        <w:t xml:space="preserve">as a vector figure for direct use in a manuscript.</w:t>
      </w:r>
    </w:p>
    <w:p>
      <w:pPr>
        <w:pStyle w:val="BodyText"/>
      </w:pPr>
      <w:r>
        <w:rPr>
          <w:b/>
          <w:bCs/>
        </w:rPr>
        <w:t xml:space="preserve">Batch screening.</w:t>
      </w:r>
      <w:r>
        <w:t xml:space="preserve"> </w:t>
      </w:r>
      <w:r>
        <w:t xml:space="preserve">Up to 300 compounds may be pasted or uploaded as delimited or plain text and are</w:t>
      </w:r>
      <w:r>
        <w:t xml:space="preserve"> </w:t>
      </w:r>
      <w:r>
        <w:t xml:space="preserve">returned as one row each, giving exposure, engaged mechanisms, reported conditions and</w:t>
      </w:r>
      <w:r>
        <w:t xml:space="preserve"> </w:t>
      </w:r>
      <w:r>
        <w:t xml:space="preserve">applicability-domain status, with the whole table downloadable. This is the mode intended for</w:t>
      </w:r>
      <w:r>
        <w:t xml:space="preserve"> </w:t>
      </w:r>
      <w:r>
        <w:t xml:space="preserve">prioritising a library before laboratory work is committed.</w:t>
      </w:r>
    </w:p>
    <w:p>
      <w:pPr>
        <w:pStyle w:val="BodyText"/>
      </w:pPr>
      <w:r>
        <w:rPr>
          <w:b/>
          <w:bCs/>
        </w:rPr>
        <w:t xml:space="preserve">Deployment.</w:t>
      </w:r>
      <w:r>
        <w:t xml:space="preserve"> </w:t>
      </w:r>
      <w:r>
        <w:t xml:space="preserve">The server is distributed as a container image running as an unprivileged process</w:t>
      </w:r>
      <w:r>
        <w:t xml:space="preserve"> </w:t>
      </w:r>
      <w:r>
        <w:t xml:space="preserve">with a health endpoint for orchestration. A pre-flight script verifies that every declared dependency</w:t>
      </w:r>
      <w:r>
        <w:t xml:space="preserve"> </w:t>
      </w:r>
      <w:r>
        <w:t xml:space="preserve">resolves at its pinned version, that all model artefacts load, that the knowledge graph is internally</w:t>
      </w:r>
      <w:r>
        <w:t xml:space="preserve"> </w:t>
      </w:r>
      <w:r>
        <w:t xml:space="preserve">consistent, that chemically unrelated compounds yield distinct and directionally correct profiles,</w:t>
      </w:r>
      <w:r>
        <w:t xml:space="preserve"> </w:t>
      </w:r>
      <w:r>
        <w:t xml:space="preserve">and that every export format is well formed and self-contained; it exits non-zero on any failure and</w:t>
      </w:r>
      <w:r>
        <w:t xml:space="preserve"> </w:t>
      </w:r>
      <w:r>
        <w:t xml:space="preserve">is intended to gate a release.</w:t>
      </w:r>
    </w:p>
    <w:bookmarkEnd w:id="44"/>
    <w:bookmarkStart w:id="45" w:name="discussion"/>
    <w:p>
      <w:pPr>
        <w:pStyle w:val="Heading2"/>
      </w:pPr>
      <w:r>
        <w:t xml:space="preserve">Discussion</w:t>
      </w:r>
    </w:p>
    <w:p>
      <w:pPr>
        <w:pStyle w:val="FirstParagraph"/>
      </w:pPr>
      <w:r>
        <w:t xml:space="preserve">BrainSafe AI combines BBB penetration, a broad measured-data target panel, free-brain exposure and</w:t>
      </w:r>
      <w:r>
        <w:t xml:space="preserve"> </w:t>
      </w:r>
      <w:r>
        <w:t xml:space="preserve">safety into a single calibrated, applicability-aware and mechanistically interpretable readout for</w:t>
      </w:r>
      <w:r>
        <w:t xml:space="preserve"> </w:t>
      </w:r>
      <w:r>
        <w:t xml:space="preserve">arbitrary structures. Its central design choice is honesty about uncertainty: enrichment over base rate</w:t>
      </w:r>
      <w:r>
        <w:t xml:space="preserve"> </w:t>
      </w:r>
      <w:r>
        <w:t xml:space="preserve">rather than raw probability, per-endpoint applicability domains, an explicit coverage statement, and a</w:t>
      </w:r>
      <w:r>
        <w:t xml:space="preserve"> </w:t>
      </w:r>
      <w:r>
        <w:t xml:space="preserve">variance decomposition that quantifies how far each endpoint depends on chemotype.</w:t>
      </w:r>
    </w:p>
    <w:p>
      <w:pPr>
        <w:pStyle w:val="BodyText"/>
      </w:pPr>
      <w:r>
        <w:t xml:space="preserve">The limitations are inherited from the training data and are stated plainly. The most important concerns</w:t>
      </w:r>
      <w:r>
        <w:t xml:space="preserve"> </w:t>
      </w:r>
      <w:r>
        <w:t xml:space="preserve">prospective use. Scaffold-grouped cross-validation gives a mean classifier AUROC of 0.919, but on</w:t>
      </w:r>
      <w:r>
        <w:t xml:space="preserve"> </w:t>
      </w:r>
      <w:r>
        <w:t xml:space="preserve">compounds published after the training cutoff the aggregate falls to 0.752. The analysis above shows</w:t>
      </w:r>
      <w:r>
        <w:t xml:space="preserve"> </w:t>
      </w:r>
      <w:r>
        <w:t xml:space="preserve">that this aggregate conceals two regimes: inside the applicability domain the classifiers retain 0.827</w:t>
      </w:r>
      <w:r>
        <w:t xml:space="preserve"> </w:t>
      </w:r>
      <w:r>
        <w:t xml:space="preserve">AUROC and the potency models a rank correlation of 0.56, while outside it performance is close to</w:t>
      </w:r>
      <w:r>
        <w:t xml:space="preserve"> </w:t>
      </w:r>
      <w:r>
        <w:t xml:space="preserve">chance. The practical consequence is that BrainSafe AI should be read as a reliable triage instrument</w:t>
      </w:r>
      <w:r>
        <w:t xml:space="preserve"> </w:t>
      </w:r>
      <w:r>
        <w:t xml:space="preserve">for chemistry related to measured data, and as a hypothesis generator only for novel chemotypes; the</w:t>
      </w:r>
      <w:r>
        <w:t xml:space="preserve"> </w:t>
      </w:r>
      <w:r>
        <w:t xml:space="preserve">server states which case applies for every query. Quantitative potency values remain weak priors rather</w:t>
      </w:r>
      <w:r>
        <w:t xml:space="preserve"> </w:t>
      </w:r>
      <w:r>
        <w:t xml:space="preserve">than affinity predictions, which is why the deployed receptor models are binder classifiers and the</w:t>
      </w:r>
      <w:r>
        <w:t xml:space="preserve"> </w:t>
      </w:r>
      <w:r>
        <w:t xml:space="preserve">interface shows a predicted pKi only for compounds already classified as binders. The antioxidant</w:t>
      </w:r>
      <w:r>
        <w:t xml:space="preserve"> </w:t>
      </w:r>
      <w:r>
        <w:t xml:space="preserve">regression that drives the neuroprotection axis has an in-domain prospective rank correlation of 0.59</w:t>
      </w:r>
      <w:r>
        <w:t xml:space="preserve"> </w:t>
      </w:r>
      <w:r>
        <w:t xml:space="preserve">but essentially no out-of-domain signal, so that axis is a qualitative flag outside the domain.</w:t>
      </w:r>
    </w:p>
    <w:p>
      <w:pPr>
        <w:pStyle w:val="BodyText"/>
      </w:pPr>
      <w:r>
        <w:t xml:space="preserve">Target coverage, though broad, is finite, and the boundaries have been measured rather than assumed.</w:t>
      </w:r>
      <w:r>
        <w:t xml:space="preserve"> </w:t>
      </w:r>
      <w:r>
        <w:t xml:space="preserve">A systematic query of ChEMBL for the mechanisms the panel omits found that the reasons differ in kind</w:t>
      </w:r>
      <w:r>
        <w:t xml:space="preserve"> </w:t>
      </w:r>
      <w:r>
        <w:t xml:space="preserve">and that only one of them is a matter of quantity. Some targets have too few measured ligands for any</w:t>
      </w:r>
      <w:r>
        <w:t xml:space="preserve"> </w:t>
      </w:r>
      <w:r>
        <w:t xml:space="preserve">model: kainate receptors (244, 139 and 34 activities for GluK1, GluK2 and GluK3), the vesicular</w:t>
      </w:r>
      <w:r>
        <w:t xml:space="preserve"> </w:t>
      </w:r>
      <w:r>
        <w:t xml:space="preserve">monoamine transporter VMAT2 (149), SOD1 (29), TDP-43 (9), and C9orf72, which has no ChEMBL target</w:t>
      </w:r>
      <w:r>
        <w:t xml:space="preserve"> </w:t>
      </w:r>
      <w:r>
        <w:t xml:space="preserve">record at all. Some have volume without diversity, which is a more insidious failure: tau carries</w:t>
      </w:r>
      <w:r>
        <w:t xml:space="preserve"> </w:t>
      </w:r>
      <w:r>
        <w:t xml:space="preserve">95,345 potency values, more than any deployed endpoint, but a 1,000-activity sample draws on a single</w:t>
      </w:r>
      <w:r>
        <w:t xml:space="preserve"> </w:t>
      </w:r>
      <w:r>
        <w:t xml:space="preserve">document and 86% of it is one thioflavin-S displacement campaign, so a scaffold-split model would</w:t>
      </w:r>
      <w:r>
        <w:t xml:space="preserve"> </w:t>
      </w:r>
      <w:r>
        <w:t xml:space="preserve">learn that screening library rather than the protein; huntingtin is worse at 98% from one assay.</w:t>
      </w:r>
      <w:r>
        <w:t xml:space="preserve"> </w:t>
      </w:r>
      <w:r>
        <w:t xml:space="preserve">Some are obscured by target annotation rather than by data: ChEMBL assigns activity to the protein</w:t>
      </w:r>
      <w:r>
        <w:t xml:space="preserve"> </w:t>
      </w:r>
      <w:r>
        <w:t xml:space="preserve">rather than to the binding site, so the phencyclidine channel site used by ketamine and the GluN2B</w:t>
      </w:r>
      <w:r>
        <w:t xml:space="preserve"> </w:t>
      </w:r>
      <w:r>
        <w:t xml:space="preserve">allosteric site used by ifenprodil are pooled despite having unrelated structure-activity</w:t>
      </w:r>
      <w:r>
        <w:t xml:space="preserve"> </w:t>
      </w:r>
      <w:r>
        <w:t xml:space="preserve">relationships, which is why the latter is modelled and the former is not. Finally, some conditions are</w:t>
      </w:r>
      <w:r>
        <w:t xml:space="preserve"> </w:t>
      </w:r>
      <w:r>
        <w:t xml:space="preserve">not targets at all. Migraine and multiple sclerosis are reachable through defined mechanisms not yet</w:t>
      </w:r>
      <w:r>
        <w:t xml:space="preserve"> </w:t>
      </w:r>
      <w:r>
        <w:t xml:space="preserve">included (the calcitonin-gene-related-peptide receptor, 1,578 activities, and dihydroorotate</w:t>
      </w:r>
      <w:r>
        <w:t xml:space="preserve"> </w:t>
      </w:r>
      <w:r>
        <w:t xml:space="preserve">dehydrogenase, 2,558), whereas stroke and cerebral ischaemia offer no comparable small-molecule</w:t>
      </w:r>
      <w:r>
        <w:t xml:space="preserve"> </w:t>
      </w:r>
      <w:r>
        <w:t xml:space="preserve">target set, consistent with four decades of failed neuroprotection trials.</w:t>
      </w:r>
    </w:p>
    <w:p>
      <w:pPr>
        <w:pStyle w:val="BodyText"/>
      </w:pPr>
      <w:r>
        <w:t xml:space="preserve">Expanding the panel is not costless, which bears on how these gaps should be closed. Each added</w:t>
      </w:r>
      <w:r>
        <w:t xml:space="preserve"> </w:t>
      </w:r>
      <w:r>
        <w:t xml:space="preserve">endpoint is a further opportunity to fire spuriously, so the probability that a compound engaging</w:t>
      </w:r>
      <w:r>
        <w:t xml:space="preserve"> </w:t>
      </w:r>
      <w:r>
        <w:t xml:space="preserve">nothing nevertheless receives a reported finding rises with panel size; it stands at 11.5% on random</w:t>
      </w:r>
      <w:r>
        <w:t xml:space="preserve"> </w:t>
      </w:r>
      <w:r>
        <w:t xml:space="preserve">chemistry. Added endpoints also overlap: 36 of 52 targets fire at least once across approved drugs</w:t>
      </w:r>
      <w:r>
        <w:t xml:space="preserve"> </w:t>
      </w:r>
      <w:r>
        <w:t xml:space="preserve">but span only 14 independent directions. Coverage should therefore be extended where a measured</w:t>
      </w:r>
      <w:r>
        <w:t xml:space="preserve"> </w:t>
      </w:r>
      <w:r>
        <w:t xml:space="preserve">weakness demands it, as was done here for addiction, rather than pursued for completeness, and</w:t>
      </w:r>
      <w:r>
        <w:t xml:space="preserve"> </w:t>
      </w:r>
      <w:r>
        <w:t xml:space="preserve">preference given to mechanisms that are not homologous to those already present.</w:t>
      </w:r>
    </w:p>
    <w:p>
      <w:pPr>
        <w:pStyle w:val="BodyText"/>
      </w:pPr>
      <w:r>
        <w:t xml:space="preserve">An operational consequence follows for the coverage statement itself. The list of what the server can</w:t>
      </w:r>
      <w:r>
        <w:t xml:space="preserve"> </w:t>
      </w:r>
      <w:r>
        <w:t xml:space="preserve">and cannot assess is read as an audit, and an audit that is wrong about its own models is worse than</w:t>
      </w:r>
      <w:r>
        <w:t xml:space="preserve"> </w:t>
      </w:r>
      <w:r>
        <w:t xml:space="preserve">none. A hand-maintained version of that list drifted: it advertised an endpoint that had been</w:t>
      </w:r>
      <w:r>
        <w:t xml:space="preserve"> </w:t>
      </w:r>
      <w:r>
        <w:t xml:space="preserve">withdrawn, denied two families that had been added, and quoted sensitivities of 0.54 and 0.58 for</w:t>
      </w:r>
      <w:r>
        <w:t xml:space="preserve"> </w:t>
      </w:r>
      <w:r>
        <w:t xml:space="preserve">endpoints whose deployed values were 0.774 and 0.660. The modelled list and every sensitivity figure</w:t>
      </w:r>
      <w:r>
        <w:t xml:space="preserve"> </w:t>
      </w:r>
      <w:r>
        <w:t xml:space="preserve">are now generated from the deployed model registry when the page loads, and a pre-flight check</w:t>
      </w:r>
      <w:r>
        <w:t xml:space="preserve"> </w:t>
      </w:r>
      <w:r>
        <w:t xml:space="preserve">asserts that no deployed endpoint is missing from the list, that no withdrawn endpoint is advertised,</w:t>
      </w:r>
      <w:r>
        <w:t xml:space="preserve"> </w:t>
      </w:r>
      <w:r>
        <w:t xml:space="preserve">that no mechanism declared absent is in fact deployed, and that every quoted sensitivity equals the</w:t>
      </w:r>
      <w:r>
        <w:t xml:space="preserve"> </w:t>
      </w:r>
      <w:r>
        <w:t xml:space="preserve">deployed value.</w:t>
      </w:r>
    </w:p>
    <w:p>
      <w:pPr>
        <w:pStyle w:val="BodyText"/>
      </w:pPr>
      <w:r>
        <w:t xml:space="preserve">Three target endpoints carry thin negative classes, and an attempt to enlarge them failed in a way</w:t>
      </w:r>
      <w:r>
        <w:t xml:space="preserve"> </w:t>
      </w:r>
      <w:r>
        <w:t xml:space="preserve">worth recording. The CGRP receptor, Nav1.6 and AMPA GluA2 have 26, 45 and 32 measured inactives</w:t>
      </w:r>
      <w:r>
        <w:t xml:space="preserve"> </w:t>
      </w:r>
      <w:r>
        <w:t xml:space="preserve">respectively, and PubChem BioAssay holds 198, 196 and 516 assays for the corresponding genes, which</w:t>
      </w:r>
      <w:r>
        <w:t xml:space="preserve"> </w:t>
      </w:r>
      <w:r>
        <w:t xml:space="preserve">appeared to offer a remedy. It does not: a scan of 120 assays per target returned no measured</w:t>
      </w:r>
      <w:r>
        <w:t xml:space="preserve"> </w:t>
      </w:r>
      <w:r>
        <w:t xml:space="preserve">inactive compounds at all, and querying the largest six assays of each directly returns active</w:t>
      </w:r>
      <w:r>
        <w:t xml:space="preserve"> </w:t>
      </w:r>
      <w:r>
        <w:t xml:space="preserve">compound identifiers against none inactive. These targets have never been through a large public</w:t>
      </w:r>
      <w:r>
        <w:t xml:space="preserve"> </w:t>
      </w:r>
      <w:r>
        <w:t xml:space="preserve">primary screen; their assays are medicinal-chemistry dose-response series in which every compound</w:t>
      </w:r>
      <w:r>
        <w:t xml:space="preserve"> </w:t>
      </w:r>
      <w:r>
        <w:t xml:space="preserve">tested was already of interest. The route remains valid for targets that have been screened at scale,</w:t>
      </w:r>
      <w:r>
        <w:t xml:space="preserve"> </w:t>
      </w:r>
      <w:r>
        <w:t xml:space="preserve">which is why curated inactive sets exist for acetylcholinesterase and GSK-3-beta, but for these three</w:t>
      </w:r>
      <w:r>
        <w:t xml:space="preserve"> </w:t>
      </w:r>
      <w:r>
        <w:t xml:space="preserve">the thin negative class cannot be remedied from public data and their sensitivity figures stand as</w:t>
      </w:r>
      <w:r>
        <w:t xml:space="preserve"> </w:t>
      </w:r>
      <w:r>
        <w:t xml:space="preserve">reported.</w:t>
      </w:r>
    </w:p>
    <w:p>
      <w:pPr>
        <w:pStyle w:val="BodyText"/>
      </w:pPr>
      <w:r>
        <w:t xml:space="preserve">Two ADME endpoints, hepatocyte clearance and plasma protein binding, are weak under the scaffold</w:t>
      </w:r>
      <w:r>
        <w:t xml:space="preserve"> </w:t>
      </w:r>
      <w:r>
        <w:t xml:space="preserve">split and are reported as such. Decoy-based validation gives an optimistic bound because decoys are</w:t>
      </w:r>
      <w:r>
        <w:t xml:space="preserve"> </w:t>
      </w:r>
      <w:r>
        <w:t xml:space="preserve">presumed rather than measured inactives, which is why the near-miss figure and the background</w:t>
      </w:r>
      <w:r>
        <w:t xml:space="preserve"> </w:t>
      </w:r>
      <w:r>
        <w:t xml:space="preserve">false-positive rate are reported together, and why deployed specificity is additionally measured on</w:t>
      </w:r>
      <w:r>
        <w:t xml:space="preserve"> </w:t>
      </w:r>
      <w:r>
        <w:t xml:space="preserve">random chemistry and on molecules nothing should bind. The target-to-disease weights in the knowledge</w:t>
      </w:r>
      <w:r>
        <w:t xml:space="preserve"> </w:t>
      </w:r>
      <w:r>
        <w:t xml:space="preserve">graph are expert-curated rather than learned; the falsification analysis shows they carry no</w:t>
      </w:r>
      <w:r>
        <w:t xml:space="preserve"> </w:t>
      </w:r>
      <w:r>
        <w:t xml:space="preserve">measurable predictive content beyond the graph topology, and they are retained as a mechanistic prior</w:t>
      </w:r>
      <w:r>
        <w:t xml:space="preserve"> </w:t>
      </w:r>
      <w:r>
        <w:t xml:space="preserve">and versioned in the repository so that they can be inspected and revised. Predictions concern</w:t>
      </w:r>
      <w:r>
        <w:t xml:space="preserve"> </w:t>
      </w:r>
      <w:r>
        <w:t xml:space="preserve">molecular target engagement and physicochemical properties, not clinical efficacy, and do not</w:t>
      </w:r>
      <w:r>
        <w:t xml:space="preserve"> </w:t>
      </w:r>
      <w:r>
        <w:t xml:space="preserve">distinguish agonism from antagonism. The tool is intended for research prioritisation and hypothesis</w:t>
      </w:r>
      <w:r>
        <w:t xml:space="preserve"> </w:t>
      </w:r>
      <w:r>
        <w:t xml:space="preserve">generation and is not for medical, diagnostic or treatment decisions.</w:t>
      </w:r>
    </w:p>
    <w:p>
      <w:pPr>
        <w:pStyle w:val="BodyText"/>
      </w:pPr>
      <w:r>
        <w:t xml:space="preserve">One limitation deserves separate statement because it is not a coverage gap and cannot be closed by</w:t>
      </w:r>
      <w:r>
        <w:t xml:space="preserve"> </w:t>
      </w:r>
      <w:r>
        <w:t xml:space="preserve">adding targets. The panel defines engagement as high-affinity binding, and an entire pharmacological</w:t>
      </w:r>
      <w:r>
        <w:t xml:space="preserve"> </w:t>
      </w:r>
      <w:r>
        <w:t xml:space="preserve">class works otherwise. Use-dependent, state-dependent channel blockers act at concentrations one to</w:t>
      </w:r>
      <w:r>
        <w:t xml:space="preserve"> </w:t>
      </w:r>
      <w:r>
        <w:t xml:space="preserve">two orders of magnitude weaker than the binder threshold, and ChEMBL’s own measurements label the</w:t>
      </w:r>
      <w:r>
        <w:t xml:space="preserve"> </w:t>
      </w:r>
      <w:r>
        <w:t xml:space="preserve">classic antiepileptic drugs inactive at the sodium channels through which they are understood to act.</w:t>
      </w:r>
      <w:r>
        <w:t xml:space="preserve"> </w:t>
      </w:r>
      <w:r>
        <w:t xml:space="preserve">The server is therefore silent on carbamazepine, phenytoin and lamotrigine, and that silence is</w:t>
      </w:r>
      <w:r>
        <w:t xml:space="preserve"> </w:t>
      </w:r>
      <w:r>
        <w:t xml:space="preserve">correct with respect to the measured data while being unhelpful with respect to the clinical</w:t>
      </w:r>
      <w:r>
        <w:t xml:space="preserve"> </w:t>
      </w:r>
      <w:r>
        <w:t xml:space="preserve">question. Extending the tool to such mechanisms would require a different class of endpoint, modelling</w:t>
      </w:r>
      <w:r>
        <w:t xml:space="preserve"> </w:t>
      </w:r>
      <w:r>
        <w:t xml:space="preserve">use-dependent block or a phenotypic outcome, not a further binding target.</w:t>
      </w:r>
    </w:p>
    <w:bookmarkEnd w:id="45"/>
    <w:bookmarkStart w:id="46" w:name="data-availability"/>
    <w:p>
      <w:pPr>
        <w:pStyle w:val="Heading2"/>
      </w:pPr>
      <w:r>
        <w:t xml:space="preserve">Data availability</w:t>
      </w:r>
    </w:p>
    <w:p>
      <w:pPr>
        <w:pStyle w:val="FirstParagraph"/>
      </w:pPr>
      <w:r>
        <w:t xml:space="preserve">All code, the curated knowledge graph, per-fold validation artefacts and the scripts that regenerate</w:t>
      </w:r>
      <w:r>
        <w:t xml:space="preserve"> </w:t>
      </w:r>
      <w:r>
        <w:t xml:space="preserve">every table and figure in this manuscript are available at https://github.com/krishna-g-999/brainsafe-ai</w:t>
      </w:r>
      <w:r>
        <w:t xml:space="preserve"> </w:t>
      </w:r>
      <w:r>
        <w:t xml:space="preserve">under the MIT licence. The trained estimators (0.78 GB) and the raw API responses retrieved from</w:t>
      </w:r>
      <w:r>
        <w:t xml:space="preserve"> </w:t>
      </w:r>
      <w:r>
        <w:t xml:space="preserve">ChEMBL, BindingDB and PubChem are too large for version control and are deposited separately; both</w:t>
      </w:r>
      <w:r>
        <w:t xml:space="preserve"> </w:t>
      </w:r>
      <w:r>
        <w:t xml:space="preserve">archives carry a manifest, committed with the code, recording the SHA-256 of the archive and of every</w:t>
      </w:r>
      <w:r>
        <w:t xml:space="preserve"> </w:t>
      </w:r>
      <w:r>
        <w:t xml:space="preserve">file inside it, so a download is verified rather than trusted. The models archive supersedes</w:t>
      </w:r>
      <w:r>
        <w:t xml:space="preserve"> </w:t>
      </w:r>
      <w:r>
        <w:t xml:space="preserve">doi:10.5281/zenodo.21858576, which holds the pre-audit models and describes different bytes from the</w:t>
      </w:r>
      <w:r>
        <w:t xml:space="preserve"> </w:t>
      </w:r>
      <w:r>
        <w:t xml:space="preserve">ones this manuscript reports; the manifest records that superseded identifier explicitly rather than</w:t>
      </w:r>
      <w:r>
        <w:t xml:space="preserve"> </w:t>
      </w:r>
      <w:r>
        <w:t xml:space="preserve">pointing at a record that would serve the wrong models.</w:t>
      </w:r>
    </w:p>
    <w:p>
      <w:pPr>
        <w:pStyle w:val="BodyText"/>
      </w:pPr>
      <w:r>
        <w:t xml:space="preserve">Reproducing the panel from the repository requires only the endpoint tables and</w:t>
      </w:r>
      <w:r>
        <w:t xml:space="preserve"> </w:t>
      </w:r>
      <w:r>
        <w:rPr>
          <w:rStyle w:val="VerbatimChar"/>
        </w:rPr>
        <w:t xml:space="preserve">src/brainsafe/models/train_rf.py</w:t>
      </w:r>
      <w:r>
        <w:t xml:space="preserve">; every random seed is fixed at 42, and the adversarial suite</w:t>
      </w:r>
      <w:r>
        <w:t xml:space="preserve"> </w:t>
      </w:r>
      <w:r>
        <w:t xml:space="preserve">includes a check that retraining an endpoint reproduces its reported score, which it does to three</w:t>
      </w:r>
      <w:r>
        <w:t xml:space="preserve"> </w:t>
      </w:r>
      <w:r>
        <w:t xml:space="preserve">decimal places (Figure 6D).</w:t>
      </w:r>
    </w:p>
    <w:p>
      <w:pPr>
        <w:pStyle w:val="BodyText"/>
      </w:pPr>
      <w:r>
        <w:rPr>
          <w:b/>
          <w:bCs/>
        </w:rPr>
        <w:t xml:space="preserve">[TO BE SUPPLIED BEFORE SUBMISSION]</w:t>
      </w:r>
      <w:r>
        <w:t xml:space="preserve"> </w:t>
      </w:r>
      <w:r>
        <w:t xml:space="preserve">the public server URL, the deposit DOI for version 1.1, the</w:t>
      </w:r>
      <w:r>
        <w:t xml:space="preserve"> </w:t>
      </w:r>
      <w:r>
        <w:t xml:space="preserve">author list, the corresponding author’s address, and the funding statement. These are the only</w:t>
      </w:r>
      <w:r>
        <w:t xml:space="preserve"> </w:t>
      </w:r>
      <w:r>
        <w:t xml:space="preserve">placeholders in this manuscript; every other value is computed from an artefact in the repository.</w:t>
      </w:r>
    </w:p>
    <w:bookmarkEnd w:id="46"/>
    <w:bookmarkStart w:id="47" w:name="funding"/>
    <w:p>
      <w:pPr>
        <w:pStyle w:val="Heading2"/>
      </w:pPr>
      <w:r>
        <w:t xml:space="preserve">Funding</w:t>
      </w:r>
    </w:p>
    <w:p>
      <w:pPr>
        <w:pStyle w:val="FirstParagraph"/>
      </w:pPr>
      <w:r>
        <w:t xml:space="preserve">[TO BE SUPPLIED BEFORE SUBMISSION]</w:t>
      </w:r>
    </w:p>
    <w:bookmarkEnd w:id="47"/>
    <w:bookmarkStart w:id="69" w:name="figure-legends"/>
    <w:p>
      <w:pPr>
        <w:pStyle w:val="Heading2"/>
      </w:pPr>
      <w:r>
        <w:t xml:space="preserve">Figure legends</w:t>
      </w:r>
    </w:p>
    <w:p>
      <w:pPr>
        <w:pStyle w:val="CaptionedFigure"/>
      </w:pPr>
      <w:r>
        <w:drawing>
          <wp:inline>
            <wp:extent cx="5334000" cy="3876870"/>
            <wp:effectExtent b="0" l="0" r="0" t="0"/>
            <wp:docPr descr="Figure 1" title="" id="49" name="Picture"/>
            <a:graphic>
              <a:graphicData uri="http://schemas.openxmlformats.org/drawingml/2006/picture">
                <pic:pic>
                  <pic:nvPicPr>
                    <pic:cNvPr descr="figures/Figure1_architecture.png" id="50" name="Picture"/>
                    <pic:cNvPicPr>
                      <a:picLocks noChangeArrowheads="1" noChangeAspect="1"/>
                    </pic:cNvPicPr>
                  </pic:nvPicPr>
                  <pic:blipFill>
                    <a:blip r:embed="rId48"/>
                    <a:stretch>
                      <a:fillRect/>
                    </a:stretch>
                  </pic:blipFill>
                  <pic:spPr bwMode="auto">
                    <a:xfrm>
                      <a:off x="0" y="0"/>
                      <a:ext cx="5334000" cy="3876870"/>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prediction is assembled. (A) A query structure is reduced to its largest organic</w:t>
      </w:r>
      <w:r>
        <w:t xml:space="preserve"> </w:t>
      </w:r>
      <w:r>
        <w:t xml:space="preserve">fragment, sanitised, and represented as one fixed 1,036-column vector. That vector is scored by four</w:t>
      </w:r>
      <w:r>
        <w:t xml:space="preserve"> </w:t>
      </w:r>
      <w:r>
        <w:t xml:space="preserve">model families: nine exposure and ADME endpoints, twelve target potency and activity endpoints, the</w:t>
      </w:r>
      <w:r>
        <w:t xml:space="preserve"> </w:t>
      </w:r>
      <w:r>
        <w:t xml:space="preserve">49-endpoint binder panel, and two auxiliary regressions. Every target score is then admitted only in</w:t>
      </w:r>
      <w:r>
        <w:t xml:space="preserve"> </w:t>
      </w:r>
      <w:r>
        <w:t xml:space="preserve">proportion to the predicted probability that the compound reaches the brain, and the surviving scores</w:t>
      </w:r>
      <w:r>
        <w:t xml:space="preserve"> </w:t>
      </w:r>
      <w:r>
        <w:t xml:space="preserve">are ranked by base-rate enrichment rather than by raw probability, so an endpoint that fires often</w:t>
      </w:r>
      <w:r>
        <w:t xml:space="preserve"> </w:t>
      </w:r>
      <w:r>
        <w:t xml:space="preserve">across the library cannot dominate. Every reported score carries a calibrated probability, a</w:t>
      </w:r>
      <w:r>
        <w:t xml:space="preserve"> </w:t>
      </w:r>
      <w:r>
        <w:t xml:space="preserve">conformal interval and an applicability-domain distance. (B) The counts in (A) are deployed</w:t>
      </w:r>
      <w:r>
        <w:t xml:space="preserve"> </w:t>
      </w:r>
      <w:r>
        <w:t xml:space="preserve">estimators. Each was preceded by twenty fits that never serve a prediction and exist only to measure</w:t>
      </w:r>
      <w:r>
        <w:t xml:space="preserve"> </w:t>
      </w:r>
      <w:r>
        <w:t xml:space="preserve">how the twenty-first behaves on compounds withheld from it: ten random folds and ten scaffold folds.</w:t>
      </w:r>
      <w:r>
        <w:t xml:space="preserve"> </w:t>
      </w:r>
      <w:r>
        <w:t xml:space="preserve">Across the panel that is 1,420 cross-validation fits over 71 cross-validated endpoints, behind 72</w:t>
      </w:r>
      <w:r>
        <w:t xml:space="preserve"> </w:t>
      </w:r>
      <w:r>
        <w:t xml:space="preserve">deployed estimators and eight isotonic calibrators.</w:t>
      </w:r>
    </w:p>
    <w:p>
      <w:pPr>
        <w:pStyle w:val="CaptionedFigure"/>
      </w:pPr>
      <w:r>
        <w:drawing>
          <wp:inline>
            <wp:extent cx="5334000" cy="2897669"/>
            <wp:effectExtent b="0" l="0" r="0" t="0"/>
            <wp:docPr descr="Figure 2" title="" id="52" name="Picture"/>
            <a:graphic>
              <a:graphicData uri="http://schemas.openxmlformats.org/drawingml/2006/picture">
                <pic:pic>
                  <pic:nvPicPr>
                    <pic:cNvPr descr="figures/Figure2_feature_vector.png" id="53" name="Picture"/>
                    <pic:cNvPicPr>
                      <a:picLocks noChangeArrowheads="1" noChangeAspect="1"/>
                    </pic:cNvPicPr>
                  </pic:nvPicPr>
                  <pic:blipFill>
                    <a:blip r:embed="rId51"/>
                    <a:stretch>
                      <a:fillRect/>
                    </a:stretch>
                  </pic:blipFill>
                  <pic:spPr bwMode="auto">
                    <a:xfrm>
                      <a:off x="0" y="0"/>
                      <a:ext cx="5334000" cy="2897669"/>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The model input, computed for donepezil by the same featuriser the models use. (A) The</w:t>
      </w:r>
      <w:r>
        <w:t xml:space="preserve"> </w:t>
      </w:r>
      <w:r>
        <w:t xml:space="preserve">structure, after standardisation. (B) All 1,024 fingerprint bits drawn as a 32 x 32 grid, 47 of them</w:t>
      </w:r>
      <w:r>
        <w:t xml:space="preserve"> </w:t>
      </w:r>
      <w:r>
        <w:t xml:space="preserve">set. Two properties of this representation bound what the models can do and are stated rather than</w:t>
      </w:r>
      <w:r>
        <w:t xml:space="preserve"> </w:t>
      </w:r>
      <w:r>
        <w:t xml:space="preserve">left implicit: folding means a set bit reports that some substructure environment hashing to that</w:t>
      </w:r>
      <w:r>
        <w:t xml:space="preserve"> </w:t>
      </w:r>
      <w:r>
        <w:t xml:space="preserve">index is present, not which one, and excluding chirality means two enantiomers produce byte-identical</w:t>
      </w:r>
      <w:r>
        <w:t xml:space="preserve"> </w:t>
      </w:r>
      <w:r>
        <w:t xml:space="preserve">rows. The second is why rows identical in feature space are collapsed before any split rather than</w:t>
      </w:r>
      <w:r>
        <w:t xml:space="preserve"> </w:t>
      </w:r>
      <w:r>
        <w:t xml:space="preserve">left to fall on both sides of one. (C) The twelve descriptors with the values this molecule has.</w:t>
      </w:r>
      <w:r>
        <w:t xml:space="preserve"> </w:t>
      </w:r>
      <w:r>
        <w:t xml:space="preserve">They are unscaled, because a random forest splits on thresholds and is unchanged by any monotone</w:t>
      </w:r>
      <w:r>
        <w:t xml:space="preserve"> </w:t>
      </w:r>
      <w:r>
        <w:t xml:space="preserve">rescaling, so no scaler is fitted and none can leak across a split.</w:t>
      </w:r>
    </w:p>
    <w:p>
      <w:pPr>
        <w:pStyle w:val="CaptionedFigure"/>
      </w:pPr>
      <w:r>
        <w:drawing>
          <wp:inline>
            <wp:extent cx="5334000" cy="2403592"/>
            <wp:effectExtent b="0" l="0" r="0" t="0"/>
            <wp:docPr descr="Figure 3" title="" id="55" name="Picture"/>
            <a:graphic>
              <a:graphicData uri="http://schemas.openxmlformats.org/drawingml/2006/picture">
                <pic:pic>
                  <pic:nvPicPr>
                    <pic:cNvPr descr="figures/Figure3_cv_design.png" id="56" name="Picture"/>
                    <pic:cNvPicPr>
                      <a:picLocks noChangeArrowheads="1" noChangeAspect="1"/>
                    </pic:cNvPicPr>
                  </pic:nvPicPr>
                  <pic:blipFill>
                    <a:blip r:embed="rId54"/>
                    <a:stretch>
                      <a:fillRect/>
                    </a:stretch>
                  </pic:blipFill>
                  <pic:spPr bwMode="auto">
                    <a:xfrm>
                      <a:off x="0" y="0"/>
                      <a:ext cx="5334000" cy="2403592"/>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Two cross-validation schemes and the distance between them. (A) The same compounds</w:t>
      </w:r>
      <w:r>
        <w:t xml:space="preserve"> </w:t>
      </w:r>
      <w:r>
        <w:t xml:space="preserve">partitioned two ways. Under a random split the held-out fold is scattered through every scaffold</w:t>
      </w:r>
      <w:r>
        <w:t xml:space="preserve"> </w:t>
      </w:r>
      <w:r>
        <w:t xml:space="preserve">class, so a test compound usually has a close analogue in training and the score reports</w:t>
      </w:r>
      <w:r>
        <w:t xml:space="preserve"> </w:t>
      </w:r>
      <w:r>
        <w:t xml:space="preserve">interpolation. Under a scaffold split the held-out fold is a whole Bemis-Murcko class absent from</w:t>
      </w:r>
      <w:r>
        <w:t xml:space="preserve"> </w:t>
      </w:r>
      <w:r>
        <w:t xml:space="preserve">training, so the score reports generalisation to chemistry the model has no near neighbour for.</w:t>
      </w:r>
      <w:r>
        <w:t xml:space="preserve"> </w:t>
      </w:r>
      <w:r>
        <w:t xml:space="preserve">(B) Both scores for every classifier endpoint; the median cost of withholding a scaffold class is</w:t>
      </w:r>
      <w:r>
        <w:t xml:space="preserve"> </w:t>
      </w:r>
      <w:r>
        <w:t xml:space="preserve">0.027 AUROC. (C) All ten folds behind each mean, because a mean over ten tight folds and a mean over</w:t>
      </w:r>
      <w:r>
        <w:t xml:space="preserve"> </w:t>
      </w:r>
      <w:r>
        <w:t xml:space="preserve">ten dispersed folds are not the same claim.</w:t>
      </w:r>
    </w:p>
    <w:p>
      <w:pPr>
        <w:pStyle w:val="CaptionedFigure"/>
      </w:pPr>
      <w:r>
        <w:drawing>
          <wp:inline>
            <wp:extent cx="5334000" cy="3516984"/>
            <wp:effectExtent b="0" l="0" r="0" t="0"/>
            <wp:docPr descr="Figure 4" title="" id="58" name="Picture"/>
            <a:graphic>
              <a:graphicData uri="http://schemas.openxmlformats.org/drawingml/2006/picture">
                <pic:pic>
                  <pic:nvPicPr>
                    <pic:cNvPr descr="figures/Figure4_pools_and_thresholds.png" id="59" name="Picture"/>
                    <pic:cNvPicPr>
                      <a:picLocks noChangeArrowheads="1" noChangeAspect="1"/>
                    </pic:cNvPicPr>
                  </pic:nvPicPr>
                  <pic:blipFill>
                    <a:blip r:embed="rId57"/>
                    <a:stretch>
                      <a:fillRect/>
                    </a:stretch>
                  </pic:blipFill>
                  <pic:spPr bwMode="auto">
                    <a:xfrm>
                      <a:off x="0" y="0"/>
                      <a:ext cx="5334000" cy="3516984"/>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Why the decision thresholds are measured on a pool they were not set on. (A) The</w:t>
      </w:r>
      <w:r>
        <w:t xml:space="preserve"> </w:t>
      </w:r>
      <w:r>
        <w:t xml:space="preserve">background library is partitioned into three pools by a stable hash of the canonical structure, so a</w:t>
      </w:r>
      <w:r>
        <w:t xml:space="preserve"> </w:t>
      </w:r>
      <w:r>
        <w:t xml:space="preserve">compound’s pool is a property of the molecule and never depends on run order. Decoys are drawn from</w:t>
      </w:r>
      <w:r>
        <w:t xml:space="preserve"> </w:t>
      </w:r>
      <w:r>
        <w:t xml:space="preserve">the first, thresholds are set on the second, and the false-positive rate is measured on the third; no</w:t>
      </w:r>
      <w:r>
        <w:t xml:space="preserve"> </w:t>
      </w:r>
      <w:r>
        <w:t xml:space="preserve">compound appears in more than one. (B) A threshold chosen as a quantile of a sample and then scored</w:t>
      </w:r>
      <w:r>
        <w:t xml:space="preserve"> </w:t>
      </w:r>
      <w:r>
        <w:t xml:space="preserve">on that same sample returns the quantile it was given, and cannot exceed it. Measured on the disjoint</w:t>
      </w:r>
      <w:r>
        <w:t xml:space="preserve"> </w:t>
      </w:r>
      <w:r>
        <w:t xml:space="preserve">evaluation pool, three endpoints exceed the 0.05 target, which under the previous procedure was</w:t>
      </w:r>
      <w:r>
        <w:t xml:space="preserve"> </w:t>
      </w:r>
      <w:r>
        <w:t xml:space="preserve">arithmetically impossible. That the number can now disagree with its target is the evidence that it</w:t>
      </w:r>
      <w:r>
        <w:t xml:space="preserve"> </w:t>
      </w:r>
      <w:r>
        <w:t xml:space="preserve">is a measurement. (C) Each deployed endpoint carries two operating points, a sensitive triage</w:t>
      </w:r>
      <w:r>
        <w:t xml:space="preserve"> </w:t>
      </w:r>
      <w:r>
        <w:t xml:space="preserve">threshold and a stricter screening threshold, with sensitivity measured on actives withheld by</w:t>
      </w:r>
      <w:r>
        <w:t xml:space="preserve"> </w:t>
      </w:r>
      <w:r>
        <w:t xml:space="preserve">scaffold.</w:t>
      </w:r>
    </w:p>
    <w:p>
      <w:pPr>
        <w:pStyle w:val="CaptionedFigure"/>
      </w:pPr>
      <w:r>
        <w:drawing>
          <wp:inline>
            <wp:extent cx="5334000" cy="3479251"/>
            <wp:effectExtent b="0" l="0" r="0" t="0"/>
            <wp:docPr descr="Figure 5" title="" id="61" name="Picture"/>
            <a:graphic>
              <a:graphicData uri="http://schemas.openxmlformats.org/drawingml/2006/picture">
                <pic:pic>
                  <pic:nvPicPr>
                    <pic:cNvPr descr="figures/Figure5_negative_class.png" id="62" name="Picture"/>
                    <pic:cNvPicPr>
                      <a:picLocks noChangeArrowheads="1" noChangeAspect="1"/>
                    </pic:cNvPicPr>
                  </pic:nvPicPr>
                  <pic:blipFill>
                    <a:blip r:embed="rId60"/>
                    <a:stretch>
                      <a:fillRect/>
                    </a:stretch>
                  </pic:blipFill>
                  <pic:spPr bwMode="auto">
                    <a:xfrm>
                      <a:off x="0" y="0"/>
                      <a:ext cx="5334000" cy="3479251"/>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Recovering the measured negative class. (A) A censored bound settles a label whenever</w:t>
      </w:r>
      <w:r>
        <w:t xml:space="preserve"> </w:t>
      </w:r>
      <w:r>
        <w:t xml:space="preserve">the whole interval it defines falls on one side of the activity cut.</w:t>
      </w:r>
      <w:r>
        <w:t xml:space="preserve"> </w:t>
      </w:r>
      <w:r>
        <w:t xml:space="preserve">“IC50 &gt; 10 uM”</w:t>
      </w:r>
      <w:r>
        <w:t xml:space="preserve"> </w:t>
      </w:r>
      <w:r>
        <w:t xml:space="preserve">places the true</w:t>
      </w:r>
      <w:r>
        <w:t xml:space="preserve"> </w:t>
      </w:r>
      <w:r>
        <w:t xml:space="preserve">potency strictly below pChEMBL 5.0 and is a measured non-binder;</w:t>
      </w:r>
      <w:r>
        <w:t xml:space="preserve"> </w:t>
      </w:r>
      <w:r>
        <w:t xml:space="preserve">“IC50 &gt; 100 nM”</w:t>
      </w:r>
      <w:r>
        <w:t xml:space="preserve"> </w:t>
      </w:r>
      <w:r>
        <w:t xml:space="preserve">spans both classes</w:t>
      </w:r>
      <w:r>
        <w:t xml:space="preserve"> </w:t>
      </w:r>
      <w:r>
        <w:t xml:space="preserve">and is discarded as undecidable rather than guessed at. (B) Class balance for the 57 endpoints</w:t>
      </w:r>
      <w:r>
        <w:t xml:space="preserve"> </w:t>
      </w:r>
      <w:r>
        <w:t xml:space="preserve">extended, before and after: 21,994 measured non-binders were added and the endpoints above 90 per</w:t>
      </w:r>
      <w:r>
        <w:t xml:space="preserve"> </w:t>
      </w:r>
      <w:r>
        <w:t xml:space="preserve">cent active fell from 35 to 13. (C) The effect on cross-validated performance, per endpoint, against</w:t>
      </w:r>
      <w:r>
        <w:t xml:space="preserve"> </w:t>
      </w:r>
      <w:r>
        <w:t xml:space="preserve">the panel as it stood immediately before the merge. Classification becomes slightly harder (median</w:t>
      </w:r>
      <w:r>
        <w:t xml:space="preserve"> </w:t>
      </w:r>
      <w:r>
        <w:t xml:space="preserve">-0.0040) and regression improves (median +0.0202). Both are the expected direction: real non-binders</w:t>
      </w:r>
      <w:r>
        <w:t xml:space="preserve"> </w:t>
      </w:r>
      <w:r>
        <w:t xml:space="preserve">are harder negatives than the decoys they join, and a censored bound is a real low-potency anchor</w:t>
      </w:r>
      <w:r>
        <w:t xml:space="preserve"> </w:t>
      </w:r>
      <w:r>
        <w:t xml:space="preserve">where a regression previously had nothing. BBB and antioxidant_DPPH are flat at exactly zero, not</w:t>
      </w:r>
      <w:r>
        <w:t xml:space="preserve"> </w:t>
      </w:r>
      <w:r>
        <w:t xml:space="preserve">missing, because neither draws from a ChEMBL target.</w:t>
      </w:r>
    </w:p>
    <w:p>
      <w:pPr>
        <w:pStyle w:val="CaptionedFigure"/>
      </w:pPr>
      <w:r>
        <w:drawing>
          <wp:inline>
            <wp:extent cx="5334000" cy="3455602"/>
            <wp:effectExtent b="0" l="0" r="0" t="0"/>
            <wp:docPr descr="Figure 6" title="" id="64" name="Picture"/>
            <a:graphic>
              <a:graphicData uri="http://schemas.openxmlformats.org/drawingml/2006/picture">
                <pic:pic>
                  <pic:nvPicPr>
                    <pic:cNvPr descr="figures/Figure6_validation.png" id="65" name="Picture"/>
                    <pic:cNvPicPr>
                      <a:picLocks noChangeArrowheads="1" noChangeAspect="1"/>
                    </pic:cNvPicPr>
                  </pic:nvPicPr>
                  <pic:blipFill>
                    <a:blip r:embed="rId63"/>
                    <a:stretch>
                      <a:fillRect/>
                    </a:stretch>
                  </pic:blipFill>
                  <pic:spPr bwMode="auto">
                    <a:xfrm>
                      <a:off x="0" y="0"/>
                      <a:ext cx="5334000" cy="3455602"/>
                    </a:xfrm>
                    <a:prstGeom prst="rect">
                      <a:avLst/>
                    </a:prstGeom>
                    <a:noFill/>
                    <a:ln w="9525">
                      <a:noFill/>
                      <a:headEnd/>
                      <a:tailEnd/>
                    </a:ln>
                  </pic:spPr>
                </pic:pic>
              </a:graphicData>
            </a:graphic>
          </wp:inline>
        </w:drawing>
      </w:r>
    </w:p>
    <w:p>
      <w:pPr>
        <w:pStyle w:val="ImageCaption"/>
      </w:pPr>
      <w:r>
        <w:t xml:space="preserve">Figure 6</w:t>
      </w:r>
    </w:p>
    <w:p>
      <w:pPr>
        <w:pStyle w:val="BodyText"/>
      </w:pPr>
      <w:r>
        <w:rPr>
          <w:b/>
          <w:bCs/>
        </w:rPr>
        <w:t xml:space="preserve">Figure 6.</w:t>
      </w:r>
      <w:r>
        <w:t xml:space="preserve"> </w:t>
      </w:r>
      <w:r>
        <w:t xml:space="preserve">Four validations that a cross-validated score cannot substitute for. (A) Expected</w:t>
      </w:r>
      <w:r>
        <w:t xml:space="preserve"> </w:t>
      </w:r>
      <w:r>
        <w:t xml:space="preserve">calibration error before and after isotonic regression fitted on out-of-fold predictions, so the</w:t>
      </w:r>
      <w:r>
        <w:t xml:space="preserve"> </w:t>
      </w:r>
      <w:r>
        <w:t xml:space="preserve">calibrator never sees a compound in its own fit; mean ECE falls from 0.0795 to 0.0161. (B) Recall on</w:t>
      </w:r>
      <w:r>
        <w:t xml:space="preserve"> </w:t>
      </w:r>
      <w:r>
        <w:t xml:space="preserve">whole scaffold classes withheld before training, with 95 per cent Wilson intervals (34) and marker area</w:t>
      </w:r>
      <w:r>
        <w:t xml:space="preserve"> </w:t>
      </w:r>
      <w:r>
        <w:t xml:space="preserve">proportional to the number of withheld actives, so an interval that is wide because the evidence is</w:t>
      </w:r>
      <w:r>
        <w:t xml:space="preserve"> </w:t>
      </w:r>
      <w:r>
        <w:t xml:space="preserve">thin looks thin. (C) Specificity on chemistry the server should stay quiet about, and external</w:t>
      </w:r>
      <w:r>
        <w:t xml:space="preserve"> </w:t>
      </w:r>
      <w:r>
        <w:t xml:space="preserve">discrimination on approved drugs absent from the training source. (D) The adversarial suite, in which</w:t>
      </w:r>
      <w:r>
        <w:t xml:space="preserve"> </w:t>
      </w:r>
      <w:r>
        <w:t xml:space="preserve">each check is written so that it can fail. Five of six pass. The sixth is shown at the same size as</w:t>
      </w:r>
      <w:r>
        <w:t xml:space="preserve"> </w:t>
      </w:r>
      <w:r>
        <w:t xml:space="preserve">the rest: the applicability-domain flag does not separate non-drug-like chemistry from unseen drugs,</w:t>
      </w:r>
      <w:r>
        <w:t xml:space="preserve"> </w:t>
      </w:r>
      <w:r>
        <w:t xml:space="preserve">and it is reported rather than retuned until it passes.</w:t>
      </w:r>
    </w:p>
    <w:p>
      <w:pPr>
        <w:pStyle w:val="CaptionedFigure"/>
      </w:pPr>
      <w:r>
        <w:drawing>
          <wp:inline>
            <wp:extent cx="5334000" cy="4002388"/>
            <wp:effectExtent b="0" l="0" r="0" t="0"/>
            <wp:docPr descr="Figure 7" title="" id="67" name="Picture"/>
            <a:graphic>
              <a:graphicData uri="http://schemas.openxmlformats.org/drawingml/2006/picture">
                <pic:pic>
                  <pic:nvPicPr>
                    <pic:cNvPr descr="figures/Figure7_binder_panel.png" id="68" name="Picture"/>
                    <pic:cNvPicPr>
                      <a:picLocks noChangeArrowheads="1" noChangeAspect="1"/>
                    </pic:cNvPicPr>
                  </pic:nvPicPr>
                  <pic:blipFill>
                    <a:blip r:embed="rId66"/>
                    <a:stretch>
                      <a:fillRect/>
                    </a:stretch>
                  </pic:blipFill>
                  <pic:spPr bwMode="auto">
                    <a:xfrm>
                      <a:off x="0" y="0"/>
                      <a:ext cx="5334000" cy="4002388"/>
                    </a:xfrm>
                    <a:prstGeom prst="rect">
                      <a:avLst/>
                    </a:prstGeom>
                    <a:noFill/>
                    <a:ln w="9525">
                      <a:noFill/>
                      <a:headEnd/>
                      <a:tailEnd/>
                    </a:ln>
                  </pic:spPr>
                </pic:pic>
              </a:graphicData>
            </a:graphic>
          </wp:inline>
        </w:drawing>
      </w:r>
    </w:p>
    <w:p>
      <w:pPr>
        <w:pStyle w:val="ImageCaption"/>
      </w:pPr>
      <w:r>
        <w:t xml:space="preserve">Figure 7</w:t>
      </w:r>
    </w:p>
    <w:p>
      <w:pPr>
        <w:pStyle w:val="BodyText"/>
      </w:pPr>
      <w:r>
        <w:rPr>
          <w:b/>
          <w:bCs/>
        </w:rPr>
        <w:t xml:space="preserve">Figure 7.</w:t>
      </w:r>
      <w:r>
        <w:t xml:space="preserve"> </w:t>
      </w:r>
      <w:r>
        <w:t xml:space="preserve">The binder panel, all 49 endpoints. (A) Each endpoint placed by what it discriminates,</w:t>
      </w:r>
      <w:r>
        <w:t xml:space="preserve"> </w:t>
      </w:r>
      <w:r>
        <w:t xml:space="preserve">AUROC against compounds measured and found inactive at the same target, and what it recovers,</w:t>
      </w:r>
      <w:r>
        <w:t xml:space="preserve"> </w:t>
      </w:r>
      <w:r>
        <w:t xml:space="preserve">sensitivity on actives withheld by scaffold. Marker area is the number of measured actives, and</w:t>
      </w:r>
      <w:r>
        <w:t xml:space="preserve"> </w:t>
      </w:r>
      <w:r>
        <w:t xml:space="preserve">performance tracks it. (B) Every endpoint named, so a reader can look up a target rather than accept</w:t>
      </w:r>
      <w:r>
        <w:t xml:space="preserve"> </w:t>
      </w:r>
      <w:r>
        <w:t xml:space="preserve">a panel average. The two endpoints withdrawn after specificity testing and those below the</w:t>
      </w:r>
      <w:r>
        <w:t xml:space="preserve"> </w:t>
      </w:r>
      <w:r>
        <w:t xml:space="preserve">reliability gate are marked, not omitted. An endpoint is withdrawn when its probability band is too</w:t>
      </w:r>
      <w:r>
        <w:t xml:space="preserve"> </w:t>
      </w:r>
      <w:r>
        <w:t xml:space="preserve">compressed for any threshold to separate real ligands from trivial metabolites; Nav1.1 scored glucose,</w:t>
      </w:r>
      <w:r>
        <w:t xml:space="preserve"> </w:t>
      </w:r>
      <w:r>
        <w:t xml:space="preserve">urea, acetate and glycine between 0.80 and 0.82 against a threshold of 0.796.</w:t>
      </w:r>
    </w:p>
    <w:p>
      <w:pPr>
        <w:pStyle w:val="BodyText"/>
      </w:pPr>
      <w:r>
        <w:rPr>
          <w:b/>
          <w:bCs/>
        </w:rPr>
        <w:t xml:space="preserve">[TO BE SUPPLIED BEFORE SUBMISSION]</w:t>
      </w:r>
      <w:r>
        <w:t xml:space="preserve"> </w:t>
      </w:r>
      <w:r>
        <w:t xml:space="preserve">a screenshot of the server interface for a worked example, and</w:t>
      </w:r>
      <w:r>
        <w:t xml:space="preserve"> </w:t>
      </w:r>
      <w:r>
        <w:t xml:space="preserve">the mechanistic map for a single compound, both of which require the deployed instance.</w:t>
      </w:r>
    </w:p>
    <w:bookmarkEnd w:id="69"/>
    <w:bookmarkStart w:id="70"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w:t>
      </w:r>
    </w:p>
    <w:p>
      <w:pPr>
        <w:pStyle w:val="Compact"/>
        <w:numPr>
          <w:ilvl w:val="0"/>
          <w:numId w:val="1001"/>
        </w:numPr>
      </w:pPr>
      <w:r>
        <w:t xml:space="preserve">Zdrazil B, Felix E, Hunter F et al. The ChEMBL Database in 2023: a drug discovery platform spanning multiple bioactivity data types and time periods. Nucleic Acids Research. 2024. doi:10.1093/nar/gkad1004.</w:t>
      </w:r>
    </w:p>
    <w:p>
      <w:pPr>
        <w:pStyle w:val="Compact"/>
        <w:numPr>
          <w:ilvl w:val="0"/>
          <w:numId w:val="1001"/>
        </w:numPr>
      </w:pPr>
      <w:r>
        <w:t xml:space="preserve">Gilson M, Liu T, Baitaluk M et al. BindingDB in 2015: A public database for medicinal chemistry, computational chemistry and systems pharmacology. Nucleic Acids Research. 2016. doi:10.1093/nar/gkv1072.</w:t>
      </w:r>
    </w:p>
    <w:p>
      <w:pPr>
        <w:pStyle w:val="Compact"/>
        <w:numPr>
          <w:ilvl w:val="0"/>
          <w:numId w:val="1001"/>
        </w:numPr>
      </w:pPr>
      <w:r>
        <w:t xml:space="preserve">Meng F, Xi Y, Huang J et al. A curated diverse molecular database of blood-brain barrier permeability with chemical descriptors. Scientific Data. 2021. doi:10.1038/s41597-021-01069-5.</w:t>
      </w:r>
    </w:p>
    <w:p>
      <w:pPr>
        <w:pStyle w:val="Compact"/>
        <w:numPr>
          <w:ilvl w:val="0"/>
          <w:numId w:val="1001"/>
        </w:numPr>
      </w:pPr>
      <w:r>
        <w:t xml:space="preserve">Loryan I, Reichel A, Feng B et al. Unbound Brain-to-Plasma Partition Coefficient, Kp,uu,brain—a Game Changing Parameter for CNS Drug Discovery and Development. Pharmaceutical Research. 2022. doi:10.1007/s11095-022-03246-6.</w:t>
      </w:r>
    </w:p>
    <w:p>
      <w:pPr>
        <w:pStyle w:val="Compact"/>
        <w:numPr>
          <w:ilvl w:val="0"/>
          <w:numId w:val="1001"/>
        </w:numPr>
      </w:pPr>
      <w:r>
        <w:t xml:space="preserve">Rogers D, Hahn M. Extended-Connectivity Fingerprints. Journal of Chemical Information and Modeling. 2010. doi:10.1021/ci100050t.</w:t>
      </w:r>
    </w:p>
    <w:p>
      <w:pPr>
        <w:pStyle w:val="Compact"/>
        <w:numPr>
          <w:ilvl w:val="0"/>
          <w:numId w:val="1001"/>
        </w:numPr>
      </w:pPr>
      <w:r>
        <w:t xml:space="preserve">Breiman L. Random Forests. Machine Learning. 2001. doi:10.1023/a:1010933404324.</w:t>
      </w:r>
    </w:p>
    <w:p>
      <w:pPr>
        <w:pStyle w:val="Compact"/>
        <w:numPr>
          <w:ilvl w:val="0"/>
          <w:numId w:val="1001"/>
        </w:numPr>
      </w:pPr>
      <w:r>
        <w:t xml:space="preserve">Bemis G, Murcko M. The Properties of Known Drugs. 1. Molecular Frameworks. Journal of Medicinal Chemistry. 1996. doi:10.1021/jm9602928.</w:t>
      </w:r>
    </w:p>
    <w:p>
      <w:pPr>
        <w:pStyle w:val="Compact"/>
        <w:numPr>
          <w:ilvl w:val="0"/>
          <w:numId w:val="1001"/>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1"/>
        </w:numPr>
      </w:pPr>
      <w:r>
        <w:t xml:space="preserve">Mysinger M, Carchia M, Irwin J et al. Directory of Useful Decoys, Enhanced (DUD-E): Better Ligands and Decoys for Better Benchmarking. Journal of Medicinal Chemistry. 2012. doi:10.1021/jm300687e.</w:t>
      </w:r>
    </w:p>
    <w:p>
      <w:pPr>
        <w:pStyle w:val="Compact"/>
        <w:numPr>
          <w:ilvl w:val="0"/>
          <w:numId w:val="1001"/>
        </w:numPr>
      </w:pPr>
      <w:r>
        <w:t xml:space="preserve">Alavijeh M, Chishty M, Qaiser M et al. Drug metabolism and pharmacokinetics, the blood-brain barrier, and central nervous system drug discovery. NeuroRX. 2005. doi:10.1602/neurorx.2.4.554.</w:t>
      </w:r>
    </w:p>
    <w:p>
      <w:pPr>
        <w:pStyle w:val="Compact"/>
        <w:numPr>
          <w:ilvl w:val="0"/>
          <w:numId w:val="1001"/>
        </w:numPr>
      </w:pPr>
      <w:r>
        <w:t xml:space="preserve">Wager T, Hou X, Verhoest P et al. Moving beyond Rules: The Development of a Central Nervous System Multiparameter Optimization (CNS MPO) Approach To Enable Alignment of Druglike Properties. ACS Chemical Neuroscience. 2010. doi:10.1021/cn100008c.</w:t>
      </w:r>
    </w:p>
    <w:p>
      <w:pPr>
        <w:pStyle w:val="Compact"/>
        <w:numPr>
          <w:ilvl w:val="0"/>
          <w:numId w:val="1001"/>
        </w:numPr>
      </w:pPr>
      <w:r>
        <w:t xml:space="preserve">Saify Z, Sultana N. Role of Acetylcholinesterase Inhibitors and Alzheimer Disease. Drug Design and Discovery in Alzheimer’s Disease. 2014. doi:10.1016/b978-0-12-803959-5.50007-6.</w:t>
      </w:r>
    </w:p>
    <w:p>
      <w:pPr>
        <w:pStyle w:val="Compact"/>
        <w:numPr>
          <w:ilvl w:val="0"/>
          <w:numId w:val="1001"/>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1"/>
        </w:numPr>
      </w:pPr>
      <w:r>
        <w:t xml:space="preserve">Dezsi L, Vecsei L. Monoamine Oxidase B Inhibitors in Parkinson’s Disease. CNS &amp; neurological disorders drug targets. 2017. doi:10.2174/1871527316666170124165222.</w:t>
      </w:r>
    </w:p>
    <w:p>
      <w:pPr>
        <w:pStyle w:val="Compact"/>
        <w:numPr>
          <w:ilvl w:val="0"/>
          <w:numId w:val="1001"/>
        </w:numPr>
      </w:pPr>
      <w:r>
        <w:t xml:space="preserve">West A. Achieving neuroprotection with LRRK2 kinase inhibitors in Parkinson disease. Experimental Neurology. 2017. doi:10.1016/j.expneurol.2017.07.019.</w:t>
      </w:r>
    </w:p>
    <w:p>
      <w:pPr>
        <w:pStyle w:val="Compact"/>
        <w:numPr>
          <w:ilvl w:val="0"/>
          <w:numId w:val="1001"/>
        </w:numPr>
      </w:pPr>
      <w:r>
        <w:t xml:space="preserve">Riemann D, Spiegelhalder K. Orexin receptor antagonists: a new treatment for insomnia?. The Lancet Neurology. 2014. doi:10.1016/s1474-4422(13)70311-9.</w:t>
      </w:r>
    </w:p>
    <w:p>
      <w:pPr>
        <w:pStyle w:val="Compact"/>
        <w:numPr>
          <w:ilvl w:val="0"/>
          <w:numId w:val="1001"/>
        </w:numPr>
      </w:pPr>
      <w:r>
        <w:t xml:space="preserve">Duan Y, Kelley N, He Y. Role of the NLRP3 inflammasome in neurodegenerative diseases and therapeutic implications. Neural Regeneration Research. 2020. doi:10.4103/1673-5374.272576.</w:t>
      </w:r>
    </w:p>
    <w:p>
      <w:pPr>
        <w:pStyle w:val="Compact"/>
        <w:numPr>
          <w:ilvl w:val="0"/>
          <w:numId w:val="1001"/>
        </w:numPr>
      </w:pPr>
      <w:r>
        <w:t xml:space="preserve">Yamazaki H, Tanji K, Wakabayashi K, Matsuura S, Itoh K. Role of the Keap1/Nrf2 pathway in neurodegenerative diseases. Pathology international. 2015. doi:10.1111/pin.12261.</w:t>
      </w:r>
    </w:p>
    <w:p>
      <w:pPr>
        <w:pStyle w:val="Compact"/>
        <w:numPr>
          <w:ilvl w:val="0"/>
          <w:numId w:val="1001"/>
        </w:numPr>
      </w:pPr>
      <w:r>
        <w:t xml:space="preserve">Kovalenko M, Erdin S, Andrew M et al. Histone deacetylase knockouts modify transcription, CAG instability and nuclear pathology in Huntington disease mice. eLife. 2020. doi:10.7554/elife.55911.</w:t>
      </w:r>
    </w:p>
    <w:p>
      <w:pPr>
        <w:pStyle w:val="Compact"/>
        <w:numPr>
          <w:ilvl w:val="0"/>
          <w:numId w:val="1001"/>
        </w:numPr>
      </w:pPr>
      <w:r>
        <w:t xml:space="preserve">RG M, JD M, M L et al. Riluzole for amyotrophic lateral sclerosis (ALS)/motor neuron disease (MND). Amyotrophic Lateral Sclerosis and Other Motor Neuron Disorders. 2003. doi:10.1080/14660820310002601.</w:t>
      </w:r>
    </w:p>
    <w:p>
      <w:pPr>
        <w:pStyle w:val="Compact"/>
        <w:numPr>
          <w:ilvl w:val="0"/>
          <w:numId w:val="1001"/>
        </w:numPr>
      </w:pPr>
      <w:r>
        <w:t xml:space="preserve">Ritter J. Cardiac safety, drug‐induced QT prolongation and torsade de pointes (TdP). British Journal of Clinical Pharmacology. 2012. doi:10.1111/j.1365-2125.2012.04193.x.</w:t>
      </w:r>
    </w:p>
    <w:p>
      <w:pPr>
        <w:pStyle w:val="Compact"/>
        <w:numPr>
          <w:ilvl w:val="0"/>
          <w:numId w:val="1001"/>
        </w:numPr>
      </w:pPr>
      <w:r>
        <w:t xml:space="preserve">Huang K, Fu T, Gao W, Zhao Y, Roohani Y, Leskovec J, Coley CW, Xiao C, Sun J, Zitnik M. Artificial intelligence foundation for therapeutic science. Nature chemical biology. 2022. doi:10.1038/s41589-022-01131-2.</w:t>
      </w:r>
    </w:p>
    <w:p>
      <w:pPr>
        <w:pStyle w:val="Compact"/>
        <w:numPr>
          <w:ilvl w:val="0"/>
          <w:numId w:val="1001"/>
        </w:numPr>
      </w:pPr>
      <w:r>
        <w:t xml:space="preserve">Wu Z, Ramsundar B, Feinberg E et al. MoleculeNet: a benchmark for molecular machine learning. Chemical Science. 2018. doi:10.1039/c7sc02664a.</w:t>
      </w:r>
    </w:p>
    <w:p>
      <w:pPr>
        <w:pStyle w:val="Compact"/>
        <w:numPr>
          <w:ilvl w:val="0"/>
          <w:numId w:val="1001"/>
        </w:numPr>
      </w:pPr>
      <w:r>
        <w:t xml:space="preserve">Pedregosa F, Varoquaux G, Gramfort A et al. Scikit-learn: Machine Learning in Python. Journal of Machine Learning Research. 2011;12:2825-2830. https://www.jmlr.org/papers/v12/pedregosa11a.html</w:t>
      </w:r>
    </w:p>
    <w:p>
      <w:pPr>
        <w:pStyle w:val="Compact"/>
        <w:numPr>
          <w:ilvl w:val="0"/>
          <w:numId w:val="1001"/>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1"/>
        </w:numPr>
      </w:pPr>
      <w:r>
        <w:t xml:space="preserve">Lin H, Lin C, Weng R. A note on Platt’s probabilistic outputs for support vector machines. Machine Learning. 2007. doi:10.1007/s10994-007-5018-6.</w:t>
      </w:r>
    </w:p>
    <w:p>
      <w:pPr>
        <w:pStyle w:val="Compact"/>
        <w:numPr>
          <w:ilvl w:val="0"/>
          <w:numId w:val="1001"/>
        </w:numPr>
      </w:pPr>
      <w:r>
        <w:t xml:space="preserve">Norinder U, Carlsson L, Boyer S et al. Introducing Conformal Prediction in Predictive Modeling. A Transparent and Flexible Alternative to Applicability Domain Determination. Journal of Chemical Information and Modeling. 2014. doi:10.1021/ci5001168.</w:t>
      </w:r>
    </w:p>
    <w:p>
      <w:pPr>
        <w:pStyle w:val="Compact"/>
        <w:numPr>
          <w:ilvl w:val="0"/>
          <w:numId w:val="1001"/>
        </w:numPr>
      </w:pPr>
      <w:r>
        <w:t xml:space="preserve">Jaworska J, Nikolova-Jeliazkova N, Aldenberg T. QSAR Applicability Domain Estimation by Projection of the Training Set in Descriptor Space: A Review. Alternatives to Laboratory Animals. 2005. doi:10.1177/026119290503300508.</w:t>
      </w:r>
    </w:p>
    <w:p>
      <w:pPr>
        <w:pStyle w:val="Compact"/>
        <w:numPr>
          <w:ilvl w:val="0"/>
          <w:numId w:val="1001"/>
        </w:numPr>
      </w:pPr>
      <w:r>
        <w:t xml:space="preserve">Kanehisa M, Goto S. KEGG: kyoto encyclopedia of genes and genomes. Nucleic acids research. 2000. doi:10.1093/nar/28.1.27.</w:t>
      </w:r>
    </w:p>
    <w:p>
      <w:pPr>
        <w:pStyle w:val="Compact"/>
        <w:numPr>
          <w:ilvl w:val="0"/>
          <w:numId w:val="1001"/>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w:t>
      </w:r>
    </w:p>
    <w:p>
      <w:pPr>
        <w:pStyle w:val="Compact"/>
        <w:numPr>
          <w:ilvl w:val="0"/>
          <w:numId w:val="1001"/>
        </w:numPr>
      </w:pPr>
      <w:r>
        <w:t xml:space="preserve">Harding SD, Armstrong JF, Faccenda E, Southan C, Alexander SPH, Davenport AP, Spedding M, Davies JA. The IUPHAR/BPS Guide to PHARMACOLOGY in 2024. Nucleic acids research. 2024. doi:10.1093/nar/gkad944.</w:t>
      </w:r>
    </w:p>
    <w:p>
      <w:pPr>
        <w:pStyle w:val="Compact"/>
        <w:numPr>
          <w:ilvl w:val="0"/>
          <w:numId w:val="1001"/>
        </w:numPr>
      </w:pPr>
      <w:r>
        <w:t xml:space="preserve">Streamlit: an open-source app framework. https://streamlit.io</w:t>
      </w:r>
    </w:p>
    <w:p>
      <w:pPr>
        <w:pStyle w:val="Compact"/>
        <w:numPr>
          <w:ilvl w:val="0"/>
          <w:numId w:val="1001"/>
        </w:numPr>
      </w:pPr>
      <w:r>
        <w:t xml:space="preserve">RDKit: Open-source cheminformatics. https://www.rdkit.org</w:t>
      </w:r>
    </w:p>
    <w:p>
      <w:pPr>
        <w:pStyle w:val="Compact"/>
        <w:numPr>
          <w:ilvl w:val="0"/>
          <w:numId w:val="1001"/>
        </w:numPr>
      </w:pPr>
      <w:r>
        <w:t xml:space="preserve">Wilson E. Probable Inference, the Law of Succession, and Statistical Inference. Journal of the American Statistical Association. 1927. doi:10.1080/01621459.1927.10502953.</w:t>
      </w:r>
    </w:p>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2026-08-14T05:05:00Z</dcterms:created>
  <dcterms:modified xsi:type="dcterms:W3CDTF">2026-08-14T05:05:00Z</dcterms:modified>
</cp:coreProperties>
</file>

<file path=docProps/custom.xml><?xml version="1.0" encoding="utf-8"?>
<Properties xmlns="http://schemas.openxmlformats.org/officeDocument/2006/custom-properties" xmlns:vt="http://schemas.openxmlformats.org/officeDocument/2006/docPropsVTypes"/>
</file>