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(26):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0.0253 across all 47 deployed endpoints</w:t>
      </w:r>
      <w:r>
        <w:t xml:space="preserve"> </w:t>
      </w:r>
      <w:r>
        <w:t xml:space="preserve">and a maximum of exactly 0.05, the target itself, reached by four endpoints; under the previous</w:t>
      </w:r>
      <w:r>
        <w:t xml:space="preserve"> </w:t>
      </w:r>
      <w:r>
        <w:t xml:space="preserve">procedure, where the same pool set the threshold and measured the rate, the two could not disagree by</w:t>
      </w:r>
      <w:r>
        <w:t xml:space="preserve"> </w:t>
      </w:r>
      <w:r>
        <w:t xml:space="preserve">construction, so a genuinely disjoint measurement landing at rather than below its target is the</w:t>
      </w:r>
      <w:r>
        <w:t xml:space="preserve"> </w:t>
      </w:r>
      <w:r>
        <w:t xml:space="preserve">expected behaviour of a real constraint rather than evidence against it.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and the median score among them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2026-09-13T12:51:23Z</dcterms:created>
  <dcterms:modified xsi:type="dcterms:W3CDTF">2026-09-13T12:51:23Z</dcterms:modified>
</cp:coreProperties>
</file>

<file path=docProps/custom.xml><?xml version="1.0" encoding="utf-8"?>
<Properties xmlns="http://schemas.openxmlformats.org/officeDocument/2006/custom-properties" xmlns:vt="http://schemas.openxmlformats.org/officeDocument/2006/docPropsVTypes"/>
</file>