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BrainSafe AI: an evidence-grounded, calibrated, blood–brain-barrier-gated multi-endpoint predictor of small-molecule effects on the human brain</w:t>
      </w:r>
    </w:p>
    <w:p>
      <w:pPr>
        <w:jc w:val="center"/>
      </w:pPr>
      <w:r>
        <w:rPr>
          <w:b w:val="0"/>
          <w:i/>
          <w:sz w:val="20"/>
        </w:rPr>
        <w:t>Running title: Multi-endpoint prediction of brain effects from measured data</w:t>
      </w:r>
    </w:p>
    <w:p>
      <w:pPr>
        <w:jc w:val="center"/>
      </w:pPr>
      <w:r>
        <w:rPr>
          <w:b w:val="0"/>
          <w:i w:val="0"/>
          <w:sz w:val="20"/>
        </w:rPr>
        <w:t>Author(s): [To be completed]   ·   ORCID: [____]</w:t>
      </w:r>
    </w:p>
    <w:p>
      <w:pPr>
        <w:jc w:val="center"/>
      </w:pPr>
      <w:r>
        <w:rPr>
          <w:b w:val="0"/>
          <w:i w:val="0"/>
          <w:sz w:val="20"/>
        </w:rPr>
        <w:t>Affiliation: Sri Sathya Sai Institute of Higher Learning, India   ·   Corresponding author: [email]</w:t>
      </w:r>
    </w:p>
    <w:p>
      <w:pPr>
        <w:jc w:val="center"/>
      </w:pPr>
      <w:r>
        <w:drawing>
          <wp:inline xmlns:a="http://schemas.openxmlformats.org/drawingml/2006/main" xmlns:pic="http://schemas.openxmlformats.org/drawingml/2006/picture">
            <wp:extent cx="6035040" cy="2474349"/>
            <wp:docPr id="1" name="Picture 1"/>
            <wp:cNvGraphicFramePr>
              <a:graphicFrameLocks noChangeAspect="1"/>
            </wp:cNvGraphicFramePr>
            <a:graphic>
              <a:graphicData uri="http://schemas.openxmlformats.org/drawingml/2006/picture">
                <pic:pic>
                  <pic:nvPicPr>
                    <pic:cNvPr id="0" name="graphical_abstract.png"/>
                    <pic:cNvPicPr/>
                  </pic:nvPicPr>
                  <pic:blipFill>
                    <a:blip r:embed="rId9"/>
                    <a:stretch>
                      <a:fillRect/>
                    </a:stretch>
                  </pic:blipFill>
                  <pic:spPr>
                    <a:xfrm>
                      <a:off x="0" y="0"/>
                      <a:ext cx="6035040" cy="2474349"/>
                    </a:xfrm>
                    <a:prstGeom prst="rect"/>
                  </pic:spPr>
                </pic:pic>
              </a:graphicData>
            </a:graphic>
          </wp:inline>
        </w:drawing>
      </w:r>
    </w:p>
    <w:p>
      <w:r>
        <w:rPr>
          <w:b w:val="0"/>
          <w:i/>
          <w:sz w:val="18"/>
        </w:rPr>
        <w:t>Graphical abstract.</w:t>
      </w:r>
    </w:p>
    <w:p>
      <w:pPr>
        <w:pStyle w:val="Heading2"/>
      </w:pPr>
      <w:r>
        <w:t>Highlights</w:t>
      </w:r>
    </w:p>
    <w:p>
      <w:pPr>
        <w:pStyle w:val="ListBullet"/>
      </w:pPr>
      <w:r>
        <w:rPr>
          <w:sz w:val="21"/>
        </w:rPr>
        <w:t>An open tool predicts CNS-relevant effects of any small molecule from structure alone, trained only on measured public data (ChEMBL_37, B3DB; 64,474 records).</w:t>
      </w:r>
    </w:p>
    <w:p>
      <w:pPr>
        <w:pStyle w:val="ListBullet"/>
      </w:pPr>
      <w:r>
        <w:rPr>
          <w:sz w:val="21"/>
        </w:rPr>
        <w:t>Eight classification endpoints (BBB, AChE, BChE, BACE1, GSK-3β, MAO-A, MAO-B, hERG) plus four receptor potency regressions and a measured antioxidant model.</w:t>
      </w:r>
    </w:p>
    <w:p>
      <w:pPr>
        <w:pStyle w:val="ListBullet"/>
      </w:pPr>
      <w:r>
        <w:rPr>
          <w:sz w:val="21"/>
        </w:rPr>
        <w:t>Probabilities are isotonic-calibrated and accompanied by conformal prediction sets with empirical coverage close to the 90% target.</w:t>
      </w:r>
    </w:p>
    <w:p>
      <w:pPr>
        <w:pStyle w:val="ListBullet"/>
      </w:pPr>
      <w:r>
        <w:rPr>
          <w:sz w:val="21"/>
        </w:rPr>
        <w:t>Models are evaluated under random, scaffold, leave-cluster-out and temporal splits; predictions are BBB-gated and grounded in nearest measured analogues.</w:t>
      </w:r>
    </w:p>
    <w:p>
      <w:pPr>
        <w:pStyle w:val="Heading1"/>
      </w:pPr>
      <w:r>
        <w:t>Abstract</w:t>
      </w:r>
    </w:p>
    <w:p>
      <w:pPr>
        <w:jc w:val="both"/>
      </w:pPr>
      <w:r>
        <w:rPr>
          <w:b w:val="0"/>
          <w:i w:val="0"/>
        </w:rPr>
        <w:t>Background. Predicting whether a small molecule acts on the brain requires several properties to be assessed jointly: blood–brain-barrier (BBB) penetration, engagement of disease-relevant central-nervous-system (CNS) targets, developability, safety and clinical precedent; existing public tools address only subsets of these (Daina et al., 2017; Fu et al., 2024). Results. We present BrainSafe AI, an open tool that, from chemical structure alone, integrates eight machine-learning endpoints trained on measured public bioactivity data (ChEMBL_37 pChEMBL values and the B3DB database; Mendez et al., 2019; Meng et al., 2021): BBB penetration; inhibition of AChE, BChE, BACE1, GSK-3β, MAO-A and MAO-B; and the hERG cardiotoxicity liability. Four receptor targets (D2, A2A, 5-HT2A, SERT) are modelled by potency regression, a deterministic druggability/CNS-MPO layer (Wager et al., 2010) is added, and a clinical-precedent layer of 504 nervous-system compounds with clinical-phase annotations contextualises predictions. Probabilities are isotonic-calibrated (Niculescu-Mizil and Caruana, 2005) with Mondrian conformal prediction sets (Norinder et al., 2014); each prediction reports its nearest measured analogues and is combined into BBB-gated per-disease scores. Across random, scaffold, leave-cluster-out and temporal validation, random-split AUROC was 0.94–0.98, scaffold and cluster AUROC 0.87–0.95, and temporal AUROC 0.61–0.92, with conformal coverage of 0.885–0.905. Conclusion. BrainSafe AI integrates measured-data CNS profiling that is calibrated, evidence-grounded, BBB-gated and safety-aware. Availability: code, models and data are released; the tool is for research use and is pending peer review.</w:t>
      </w:r>
    </w:p>
    <w:p>
      <w:r>
        <w:rPr>
          <w:b w:val="0"/>
          <w:i/>
          <w:sz w:val="20"/>
        </w:rPr>
        <w:t>Keywords: QSAR; blood–brain barrier; neurodegeneration; conformal prediction; applicability domain; cheminformatics; ChEMBL.</w:t>
      </w:r>
    </w:p>
    <w:p>
      <w:pPr>
        <w:pStyle w:val="Heading2"/>
      </w:pPr>
      <w:r>
        <w:t>Abbreviations</w:t>
      </w:r>
    </w:p>
    <w:p>
      <w:r>
        <w:rPr>
          <w:b w:val="0"/>
          <w:i w:val="0"/>
          <w:sz w:val="20"/>
        </w:rPr>
        <w:t>AUROC, area under the receiver-operating-characteristic curve; BBB, blood–brain barrier; CNS, central nervous system; CNS-MPO, CNS multiparameter optimisation; ECFP, extended-connectivity fingerprint; MCC, Matthews correlation coefficient; PR-AUC, area under the precision–recall curve; OOF, out-of-fold; CV, cross-validation; ATC, Anatomical Therapeutic Chemical; DPPH, 2,2-diphenyl-1-picrylhydrazyl; QED, quantitative estimate of drug-likeness; AChE/BChE, acetyl-/butyryl-cholinesterase; BACE1, β-secretase 1; GSK-3β, glycogen synthase kinase-3β; MAO, monoamine oxidase; hERG, human ether-à-go-go-related gene; SERT, serotonin transporter.</w:t>
      </w:r>
    </w:p>
    <w:p>
      <w:pPr>
        <w:pStyle w:val="Heading1"/>
      </w:pPr>
      <w:r>
        <w:t>1. Introduction</w:t>
      </w:r>
    </w:p>
    <w:p>
      <w:pPr>
        <w:jc w:val="both"/>
      </w:pPr>
      <w:r>
        <w:rPr>
          <w:b w:val="0"/>
          <w:i w:val="0"/>
        </w:rPr>
        <w:t>Disorders of the nervous system are a leading and rising cause of global disability (GBD 2021 Nervous System Disorders Collaborators, 2024), and the discovery of safe, brain-penetrant modulators remains slow. Natural products and flavonoids are widely studied for neuroprotective and antioxidant activity, but integrated CNS profiles for individual compounds are dispersed across the literature (Hasan et al., 2023). A compound’s likely brain effect depends jointly on BBB penetration, engagement of disease-relevant CNS targets, developability, safety, and clinical precedent.</w:t>
      </w:r>
    </w:p>
    <w:p>
      <w:pPr>
        <w:jc w:val="both"/>
      </w:pPr>
      <w:r>
        <w:rPr>
          <w:b w:val="0"/>
          <w:i w:val="0"/>
        </w:rPr>
        <w:t>Existing public resources address parts of this problem. General ADMET platforms (Daina et al., 2017; Xiong et al., 2021; Fu et al., 2024; Cheng et al., 2012) predict BBB and hERG but not CNS-target activity; generic target-prediction tools (Daina et al., 2019; Awale and Reymond, 2019) predict protein targets by similarity but do not condition on brain penetration, synthesise disease-level effects, provide calibrated uncertainty, or integrate a safety axis. Endpoint-specific QSAR models have been reported for AChE/BACE1 (Ponzoni et al., 2019), MAO-B (Kumar et al., 2024), GSK-3β (Galati et al., 2023) and BBB permeability (Kumar et al., 2022; Huang et al., 2024) but are not combined in a single tool. BrainSafe AI integrates these endpoints, trained on measured public data and evaluated under four validation regimes.</w:t>
      </w:r>
    </w:p>
    <w:p>
      <w:pPr>
        <w:pStyle w:val="Heading1"/>
      </w:pPr>
      <w:r>
        <w:t>2. Materials and methods</w:t>
      </w:r>
    </w:p>
    <w:p>
      <w:pPr>
        <w:jc w:val="center"/>
      </w:pPr>
      <w:r>
        <w:drawing>
          <wp:inline xmlns:a="http://schemas.openxmlformats.org/drawingml/2006/main" xmlns:pic="http://schemas.openxmlformats.org/drawingml/2006/picture">
            <wp:extent cx="5760720" cy="2402165"/>
            <wp:docPr id="2" name="Picture 2"/>
            <wp:cNvGraphicFramePr>
              <a:graphicFrameLocks noChangeAspect="1"/>
            </wp:cNvGraphicFramePr>
            <a:graphic>
              <a:graphicData uri="http://schemas.openxmlformats.org/drawingml/2006/picture">
                <pic:pic>
                  <pic:nvPicPr>
                    <pic:cNvPr id="0" name="fig1_workflow.png"/>
                    <pic:cNvPicPr/>
                  </pic:nvPicPr>
                  <pic:blipFill>
                    <a:blip r:embed="rId10"/>
                    <a:stretch>
                      <a:fillRect/>
                    </a:stretch>
                  </pic:blipFill>
                  <pic:spPr>
                    <a:xfrm>
                      <a:off x="0" y="0"/>
                      <a:ext cx="5760720" cy="2402165"/>
                    </a:xfrm>
                    <a:prstGeom prst="rect"/>
                  </pic:spPr>
                </pic:pic>
              </a:graphicData>
            </a:graphic>
          </wp:inline>
        </w:drawing>
      </w:r>
    </w:p>
    <w:p>
      <w:r>
        <w:rPr>
          <w:b w:val="0"/>
          <w:i/>
          <w:sz w:val="18"/>
        </w:rPr>
        <w:t>Figure 1. Overview of the BrainSafe AI pipeline, from measured data sources through curation, featurisation, ensemble training and calibration/conformal prediction to the integrated outputs and the four validation regimes.</w:t>
      </w:r>
    </w:p>
    <w:p>
      <w:pPr>
        <w:pStyle w:val="Heading2"/>
      </w:pPr>
      <w:r>
        <w:t>2.1 Data sources</w:t>
      </w:r>
    </w:p>
    <w:p>
      <w:pPr>
        <w:jc w:val="both"/>
      </w:pPr>
      <w:r>
        <w:rPr>
          <w:b w:val="0"/>
          <w:i w:val="0"/>
        </w:rPr>
        <w:t>Target bioactivities were retrieved from ChEMBL version 37 (release 2026-05-01) via its REST API (Gaulton et al., 2012; Mendez et al., 2019; Zdrazil et al., 2024), retaining records with a defined pChEMBL value (standard types IC50, Ki, Kd, EC50, Potency) for AChE (CHEMBL220), BChE (CHEMBL1914), BACE1 (CHEMBL4822), GSK-3β (CHEMBL262), MAO-A (CHEMBL1951), MAO-B (CHEMBL2039), the hERG anti-target (CHEMBL240), and receptors D2 (CHEMBL217), A2A (CHEMBL251), 5-HT2A (CHEMBL224) and SERT (CHEMBL228). BBB labels were taken from B3DB (Meng et al., 2021); antioxidant data from ChEMBL DPPH radical-scavenging assays (IC50/EC50 → pIC50); and clinical precedent from ChEMBL ATC level-1 ‘N’ molecules with a clinical phase. Structures for user-entered compounds are resolved via PubChem (Kim et al., 2023). All endpoints are trained on measured experimental data (Table 1), totalling 64,474 measured compound–endpoint records; ChEMBL document years (1976–2025) were retained to enable temporal validation (Sheridan, 2013).</w:t>
      </w:r>
    </w:p>
    <w:p>
      <w:r>
        <w:rPr>
          <w:b w:val="0"/>
          <w:i/>
          <w:sz w:val="18"/>
        </w:rPr>
        <w:t>Table 1. Data provenance for each endpoint (all trained on measured experimental data).</w:t>
      </w:r>
    </w:p>
    <w:tbl>
      <w:tblPr>
        <w:tblStyle w:val="TableGrid"/>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
              <w:rPr>
                <w:b/>
                <w:sz w:val="17"/>
              </w:rPr>
              <w:t>Endpoint</w:t>
            </w:r>
          </w:p>
        </w:tc>
        <w:tc>
          <w:tcPr>
            <w:tcW w:type="dxa" w:w="1170"/>
          </w:tcPr>
          <w:p>
            <w:r/>
            <w:r>
              <w:rPr>
                <w:b/>
                <w:sz w:val="17"/>
              </w:rPr>
              <w:t>Role</w:t>
            </w:r>
          </w:p>
        </w:tc>
        <w:tc>
          <w:tcPr>
            <w:tcW w:type="dxa" w:w="1170"/>
          </w:tcPr>
          <w:p>
            <w:r/>
            <w:r>
              <w:rPr>
                <w:b/>
                <w:sz w:val="17"/>
              </w:rPr>
              <w:t>Modality</w:t>
            </w:r>
          </w:p>
        </w:tc>
        <w:tc>
          <w:tcPr>
            <w:tcW w:type="dxa" w:w="1170"/>
          </w:tcPr>
          <w:p>
            <w:r/>
            <w:r>
              <w:rPr>
                <w:b/>
                <w:sz w:val="17"/>
              </w:rPr>
              <w:t>Source</w:t>
            </w:r>
          </w:p>
        </w:tc>
        <w:tc>
          <w:tcPr>
            <w:tcW w:type="dxa" w:w="1170"/>
          </w:tcPr>
          <w:p>
            <w:r/>
            <w:r>
              <w:rPr>
                <w:b/>
                <w:sz w:val="17"/>
              </w:rPr>
              <w:t>Identifier</w:t>
            </w:r>
          </w:p>
        </w:tc>
        <w:tc>
          <w:tcPr>
            <w:tcW w:type="dxa" w:w="1170"/>
          </w:tcPr>
          <w:p>
            <w:r/>
            <w:r>
              <w:rPr>
                <w:b/>
                <w:sz w:val="17"/>
              </w:rPr>
              <w:t>Measurement</w:t>
            </w:r>
          </w:p>
        </w:tc>
        <w:tc>
          <w:tcPr>
            <w:tcW w:type="dxa" w:w="1170"/>
          </w:tcPr>
          <w:p>
            <w:r/>
            <w:r>
              <w:rPr>
                <w:b/>
                <w:sz w:val="17"/>
              </w:rPr>
              <w:t>n</w:t>
            </w:r>
          </w:p>
        </w:tc>
        <w:tc>
          <w:tcPr>
            <w:tcW w:type="dxa" w:w="1170"/>
          </w:tcPr>
          <w:p>
            <w:r/>
            <w:r>
              <w:rPr>
                <w:b/>
                <w:sz w:val="17"/>
              </w:rPr>
              <w:t>Year range</w:t>
            </w:r>
          </w:p>
        </w:tc>
      </w:tr>
      <w:tr>
        <w:tc>
          <w:tcPr>
            <w:tcW w:type="dxa" w:w="1170"/>
          </w:tcPr>
          <w:p>
            <w:r/>
            <w:r>
              <w:rPr>
                <w:sz w:val="17"/>
              </w:rPr>
              <w:t>BBB</w:t>
            </w:r>
          </w:p>
        </w:tc>
        <w:tc>
          <w:tcPr>
            <w:tcW w:type="dxa" w:w="1170"/>
          </w:tcPr>
          <w:p>
            <w:r/>
            <w:r>
              <w:rPr>
                <w:sz w:val="17"/>
              </w:rPr>
              <w:t>BBB gate</w:t>
            </w:r>
          </w:p>
        </w:tc>
        <w:tc>
          <w:tcPr>
            <w:tcW w:type="dxa" w:w="1170"/>
          </w:tcPr>
          <w:p>
            <w:r/>
            <w:r>
              <w:rPr>
                <w:sz w:val="17"/>
              </w:rPr>
              <w:t>Classification</w:t>
            </w:r>
          </w:p>
        </w:tc>
        <w:tc>
          <w:tcPr>
            <w:tcW w:type="dxa" w:w="1170"/>
          </w:tcPr>
          <w:p>
            <w:r/>
            <w:r>
              <w:rPr>
                <w:sz w:val="17"/>
              </w:rPr>
              <w:t>B3DB (measured)</w:t>
            </w:r>
          </w:p>
        </w:tc>
        <w:tc>
          <w:tcPr>
            <w:tcW w:type="dxa" w:w="1170"/>
          </w:tcPr>
          <w:p>
            <w:r/>
            <w:r>
              <w:rPr>
                <w:sz w:val="17"/>
              </w:rPr>
              <w:t>B3DB</w:t>
            </w:r>
          </w:p>
        </w:tc>
        <w:tc>
          <w:tcPr>
            <w:tcW w:type="dxa" w:w="1170"/>
          </w:tcPr>
          <w:p>
            <w:r/>
            <w:r>
              <w:rPr>
                <w:sz w:val="17"/>
              </w:rPr>
              <w:t>BBB+/- permeability</w:t>
            </w:r>
          </w:p>
        </w:tc>
        <w:tc>
          <w:tcPr>
            <w:tcW w:type="dxa" w:w="1170"/>
          </w:tcPr>
          <w:p>
            <w:r/>
            <w:r>
              <w:rPr>
                <w:sz w:val="17"/>
              </w:rPr>
              <w:t>7807</w:t>
            </w:r>
          </w:p>
        </w:tc>
        <w:tc>
          <w:tcPr>
            <w:tcW w:type="dxa" w:w="1170"/>
          </w:tcPr>
          <w:p>
            <w:r/>
            <w:r>
              <w:rPr>
                <w:sz w:val="17"/>
              </w:rPr>
              <w:t>curated</w:t>
            </w:r>
          </w:p>
        </w:tc>
      </w:tr>
      <w:tr>
        <w:tc>
          <w:tcPr>
            <w:tcW w:type="dxa" w:w="1170"/>
          </w:tcPr>
          <w:p>
            <w:r/>
            <w:r>
              <w:rPr>
                <w:sz w:val="17"/>
              </w:rPr>
              <w:t>AChE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CHEMBL220</w:t>
            </w:r>
          </w:p>
        </w:tc>
        <w:tc>
          <w:tcPr>
            <w:tcW w:type="dxa" w:w="1170"/>
          </w:tcPr>
          <w:p>
            <w:r/>
            <w:r>
              <w:rPr>
                <w:sz w:val="17"/>
              </w:rPr>
              <w:t>pChEMBL (IC50/Ki/Kd/EC50)</w:t>
            </w:r>
          </w:p>
        </w:tc>
        <w:tc>
          <w:tcPr>
            <w:tcW w:type="dxa" w:w="1170"/>
          </w:tcPr>
          <w:p>
            <w:r/>
            <w:r>
              <w:rPr>
                <w:sz w:val="17"/>
              </w:rPr>
              <w:t>4324</w:t>
            </w:r>
          </w:p>
        </w:tc>
        <w:tc>
          <w:tcPr>
            <w:tcW w:type="dxa" w:w="1170"/>
          </w:tcPr>
          <w:p>
            <w:r/>
            <w:r>
              <w:rPr>
                <w:sz w:val="17"/>
              </w:rPr>
              <w:t>1986-2025</w:t>
            </w:r>
          </w:p>
        </w:tc>
      </w:tr>
      <w:tr>
        <w:tc>
          <w:tcPr>
            <w:tcW w:type="dxa" w:w="1170"/>
          </w:tcPr>
          <w:p>
            <w:r/>
            <w:r>
              <w:rPr>
                <w:sz w:val="17"/>
              </w:rPr>
              <w:t>BChE</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CHEMBL1914</w:t>
            </w:r>
          </w:p>
        </w:tc>
        <w:tc>
          <w:tcPr>
            <w:tcW w:type="dxa" w:w="1170"/>
          </w:tcPr>
          <w:p>
            <w:r/>
            <w:r>
              <w:rPr>
                <w:sz w:val="17"/>
              </w:rPr>
              <w:t>pChEMBL (IC50/Ki/Kd/EC50)</w:t>
            </w:r>
          </w:p>
        </w:tc>
        <w:tc>
          <w:tcPr>
            <w:tcW w:type="dxa" w:w="1170"/>
          </w:tcPr>
          <w:p>
            <w:r/>
            <w:r>
              <w:rPr>
                <w:sz w:val="17"/>
              </w:rPr>
              <w:t>2580</w:t>
            </w:r>
          </w:p>
        </w:tc>
        <w:tc>
          <w:tcPr>
            <w:tcW w:type="dxa" w:w="1170"/>
          </w:tcPr>
          <w:p>
            <w:r/>
            <w:r>
              <w:rPr>
                <w:sz w:val="17"/>
              </w:rPr>
              <w:t>1976-2025</w:t>
            </w:r>
          </w:p>
        </w:tc>
      </w:tr>
      <w:tr>
        <w:tc>
          <w:tcPr>
            <w:tcW w:type="dxa" w:w="1170"/>
          </w:tcPr>
          <w:p>
            <w:r/>
            <w:r>
              <w:rPr>
                <w:sz w:val="17"/>
              </w:rPr>
              <w:t>BACE1</w:t>
            </w:r>
          </w:p>
        </w:tc>
        <w:tc>
          <w:tcPr>
            <w:tcW w:type="dxa" w:w="1170"/>
          </w:tcPr>
          <w:p>
            <w:r/>
            <w:r>
              <w:rPr>
                <w:sz w:val="17"/>
              </w:rPr>
              <w:t>Alzheimer's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CHEMBL4822</w:t>
            </w:r>
          </w:p>
        </w:tc>
        <w:tc>
          <w:tcPr>
            <w:tcW w:type="dxa" w:w="1170"/>
          </w:tcPr>
          <w:p>
            <w:r/>
            <w:r>
              <w:rPr>
                <w:sz w:val="17"/>
              </w:rPr>
              <w:t>pChEMBL (IC50/Ki/Kd/EC50)</w:t>
            </w:r>
          </w:p>
        </w:tc>
        <w:tc>
          <w:tcPr>
            <w:tcW w:type="dxa" w:w="1170"/>
          </w:tcPr>
          <w:p>
            <w:r/>
            <w:r>
              <w:rPr>
                <w:sz w:val="17"/>
              </w:rPr>
              <w:t>8067</w:t>
            </w:r>
          </w:p>
        </w:tc>
        <w:tc>
          <w:tcPr>
            <w:tcW w:type="dxa" w:w="1170"/>
          </w:tcPr>
          <w:p>
            <w:r/>
            <w:r>
              <w:rPr>
                <w:sz w:val="17"/>
              </w:rPr>
              <w:t>2001-2025</w:t>
            </w:r>
          </w:p>
        </w:tc>
      </w:tr>
      <w:tr>
        <w:tc>
          <w:tcPr>
            <w:tcW w:type="dxa" w:w="1170"/>
          </w:tcPr>
          <w:p>
            <w:r/>
            <w:r>
              <w:rPr>
                <w:sz w:val="17"/>
              </w:rPr>
              <w:t>GSK3B</w:t>
            </w:r>
          </w:p>
        </w:tc>
        <w:tc>
          <w:tcPr>
            <w:tcW w:type="dxa" w:w="1170"/>
          </w:tcPr>
          <w:p>
            <w:r/>
            <w:r>
              <w:rPr>
                <w:sz w:val="17"/>
              </w:rPr>
              <w:t>Neuroprotection (tau)</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CHEMBL262</w:t>
            </w:r>
          </w:p>
        </w:tc>
        <w:tc>
          <w:tcPr>
            <w:tcW w:type="dxa" w:w="1170"/>
          </w:tcPr>
          <w:p>
            <w:r/>
            <w:r>
              <w:rPr>
                <w:sz w:val="17"/>
              </w:rPr>
              <w:t>pChEMBL (IC50/Ki/Kd/EC50)</w:t>
            </w:r>
          </w:p>
        </w:tc>
        <w:tc>
          <w:tcPr>
            <w:tcW w:type="dxa" w:w="1170"/>
          </w:tcPr>
          <w:p>
            <w:r/>
            <w:r>
              <w:rPr>
                <w:sz w:val="17"/>
              </w:rPr>
              <w:t>4044</w:t>
            </w:r>
          </w:p>
        </w:tc>
        <w:tc>
          <w:tcPr>
            <w:tcW w:type="dxa" w:w="1170"/>
          </w:tcPr>
          <w:p>
            <w:r/>
            <w:r>
              <w:rPr>
                <w:sz w:val="17"/>
              </w:rPr>
              <w:t>2000-2025</w:t>
            </w:r>
          </w:p>
        </w:tc>
      </w:tr>
      <w:tr>
        <w:tc>
          <w:tcPr>
            <w:tcW w:type="dxa" w:w="1170"/>
          </w:tcPr>
          <w:p>
            <w:r/>
            <w:r>
              <w:rPr>
                <w:sz w:val="17"/>
              </w:rPr>
              <w:t>MAO-B</w:t>
            </w:r>
          </w:p>
        </w:tc>
        <w:tc>
          <w:tcPr>
            <w:tcW w:type="dxa" w:w="1170"/>
          </w:tcPr>
          <w:p>
            <w:r/>
            <w:r>
              <w:rPr>
                <w:sz w:val="17"/>
              </w:rPr>
              <w:t>Parkinson's</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CHEMBL2039</w:t>
            </w:r>
          </w:p>
        </w:tc>
        <w:tc>
          <w:tcPr>
            <w:tcW w:type="dxa" w:w="1170"/>
          </w:tcPr>
          <w:p>
            <w:r/>
            <w:r>
              <w:rPr>
                <w:sz w:val="17"/>
              </w:rPr>
              <w:t>pChEMBL (IC50/Ki/Kd/EC50)</w:t>
            </w:r>
          </w:p>
        </w:tc>
        <w:tc>
          <w:tcPr>
            <w:tcW w:type="dxa" w:w="1170"/>
          </w:tcPr>
          <w:p>
            <w:r/>
            <w:r>
              <w:rPr>
                <w:sz w:val="17"/>
              </w:rPr>
              <w:t>3455</w:t>
            </w:r>
          </w:p>
        </w:tc>
        <w:tc>
          <w:tcPr>
            <w:tcW w:type="dxa" w:w="1170"/>
          </w:tcPr>
          <w:p>
            <w:r/>
            <w:r>
              <w:rPr>
                <w:sz w:val="17"/>
              </w:rPr>
              <w:t>1990-2025</w:t>
            </w:r>
          </w:p>
        </w:tc>
      </w:tr>
      <w:tr>
        <w:tc>
          <w:tcPr>
            <w:tcW w:type="dxa" w:w="1170"/>
          </w:tcPr>
          <w:p>
            <w:r/>
            <w:r>
              <w:rPr>
                <w:sz w:val="17"/>
              </w:rPr>
              <w:t>MAO-A</w:t>
            </w:r>
          </w:p>
        </w:tc>
        <w:tc>
          <w:tcPr>
            <w:tcW w:type="dxa" w:w="1170"/>
          </w:tcPr>
          <w:p>
            <w:r/>
            <w:r>
              <w:rPr>
                <w:sz w:val="17"/>
              </w:rPr>
              <w:t>Depression</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CHEMBL1951</w:t>
            </w:r>
          </w:p>
        </w:tc>
        <w:tc>
          <w:tcPr>
            <w:tcW w:type="dxa" w:w="1170"/>
          </w:tcPr>
          <w:p>
            <w:r/>
            <w:r>
              <w:rPr>
                <w:sz w:val="17"/>
              </w:rPr>
              <w:t>pChEMBL (IC50/Ki/Kd/EC50)</w:t>
            </w:r>
          </w:p>
        </w:tc>
        <w:tc>
          <w:tcPr>
            <w:tcW w:type="dxa" w:w="1170"/>
          </w:tcPr>
          <w:p>
            <w:r/>
            <w:r>
              <w:rPr>
                <w:sz w:val="17"/>
              </w:rPr>
              <w:t>2141</w:t>
            </w:r>
          </w:p>
        </w:tc>
        <w:tc>
          <w:tcPr>
            <w:tcW w:type="dxa" w:w="1170"/>
          </w:tcPr>
          <w:p>
            <w:r/>
            <w:r>
              <w:rPr>
                <w:sz w:val="17"/>
              </w:rPr>
              <w:t>1990-2025</w:t>
            </w:r>
          </w:p>
        </w:tc>
      </w:tr>
      <w:tr>
        <w:tc>
          <w:tcPr>
            <w:tcW w:type="dxa" w:w="1170"/>
          </w:tcPr>
          <w:p>
            <w:r/>
            <w:r>
              <w:rPr>
                <w:sz w:val="17"/>
              </w:rPr>
              <w:t>D2</w:t>
            </w:r>
          </w:p>
        </w:tc>
        <w:tc>
          <w:tcPr>
            <w:tcW w:type="dxa" w:w="1170"/>
          </w:tcPr>
          <w:p>
            <w:r/>
            <w:r>
              <w:rPr>
                <w:sz w:val="17"/>
              </w:rPr>
              <w:t>Parkinson's/psychosis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CHEMBL217</w:t>
            </w:r>
          </w:p>
        </w:tc>
        <w:tc>
          <w:tcPr>
            <w:tcW w:type="dxa" w:w="1170"/>
          </w:tcPr>
          <w:p>
            <w:r/>
            <w:r>
              <w:rPr>
                <w:sz w:val="17"/>
              </w:rPr>
              <w:t>pChEMBL (IC50/Ki/Kd/EC50)</w:t>
            </w:r>
          </w:p>
        </w:tc>
        <w:tc>
          <w:tcPr>
            <w:tcW w:type="dxa" w:w="1170"/>
          </w:tcPr>
          <w:p>
            <w:r/>
            <w:r>
              <w:rPr>
                <w:sz w:val="17"/>
              </w:rPr>
              <w:t>7511</w:t>
            </w:r>
          </w:p>
        </w:tc>
        <w:tc>
          <w:tcPr>
            <w:tcW w:type="dxa" w:w="1170"/>
          </w:tcPr>
          <w:p>
            <w:r/>
            <w:r>
              <w:rPr>
                <w:sz w:val="17"/>
              </w:rPr>
              <w:t>1987-2025</w:t>
            </w:r>
          </w:p>
        </w:tc>
      </w:tr>
      <w:tr>
        <w:tc>
          <w:tcPr>
            <w:tcW w:type="dxa" w:w="1170"/>
          </w:tcPr>
          <w:p>
            <w:r/>
            <w:r>
              <w:rPr>
                <w:sz w:val="17"/>
              </w:rPr>
              <w:t>A2A</w:t>
            </w:r>
          </w:p>
        </w:tc>
        <w:tc>
          <w:tcPr>
            <w:tcW w:type="dxa" w:w="1170"/>
          </w:tcPr>
          <w:p>
            <w:r/>
            <w:r>
              <w:rPr>
                <w:sz w:val="17"/>
              </w:rPr>
              <w:t>Parkinson's</w:t>
            </w:r>
          </w:p>
        </w:tc>
        <w:tc>
          <w:tcPr>
            <w:tcW w:type="dxa" w:w="1170"/>
          </w:tcPr>
          <w:p>
            <w:r/>
            <w:r>
              <w:rPr>
                <w:sz w:val="17"/>
              </w:rPr>
              <w:t>Regression</w:t>
            </w:r>
          </w:p>
        </w:tc>
        <w:tc>
          <w:tcPr>
            <w:tcW w:type="dxa" w:w="1170"/>
          </w:tcPr>
          <w:p>
            <w:r/>
            <w:r>
              <w:rPr>
                <w:sz w:val="17"/>
              </w:rPr>
              <w:t>ChEMBL (measured)</w:t>
            </w:r>
          </w:p>
        </w:tc>
        <w:tc>
          <w:tcPr>
            <w:tcW w:type="dxa" w:w="1170"/>
          </w:tcPr>
          <w:p>
            <w:r/>
            <w:r>
              <w:rPr>
                <w:sz w:val="17"/>
              </w:rPr>
              <w:t>CHEMBL251</w:t>
            </w:r>
          </w:p>
        </w:tc>
        <w:tc>
          <w:tcPr>
            <w:tcW w:type="dxa" w:w="1170"/>
          </w:tcPr>
          <w:p>
            <w:r/>
            <w:r>
              <w:rPr>
                <w:sz w:val="17"/>
              </w:rPr>
              <w:t>pChEMBL (IC50/Ki/Kd/EC50)</w:t>
            </w:r>
          </w:p>
        </w:tc>
        <w:tc>
          <w:tcPr>
            <w:tcW w:type="dxa" w:w="1170"/>
          </w:tcPr>
          <w:p>
            <w:r/>
            <w:r>
              <w:rPr>
                <w:sz w:val="17"/>
              </w:rPr>
              <w:t>5547</w:t>
            </w:r>
          </w:p>
        </w:tc>
        <w:tc>
          <w:tcPr>
            <w:tcW w:type="dxa" w:w="1170"/>
          </w:tcPr>
          <w:p>
            <w:r/>
            <w:r>
              <w:rPr>
                <w:sz w:val="17"/>
              </w:rPr>
              <w:t>1992-2025</w:t>
            </w:r>
          </w:p>
        </w:tc>
      </w:tr>
      <w:tr>
        <w:tc>
          <w:tcPr>
            <w:tcW w:type="dxa" w:w="1170"/>
          </w:tcPr>
          <w:p>
            <w:r/>
            <w:r>
              <w:rPr>
                <w:sz w:val="17"/>
              </w:rPr>
              <w:t>HT2A</w:t>
            </w:r>
          </w:p>
        </w:tc>
        <w:tc>
          <w:tcPr>
            <w:tcW w:type="dxa" w:w="1170"/>
          </w:tcPr>
          <w:p>
            <w:r/>
            <w:r>
              <w:rPr>
                <w:sz w:val="17"/>
              </w:rPr>
              <w:t>Mood/psychosis</w:t>
            </w:r>
          </w:p>
        </w:tc>
        <w:tc>
          <w:tcPr>
            <w:tcW w:type="dxa" w:w="1170"/>
          </w:tcPr>
          <w:p>
            <w:r/>
            <w:r>
              <w:rPr>
                <w:sz w:val="17"/>
              </w:rPr>
              <w:t>Regression</w:t>
            </w:r>
          </w:p>
        </w:tc>
        <w:tc>
          <w:tcPr>
            <w:tcW w:type="dxa" w:w="1170"/>
          </w:tcPr>
          <w:p>
            <w:r/>
            <w:r>
              <w:rPr>
                <w:sz w:val="17"/>
              </w:rPr>
              <w:t>ChEMBL (measured)</w:t>
            </w:r>
          </w:p>
        </w:tc>
        <w:tc>
          <w:tcPr>
            <w:tcW w:type="dxa" w:w="1170"/>
          </w:tcPr>
          <w:p>
            <w:r/>
            <w:r>
              <w:rPr>
                <w:sz w:val="17"/>
              </w:rPr>
              <w:t>CHEMBL224</w:t>
            </w:r>
          </w:p>
        </w:tc>
        <w:tc>
          <w:tcPr>
            <w:tcW w:type="dxa" w:w="1170"/>
          </w:tcPr>
          <w:p>
            <w:r/>
            <w:r>
              <w:rPr>
                <w:sz w:val="17"/>
              </w:rPr>
              <w:t>pChEMBL (IC50/Ki/Kd/EC50)</w:t>
            </w:r>
          </w:p>
        </w:tc>
        <w:tc>
          <w:tcPr>
            <w:tcW w:type="dxa" w:w="1170"/>
          </w:tcPr>
          <w:p>
            <w:r/>
            <w:r>
              <w:rPr>
                <w:sz w:val="17"/>
              </w:rPr>
              <w:t>5256</w:t>
            </w:r>
          </w:p>
        </w:tc>
        <w:tc>
          <w:tcPr>
            <w:tcW w:type="dxa" w:w="1170"/>
          </w:tcPr>
          <w:p>
            <w:r/>
            <w:r>
              <w:rPr>
                <w:sz w:val="17"/>
              </w:rPr>
              <w:t>1994-2025</w:t>
            </w:r>
          </w:p>
        </w:tc>
      </w:tr>
      <w:tr>
        <w:tc>
          <w:tcPr>
            <w:tcW w:type="dxa" w:w="1170"/>
          </w:tcPr>
          <w:p>
            <w:r/>
            <w:r>
              <w:rPr>
                <w:sz w:val="17"/>
              </w:rPr>
              <w:t>SERT</w:t>
            </w:r>
          </w:p>
        </w:tc>
        <w:tc>
          <w:tcPr>
            <w:tcW w:type="dxa" w:w="1170"/>
          </w:tcPr>
          <w:p>
            <w:r/>
            <w:r>
              <w:rPr>
                <w:sz w:val="17"/>
              </w:rPr>
              <w:t>Depression</w:t>
            </w:r>
          </w:p>
        </w:tc>
        <w:tc>
          <w:tcPr>
            <w:tcW w:type="dxa" w:w="1170"/>
          </w:tcPr>
          <w:p>
            <w:r/>
            <w:r>
              <w:rPr>
                <w:sz w:val="17"/>
              </w:rPr>
              <w:t>Regression</w:t>
            </w:r>
          </w:p>
        </w:tc>
        <w:tc>
          <w:tcPr>
            <w:tcW w:type="dxa" w:w="1170"/>
          </w:tcPr>
          <w:p>
            <w:r/>
            <w:r>
              <w:rPr>
                <w:sz w:val="17"/>
              </w:rPr>
              <w:t>ChEMBL (measured)</w:t>
            </w:r>
          </w:p>
        </w:tc>
        <w:tc>
          <w:tcPr>
            <w:tcW w:type="dxa" w:w="1170"/>
          </w:tcPr>
          <w:p>
            <w:r/>
            <w:r>
              <w:rPr>
                <w:sz w:val="17"/>
              </w:rPr>
              <w:t>CHEMBL228</w:t>
            </w:r>
          </w:p>
        </w:tc>
        <w:tc>
          <w:tcPr>
            <w:tcW w:type="dxa" w:w="1170"/>
          </w:tcPr>
          <w:p>
            <w:r/>
            <w:r>
              <w:rPr>
                <w:sz w:val="17"/>
              </w:rPr>
              <w:t>pChEMBL (IC50/Ki/Kd/EC50)</w:t>
            </w:r>
          </w:p>
        </w:tc>
        <w:tc>
          <w:tcPr>
            <w:tcW w:type="dxa" w:w="1170"/>
          </w:tcPr>
          <w:p>
            <w:r/>
            <w:r>
              <w:rPr>
                <w:sz w:val="17"/>
              </w:rPr>
              <w:t>4471</w:t>
            </w:r>
          </w:p>
        </w:tc>
        <w:tc>
          <w:tcPr>
            <w:tcW w:type="dxa" w:w="1170"/>
          </w:tcPr>
          <w:p>
            <w:r/>
            <w:r>
              <w:rPr>
                <w:sz w:val="17"/>
              </w:rPr>
              <w:t>1980-2025</w:t>
            </w:r>
          </w:p>
        </w:tc>
      </w:tr>
      <w:tr>
        <w:tc>
          <w:tcPr>
            <w:tcW w:type="dxa" w:w="1170"/>
          </w:tcPr>
          <w:p>
            <w:r/>
            <w:r>
              <w:rPr>
                <w:sz w:val="17"/>
              </w:rPr>
              <w:t>hERG</w:t>
            </w:r>
          </w:p>
        </w:tc>
        <w:tc>
          <w:tcPr>
            <w:tcW w:type="dxa" w:w="1170"/>
          </w:tcPr>
          <w:p>
            <w:r/>
            <w:r>
              <w:rPr>
                <w:sz w:val="17"/>
              </w:rPr>
              <w:t>Safety (cardiotox)</w:t>
            </w:r>
          </w:p>
        </w:tc>
        <w:tc>
          <w:tcPr>
            <w:tcW w:type="dxa" w:w="1170"/>
          </w:tcPr>
          <w:p>
            <w:r/>
            <w:r>
              <w:rPr>
                <w:sz w:val="17"/>
              </w:rPr>
              <w:t>Classification</w:t>
            </w:r>
          </w:p>
        </w:tc>
        <w:tc>
          <w:tcPr>
            <w:tcW w:type="dxa" w:w="1170"/>
          </w:tcPr>
          <w:p>
            <w:r/>
            <w:r>
              <w:rPr>
                <w:sz w:val="17"/>
              </w:rPr>
              <w:t>ChEMBL (measured)</w:t>
            </w:r>
          </w:p>
        </w:tc>
        <w:tc>
          <w:tcPr>
            <w:tcW w:type="dxa" w:w="1170"/>
          </w:tcPr>
          <w:p>
            <w:r/>
            <w:r>
              <w:rPr>
                <w:sz w:val="17"/>
              </w:rPr>
              <w:t>CHEMBL240</w:t>
            </w:r>
          </w:p>
        </w:tc>
        <w:tc>
          <w:tcPr>
            <w:tcW w:type="dxa" w:w="1170"/>
          </w:tcPr>
          <w:p>
            <w:r/>
            <w:r>
              <w:rPr>
                <w:sz w:val="17"/>
              </w:rPr>
              <w:t>pChEMBL (IC50/Ki/Kd/EC50)</w:t>
            </w:r>
          </w:p>
        </w:tc>
        <w:tc>
          <w:tcPr>
            <w:tcW w:type="dxa" w:w="1170"/>
          </w:tcPr>
          <w:p>
            <w:r/>
            <w:r>
              <w:rPr>
                <w:sz w:val="17"/>
              </w:rPr>
              <w:t>5905</w:t>
            </w:r>
          </w:p>
        </w:tc>
        <w:tc>
          <w:tcPr>
            <w:tcW w:type="dxa" w:w="1170"/>
          </w:tcPr>
          <w:p>
            <w:r/>
            <w:r>
              <w:rPr>
                <w:sz w:val="17"/>
              </w:rPr>
              <w:t>1995-2025</w:t>
            </w:r>
          </w:p>
        </w:tc>
      </w:tr>
      <w:tr>
        <w:tc>
          <w:tcPr>
            <w:tcW w:type="dxa" w:w="1170"/>
          </w:tcPr>
          <w:p>
            <w:r/>
            <w:r>
              <w:rPr>
                <w:sz w:val="17"/>
              </w:rPr>
              <w:t>Antioxidant</w:t>
            </w:r>
          </w:p>
        </w:tc>
        <w:tc>
          <w:tcPr>
            <w:tcW w:type="dxa" w:w="1170"/>
          </w:tcPr>
          <w:p>
            <w:r/>
            <w:r>
              <w:rPr>
                <w:sz w:val="17"/>
              </w:rPr>
              <w:t>Oxidative stress</w:t>
            </w:r>
          </w:p>
        </w:tc>
        <w:tc>
          <w:tcPr>
            <w:tcW w:type="dxa" w:w="1170"/>
          </w:tcPr>
          <w:p>
            <w:r/>
            <w:r>
              <w:rPr>
                <w:sz w:val="17"/>
              </w:rPr>
              <w:t>Regression</w:t>
            </w:r>
          </w:p>
        </w:tc>
        <w:tc>
          <w:tcPr>
            <w:tcW w:type="dxa" w:w="1170"/>
          </w:tcPr>
          <w:p>
            <w:r/>
            <w:r>
              <w:rPr>
                <w:sz w:val="17"/>
              </w:rPr>
              <w:t>ChEMBL DPPH (measured)</w:t>
            </w:r>
          </w:p>
        </w:tc>
        <w:tc>
          <w:tcPr>
            <w:tcW w:type="dxa" w:w="1170"/>
          </w:tcPr>
          <w:p>
            <w:r/>
            <w:r>
              <w:rPr>
                <w:sz w:val="17"/>
              </w:rPr>
              <w:t>DPPH assays</w:t>
            </w:r>
          </w:p>
        </w:tc>
        <w:tc>
          <w:tcPr>
            <w:tcW w:type="dxa" w:w="1170"/>
          </w:tcPr>
          <w:p>
            <w:r/>
            <w:r>
              <w:rPr>
                <w:sz w:val="17"/>
              </w:rPr>
              <w:t>pIC50 (radical scavenging)</w:t>
            </w:r>
          </w:p>
        </w:tc>
        <w:tc>
          <w:tcPr>
            <w:tcW w:type="dxa" w:w="1170"/>
          </w:tcPr>
          <w:p>
            <w:r/>
            <w:r>
              <w:rPr>
                <w:sz w:val="17"/>
              </w:rPr>
              <w:t>2862</w:t>
            </w:r>
          </w:p>
        </w:tc>
        <w:tc>
          <w:tcPr>
            <w:tcW w:type="dxa" w:w="1170"/>
          </w:tcPr>
          <w:p>
            <w:r/>
            <w:r>
              <w:rPr>
                <w:sz w:val="17"/>
              </w:rPr>
              <w:t>curated</w:t>
            </w:r>
          </w:p>
        </w:tc>
      </w:tr>
      <w:tr>
        <w:tc>
          <w:tcPr>
            <w:tcW w:type="dxa" w:w="1170"/>
          </w:tcPr>
          <w:p>
            <w:r/>
            <w:r>
              <w:rPr>
                <w:sz w:val="17"/>
              </w:rPr>
              <w:t>Clinical precedent</w:t>
            </w:r>
          </w:p>
        </w:tc>
        <w:tc>
          <w:tcPr>
            <w:tcW w:type="dxa" w:w="1170"/>
          </w:tcPr>
          <w:p>
            <w:r/>
            <w:r>
              <w:rPr>
                <w:sz w:val="17"/>
              </w:rPr>
              <w:t>Translational</w:t>
            </w:r>
          </w:p>
        </w:tc>
        <w:tc>
          <w:tcPr>
            <w:tcW w:type="dxa" w:w="1170"/>
          </w:tcPr>
          <w:p>
            <w:r/>
            <w:r>
              <w:rPr>
                <w:sz w:val="17"/>
              </w:rPr>
              <w:t>Reference (k-NN)</w:t>
            </w:r>
          </w:p>
        </w:tc>
        <w:tc>
          <w:tcPr>
            <w:tcW w:type="dxa" w:w="1170"/>
          </w:tcPr>
          <w:p>
            <w:r/>
            <w:r>
              <w:rPr>
                <w:sz w:val="17"/>
              </w:rPr>
              <w:t>ChEMBL ATC-N (measured)</w:t>
            </w:r>
          </w:p>
        </w:tc>
        <w:tc>
          <w:tcPr>
            <w:tcW w:type="dxa" w:w="1170"/>
          </w:tcPr>
          <w:p>
            <w:r/>
            <w:r>
              <w:rPr>
                <w:sz w:val="17"/>
              </w:rPr>
              <w:t>ATC level-1 N</w:t>
            </w:r>
          </w:p>
        </w:tc>
        <w:tc>
          <w:tcPr>
            <w:tcW w:type="dxa" w:w="1170"/>
          </w:tcPr>
          <w:p>
            <w:r/>
            <w:r>
              <w:rPr>
                <w:sz w:val="17"/>
              </w:rPr>
              <w:t>max clinical phase 1-4</w:t>
            </w:r>
          </w:p>
        </w:tc>
        <w:tc>
          <w:tcPr>
            <w:tcW w:type="dxa" w:w="1170"/>
          </w:tcPr>
          <w:p>
            <w:r/>
            <w:r>
              <w:rPr>
                <w:sz w:val="17"/>
              </w:rPr>
              <w:t>504</w:t>
            </w:r>
          </w:p>
        </w:tc>
        <w:tc>
          <w:tcPr>
            <w:tcW w:type="dxa" w:w="1170"/>
          </w:tcPr>
          <w:p>
            <w:r/>
            <w:r>
              <w:rPr>
                <w:sz w:val="17"/>
              </w:rPr>
              <w:t>curated</w:t>
            </w:r>
          </w:p>
        </w:tc>
      </w:tr>
    </w:tbl>
    <w:p>
      <w:r>
        <w:rPr>
          <w:b w:val="0"/>
          <w:i w:val="0"/>
        </w:rPr>
      </w:r>
    </w:p>
    <w:p>
      <w:pPr>
        <w:pStyle w:val="Heading2"/>
      </w:pPr>
      <w:r>
        <w:t>2.2 Curation and labelling</w:t>
      </w:r>
    </w:p>
    <w:p>
      <w:pPr>
        <w:jc w:val="both"/>
      </w:pPr>
      <w:r>
        <w:rPr>
          <w:b w:val="0"/>
          <w:i w:val="0"/>
        </w:rPr>
        <w:t>SMILES were canonicalised and deduplicated by InChIKey (Bento et al., 2020). For classification, activities were aggregated per compound by median pChEMBL and labelled active where pChEMBL ≥ 6 (potency ≤ 1 µM) and inactive where pChEMBL &lt; 5 (&gt; 10 µM); the intermediate range was discarded. Receptor targets, 96–98% active because binders are preferentially reported, were modelled by potency regression on median pChEMBL rather than binary classification.</w:t>
      </w:r>
    </w:p>
    <w:p>
      <w:pPr>
        <w:pStyle w:val="Heading2"/>
      </w:pPr>
      <w:r>
        <w:t>2.3 Molecular representation, models and hyperparameters</w:t>
      </w:r>
    </w:p>
    <w:p>
      <w:pPr>
        <w:jc w:val="both"/>
      </w:pPr>
      <w:r>
        <w:rPr>
          <w:b w:val="0"/>
          <w:i w:val="0"/>
        </w:rPr>
        <w:t>Molecules were represented by a 1,024-bit Morgan (ECFP, radius 2) fingerprint (Rogers and Hahn, 2010) concatenated with 24 RDKit physicochemical descriptors. Classification used an unweighted-mean ensemble of random forest (Breiman, 2001), extremely randomised trees (Geurts et al., 2006) and histogram gradient boosting (Friedman, 2001; Ke et al., 2017) in scikit-learn (Pedregosa et al., 2011); regression used the corresponding regressor ensemble. Hyperparameters are listed in Table 2. A pre-specified quality gate (MCC ≥ 0.45 under scaffold CV) governed deployment; endpoints failing the gate as classifiers (D2, A2A, 5-HT2A, SERT) were served as regressions.</w:t>
      </w:r>
    </w:p>
    <w:p>
      <w:r>
        <w:rPr>
          <w:b w:val="0"/>
          <w:i/>
          <w:sz w:val="18"/>
        </w:rPr>
        <w:t>Table 2. Model architecture and hyperparameters.</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Component</w:t>
            </w:r>
          </w:p>
        </w:tc>
        <w:tc>
          <w:tcPr>
            <w:tcW w:type="dxa" w:w="4680"/>
          </w:tcPr>
          <w:p>
            <w:r/>
            <w:r>
              <w:rPr>
                <w:b/>
                <w:sz w:val="17"/>
              </w:rPr>
              <w:t>Setting</w:t>
            </w:r>
          </w:p>
        </w:tc>
      </w:tr>
      <w:tr>
        <w:tc>
          <w:tcPr>
            <w:tcW w:type="dxa" w:w="4680"/>
          </w:tcPr>
          <w:p>
            <w:r/>
            <w:r>
              <w:rPr>
                <w:sz w:val="17"/>
              </w:rPr>
              <w:t>Random forest (classifier/regressor)</w:t>
            </w:r>
          </w:p>
        </w:tc>
        <w:tc>
          <w:tcPr>
            <w:tcW w:type="dxa" w:w="4680"/>
          </w:tcPr>
          <w:p>
            <w:r/>
            <w:r>
              <w:rPr>
                <w:sz w:val="17"/>
              </w:rPr>
              <w:t>n_estimators=300; min_samples_leaf=2; class_weight=balanced_subsample (clf)</w:t>
            </w:r>
          </w:p>
        </w:tc>
      </w:tr>
      <w:tr>
        <w:tc>
          <w:tcPr>
            <w:tcW w:type="dxa" w:w="4680"/>
          </w:tcPr>
          <w:p>
            <w:r/>
            <w:r>
              <w:rPr>
                <w:sz w:val="17"/>
              </w:rPr>
              <w:t>Extremely randomised trees</w:t>
            </w:r>
          </w:p>
        </w:tc>
        <w:tc>
          <w:tcPr>
            <w:tcW w:type="dxa" w:w="4680"/>
          </w:tcPr>
          <w:p>
            <w:r/>
            <w:r>
              <w:rPr>
                <w:sz w:val="17"/>
              </w:rPr>
              <w:t>n_estimators=300; min_samples_leaf=2; class_weight=balanced_subsample (clf)</w:t>
            </w:r>
          </w:p>
        </w:tc>
      </w:tr>
      <w:tr>
        <w:tc>
          <w:tcPr>
            <w:tcW w:type="dxa" w:w="4680"/>
          </w:tcPr>
          <w:p>
            <w:r/>
            <w:r>
              <w:rPr>
                <w:sz w:val="17"/>
              </w:rPr>
              <w:t>Histogram gradient boosting</w:t>
            </w:r>
          </w:p>
        </w:tc>
        <w:tc>
          <w:tcPr>
            <w:tcW w:type="dxa" w:w="4680"/>
          </w:tcPr>
          <w:p>
            <w:r/>
            <w:r>
              <w:rPr>
                <w:sz w:val="17"/>
              </w:rPr>
              <w:t>max_iter=300; learning_rate=0.06</w:t>
            </w:r>
          </w:p>
        </w:tc>
      </w:tr>
      <w:tr>
        <w:tc>
          <w:tcPr>
            <w:tcW w:type="dxa" w:w="4680"/>
          </w:tcPr>
          <w:p>
            <w:r/>
            <w:r>
              <w:rPr>
                <w:sz w:val="17"/>
              </w:rPr>
              <w:t>Ensemble</w:t>
            </w:r>
          </w:p>
        </w:tc>
        <w:tc>
          <w:tcPr>
            <w:tcW w:type="dxa" w:w="4680"/>
          </w:tcPr>
          <w:p>
            <w:r/>
            <w:r>
              <w:rPr>
                <w:sz w:val="17"/>
              </w:rPr>
              <w:t>unweighted mean of the three base learners (probabilities / predictions)</w:t>
            </w:r>
          </w:p>
        </w:tc>
      </w:tr>
      <w:tr>
        <w:tc>
          <w:tcPr>
            <w:tcW w:type="dxa" w:w="4680"/>
          </w:tcPr>
          <w:p>
            <w:r/>
            <w:r>
              <w:rPr>
                <w:sz w:val="17"/>
              </w:rPr>
              <w:t>Calibration</w:t>
            </w:r>
          </w:p>
        </w:tc>
        <w:tc>
          <w:tcPr>
            <w:tcW w:type="dxa" w:w="4680"/>
          </w:tcPr>
          <w:p>
            <w:r/>
            <w:r>
              <w:rPr>
                <w:sz w:val="17"/>
              </w:rPr>
              <w:t>isotonic regression on scaffold-CV out-of-fold predictions</w:t>
            </w:r>
          </w:p>
        </w:tc>
      </w:tr>
      <w:tr>
        <w:tc>
          <w:tcPr>
            <w:tcW w:type="dxa" w:w="4680"/>
          </w:tcPr>
          <w:p>
            <w:r/>
            <w:r>
              <w:rPr>
                <w:sz w:val="17"/>
              </w:rPr>
              <w:t>Conformal prediction</w:t>
            </w:r>
          </w:p>
        </w:tc>
        <w:tc>
          <w:tcPr>
            <w:tcW w:type="dxa" w:w="4680"/>
          </w:tcPr>
          <w:p>
            <w:r/>
            <w:r>
              <w:rPr>
                <w:sz w:val="17"/>
              </w:rPr>
              <w:t>Mondrian (class-conditional) inductive; significance ε = 0.10; 50/50 calibration/test</w:t>
            </w:r>
          </w:p>
        </w:tc>
      </w:tr>
      <w:tr>
        <w:tc>
          <w:tcPr>
            <w:tcW w:type="dxa" w:w="4680"/>
          </w:tcPr>
          <w:p>
            <w:r/>
            <w:r>
              <w:rPr>
                <w:sz w:val="17"/>
              </w:rPr>
              <w:t>Applicability domain</w:t>
            </w:r>
          </w:p>
        </w:tc>
        <w:tc>
          <w:tcPr>
            <w:tcW w:type="dxa" w:w="4680"/>
          </w:tcPr>
          <w:p>
            <w:r/>
            <w:r>
              <w:rPr>
                <w:sz w:val="17"/>
              </w:rPr>
              <w:t>maximum Tanimoto similarity to training set; flag threshold 0.30</w:t>
            </w:r>
          </w:p>
        </w:tc>
      </w:tr>
      <w:tr>
        <w:tc>
          <w:tcPr>
            <w:tcW w:type="dxa" w:w="4680"/>
          </w:tcPr>
          <w:p>
            <w:r/>
            <w:r>
              <w:rPr>
                <w:sz w:val="17"/>
              </w:rPr>
              <w:t>Baselines</w:t>
            </w:r>
          </w:p>
        </w:tc>
        <w:tc>
          <w:tcPr>
            <w:tcW w:type="dxa" w:w="4680"/>
          </w:tcPr>
          <w:p>
            <w:r/>
            <w:r>
              <w:rPr>
                <w:sz w:val="17"/>
              </w:rPr>
              <w:t>Tanimoto k-NN (k=5); logistic regression (balanced, standardised features)</w:t>
            </w:r>
          </w:p>
        </w:tc>
      </w:tr>
      <w:tr>
        <w:tc>
          <w:tcPr>
            <w:tcW w:type="dxa" w:w="4680"/>
          </w:tcPr>
          <w:p>
            <w:r/>
            <w:r>
              <w:rPr>
                <w:sz w:val="17"/>
              </w:rPr>
              <w:t>Random seed</w:t>
            </w:r>
          </w:p>
        </w:tc>
        <w:tc>
          <w:tcPr>
            <w:tcW w:type="dxa" w:w="4680"/>
          </w:tcPr>
          <w:p>
            <w:r/>
            <w:r>
              <w:rPr>
                <w:sz w:val="17"/>
              </w:rPr>
              <w:t>42 (all stages)</w:t>
            </w:r>
          </w:p>
        </w:tc>
      </w:tr>
    </w:tbl>
    <w:p>
      <w:r>
        <w:rPr>
          <w:b w:val="0"/>
          <w:i w:val="0"/>
        </w:rPr>
      </w:r>
    </w:p>
    <w:p>
      <w:r>
        <w:rPr>
          <w:b w:val="0"/>
          <w:i/>
          <w:sz w:val="18"/>
        </w:rPr>
        <w:t>Table 3. Software environment.</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7"/>
              </w:rPr>
              <w:t>Package</w:t>
            </w:r>
          </w:p>
        </w:tc>
        <w:tc>
          <w:tcPr>
            <w:tcW w:type="dxa" w:w="4680"/>
          </w:tcPr>
          <w:p>
            <w:r/>
            <w:r>
              <w:rPr>
                <w:b/>
                <w:sz w:val="17"/>
              </w:rPr>
              <w:t>Version</w:t>
            </w:r>
          </w:p>
        </w:tc>
      </w:tr>
      <w:tr>
        <w:tc>
          <w:tcPr>
            <w:tcW w:type="dxa" w:w="4680"/>
          </w:tcPr>
          <w:p>
            <w:r/>
            <w:r>
              <w:rPr>
                <w:sz w:val="17"/>
              </w:rPr>
              <w:t>Python</w:t>
            </w:r>
          </w:p>
        </w:tc>
        <w:tc>
          <w:tcPr>
            <w:tcW w:type="dxa" w:w="4680"/>
          </w:tcPr>
          <w:p>
            <w:r/>
            <w:r>
              <w:rPr>
                <w:sz w:val="17"/>
              </w:rPr>
              <w:t>3.13</w:t>
            </w:r>
          </w:p>
        </w:tc>
      </w:tr>
      <w:tr>
        <w:tc>
          <w:tcPr>
            <w:tcW w:type="dxa" w:w="4680"/>
          </w:tcPr>
          <w:p>
            <w:r/>
            <w:r>
              <w:rPr>
                <w:sz w:val="17"/>
              </w:rPr>
              <w:t>RDKit</w:t>
            </w:r>
          </w:p>
        </w:tc>
        <w:tc>
          <w:tcPr>
            <w:tcW w:type="dxa" w:w="4680"/>
          </w:tcPr>
          <w:p>
            <w:r/>
            <w:r>
              <w:rPr>
                <w:sz w:val="17"/>
              </w:rPr>
              <w:t>2026.03.2</w:t>
            </w:r>
          </w:p>
        </w:tc>
      </w:tr>
      <w:tr>
        <w:tc>
          <w:tcPr>
            <w:tcW w:type="dxa" w:w="4680"/>
          </w:tcPr>
          <w:p>
            <w:r/>
            <w:r>
              <w:rPr>
                <w:sz w:val="17"/>
              </w:rPr>
              <w:t>scikit-learn</w:t>
            </w:r>
          </w:p>
        </w:tc>
        <w:tc>
          <w:tcPr>
            <w:tcW w:type="dxa" w:w="4680"/>
          </w:tcPr>
          <w:p>
            <w:r/>
            <w:r>
              <w:rPr>
                <w:sz w:val="17"/>
              </w:rPr>
              <w:t>1.8.0</w:t>
            </w:r>
          </w:p>
        </w:tc>
      </w:tr>
      <w:tr>
        <w:tc>
          <w:tcPr>
            <w:tcW w:type="dxa" w:w="4680"/>
          </w:tcPr>
          <w:p>
            <w:r/>
            <w:r>
              <w:rPr>
                <w:sz w:val="17"/>
              </w:rPr>
              <w:t>NumPy</w:t>
            </w:r>
          </w:p>
        </w:tc>
        <w:tc>
          <w:tcPr>
            <w:tcW w:type="dxa" w:w="4680"/>
          </w:tcPr>
          <w:p>
            <w:r/>
            <w:r>
              <w:rPr>
                <w:sz w:val="17"/>
              </w:rPr>
              <w:t>2.4.6</w:t>
            </w:r>
          </w:p>
        </w:tc>
      </w:tr>
      <w:tr>
        <w:tc>
          <w:tcPr>
            <w:tcW w:type="dxa" w:w="4680"/>
          </w:tcPr>
          <w:p>
            <w:r/>
            <w:r>
              <w:rPr>
                <w:sz w:val="17"/>
              </w:rPr>
              <w:t>pandas</w:t>
            </w:r>
          </w:p>
        </w:tc>
        <w:tc>
          <w:tcPr>
            <w:tcW w:type="dxa" w:w="4680"/>
          </w:tcPr>
          <w:p>
            <w:r/>
            <w:r>
              <w:rPr>
                <w:sz w:val="17"/>
              </w:rPr>
              <w:t>3.0.3</w:t>
            </w:r>
          </w:p>
        </w:tc>
      </w:tr>
      <w:tr>
        <w:tc>
          <w:tcPr>
            <w:tcW w:type="dxa" w:w="4680"/>
          </w:tcPr>
          <w:p>
            <w:r/>
            <w:r>
              <w:rPr>
                <w:sz w:val="17"/>
              </w:rPr>
              <w:t>SciPy</w:t>
            </w:r>
          </w:p>
        </w:tc>
        <w:tc>
          <w:tcPr>
            <w:tcW w:type="dxa" w:w="4680"/>
          </w:tcPr>
          <w:p>
            <w:r/>
            <w:r>
              <w:rPr>
                <w:sz w:val="17"/>
              </w:rPr>
              <w:t>1.17.1</w:t>
            </w:r>
          </w:p>
        </w:tc>
      </w:tr>
      <w:tr>
        <w:tc>
          <w:tcPr>
            <w:tcW w:type="dxa" w:w="4680"/>
          </w:tcPr>
          <w:p>
            <w:r/>
            <w:r>
              <w:rPr>
                <w:sz w:val="17"/>
              </w:rPr>
              <w:t>matplotlib</w:t>
            </w:r>
          </w:p>
        </w:tc>
        <w:tc>
          <w:tcPr>
            <w:tcW w:type="dxa" w:w="4680"/>
          </w:tcPr>
          <w:p>
            <w:r/>
            <w:r>
              <w:rPr>
                <w:sz w:val="17"/>
              </w:rPr>
              <w:t>3.10.9</w:t>
            </w:r>
          </w:p>
        </w:tc>
      </w:tr>
    </w:tbl>
    <w:p>
      <w:r>
        <w:rPr>
          <w:b w:val="0"/>
          <w:i w:val="0"/>
        </w:rPr>
      </w:r>
    </w:p>
    <w:p>
      <w:pPr>
        <w:pStyle w:val="Heading2"/>
      </w:pPr>
      <w:r>
        <w:t>2.4 Calibration, conformal prediction and integration</w:t>
      </w:r>
    </w:p>
    <w:p>
      <w:pPr>
        <w:jc w:val="both"/>
      </w:pPr>
      <w:r>
        <w:rPr>
          <w:b w:val="0"/>
          <w:i w:val="0"/>
        </w:rPr>
        <w:t>Calibrated probabilities were obtained by isotonic regression on scaffold-CV out-of-fold scores (Niculescu-Mizil and Caruana, 2005). Class-conditional (Mondrian) inductive conformal prediction (Vovk et al., 2005; Norinder et al., 2014; Mervin et al., 2021) yields, for a query with score s and per-class calibration nonconformity sets, a p-value per class c</w:t>
      </w:r>
    </w:p>
    <w:p>
      <w:pPr>
        <w:jc w:val="center"/>
      </w:pPr>
      <w:r>
        <w:rPr>
          <w:i/>
          <w:sz w:val="21"/>
        </w:rPr>
        <w:t>p_c = (#{α in A_c : α ≥ α_query} + 1) / (|A_c| + 1),   α_active = 1 − s,   α_inactive = s</w:t>
      </w:r>
    </w:p>
    <w:p>
      <w:pPr>
        <w:jc w:val="both"/>
      </w:pPr>
      <w:r>
        <w:rPr>
          <w:b w:val="0"/>
          <w:i w:val="0"/>
        </w:rPr>
        <w:t>and a prediction set comprising classes with p_c &gt; ε (ε = 0.10). Effective CNS engagement combines target activity with brain penetration,</w:t>
      </w:r>
    </w:p>
    <w:p>
      <w:pPr>
        <w:jc w:val="center"/>
      </w:pPr>
      <w:r>
        <w:rPr>
          <w:i/>
          <w:sz w:val="21"/>
        </w:rPr>
        <w:t>Engagement(target) = P(active | target) × P(BBB-penetrant)</w:t>
      </w:r>
    </w:p>
    <w:p>
      <w:pPr>
        <w:jc w:val="both"/>
      </w:pPr>
      <w:r>
        <w:rPr>
          <w:b w:val="0"/>
          <w:i w:val="0"/>
        </w:rPr>
        <w:t>and per-disease scores take the maximum engagement over the targets mapped to each disease. Druggability is a deterministic composite of QED (Bickerton et al., 2012), Lipinski (Lipinski et al., 2001) and Veber (Veber et al., 2002) compliance, the CNS-MPO desirability score (Wager et al., 2010) and PAINS alerts (Baell and Holloway, 2010). Each prediction returns the nearest measured analogues by Tanimoto similarity (Willett, 2006).</w:t>
      </w:r>
    </w:p>
    <w:p>
      <w:pPr>
        <w:pStyle w:val="Heading2"/>
      </w:pPr>
      <w:r>
        <w:t>2.5 Validation regimes</w:t>
      </w:r>
    </w:p>
    <w:p>
      <w:pPr>
        <w:jc w:val="both"/>
      </w:pPr>
      <w:r>
        <w:rPr>
          <w:b w:val="0"/>
          <w:i w:val="0"/>
        </w:rPr>
        <w:t>Models were evaluated under: (i) a random stratified split; (ii) scaffold GroupKFold (k = 5) on Bemis–Murcko generic scaffolds (Bemis and Murcko, 1996), with all transforms fit within each fold (Tropsha, 2010; Wu et al., 2018); (iii) leave-cluster-out using sphere-exclusion clusters held out in full; and (iv) temporal validation, training on compounds reported up to the 75th-percentile ChEMBL document year and testing on the most recent ~25% (Sheridan, 2013). Classification metrics were AUROC (with 95% bootstrap confidence intervals, 1,000 resamples), PR-AUC, balanced accuracy, MCC and Brier score; regression metrics were R², RMSE and Spearman ρ. Code, models and data-fetch scripts are released; a Streamlit application provides the interface.</w:t>
      </w:r>
    </w:p>
    <w:p>
      <w:pPr>
        <w:pStyle w:val="Heading1"/>
      </w:pPr>
      <w:r>
        <w:t>3. Results</w:t>
      </w:r>
    </w:p>
    <w:p>
      <w:pPr>
        <w:jc w:val="both"/>
      </w:pPr>
      <w:r>
        <w:rPr>
          <w:b w:val="0"/>
          <w:i w:val="0"/>
        </w:rPr>
        <w:t>Results are reported in two modes. Non-comparative analysis (Sections 3.1 and 3.3) reports each endpoint’s standalone performance against its own held-out measured data — absolute discrimination, calibration, conformal coverage and behaviour on reference compounds. Comparative analysis (Sections 3.2, 3.4 and 3.5) benchmarks the same models against external references: published QSAR performance ranges, simpler internal baselines under an identical protocol, and the general-purpose large-language-model paradigm.</w:t>
      </w:r>
    </w:p>
    <w:p>
      <w:pPr>
        <w:jc w:val="center"/>
      </w:pPr>
      <w:r>
        <w:drawing>
          <wp:inline xmlns:a="http://schemas.openxmlformats.org/drawingml/2006/main" xmlns:pic="http://schemas.openxmlformats.org/drawingml/2006/picture">
            <wp:extent cx="5760720" cy="3200400"/>
            <wp:docPr id="3" name="Picture 3"/>
            <wp:cNvGraphicFramePr>
              <a:graphicFrameLocks noChangeAspect="1"/>
            </wp:cNvGraphicFramePr>
            <a:graphic>
              <a:graphicData uri="http://schemas.openxmlformats.org/drawingml/2006/picture">
                <pic:pic>
                  <pic:nvPicPr>
                    <pic:cNvPr id="0" name="fig2_dataset.png"/>
                    <pic:cNvPicPr/>
                  </pic:nvPicPr>
                  <pic:blipFill>
                    <a:blip r:embed="rId11"/>
                    <a:stretch>
                      <a:fillRect/>
                    </a:stretch>
                  </pic:blipFill>
                  <pic:spPr>
                    <a:xfrm>
                      <a:off x="0" y="0"/>
                      <a:ext cx="5760720" cy="3200400"/>
                    </a:xfrm>
                    <a:prstGeom prst="rect"/>
                  </pic:spPr>
                </pic:pic>
              </a:graphicData>
            </a:graphic>
          </wp:inline>
        </w:drawing>
      </w:r>
    </w:p>
    <w:p>
      <w:r>
        <w:rPr>
          <w:b w:val="0"/>
          <w:i/>
          <w:sz w:val="18"/>
        </w:rPr>
        <w:t>Figure 2. Training-set size and class balance for each endpoint.</w:t>
      </w:r>
    </w:p>
    <w:p>
      <w:pPr>
        <w:pStyle w:val="Heading2"/>
      </w:pPr>
      <w:r>
        <w:t>3.1 Classification performance (standalone, non-comparative)</w:t>
      </w:r>
    </w:p>
    <w:p>
      <w:r>
        <w:rPr>
          <w:b w:val="0"/>
          <w:i/>
          <w:sz w:val="18"/>
        </w:rPr>
        <w:t>Table 4. Classification performance under four validation regimes, with 95% bootstrap CI on the scaffold-CV AUROC, Brier score, MCC and empirical conformal coverage (target 0.90).</w:t>
      </w:r>
    </w:p>
    <w:tbl>
      <w:tblPr>
        <w:tblStyle w:val="TableGrid"/>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Pr>
          <w:p>
            <w:r/>
            <w:r>
              <w:rPr>
                <w:b/>
                <w:sz w:val="17"/>
              </w:rPr>
              <w:t>Endpoint</w:t>
            </w:r>
          </w:p>
        </w:tc>
        <w:tc>
          <w:tcPr>
            <w:tcW w:type="dxa" w:w="851"/>
          </w:tcPr>
          <w:p>
            <w:r/>
            <w:r>
              <w:rPr>
                <w:b/>
                <w:sz w:val="17"/>
              </w:rPr>
              <w:t>n</w:t>
            </w:r>
          </w:p>
        </w:tc>
        <w:tc>
          <w:tcPr>
            <w:tcW w:type="dxa" w:w="851"/>
          </w:tcPr>
          <w:p>
            <w:r/>
            <w:r>
              <w:rPr>
                <w:b/>
                <w:sz w:val="17"/>
              </w:rPr>
              <w:t>Pos.</w:t>
            </w:r>
          </w:p>
        </w:tc>
        <w:tc>
          <w:tcPr>
            <w:tcW w:type="dxa" w:w="851"/>
          </w:tcPr>
          <w:p>
            <w:r/>
            <w:r>
              <w:rPr>
                <w:b/>
                <w:sz w:val="17"/>
              </w:rPr>
              <w:t>AUROC rand</w:t>
            </w:r>
          </w:p>
        </w:tc>
        <w:tc>
          <w:tcPr>
            <w:tcW w:type="dxa" w:w="851"/>
          </w:tcPr>
          <w:p>
            <w:r/>
            <w:r>
              <w:rPr>
                <w:b/>
                <w:sz w:val="17"/>
              </w:rPr>
              <w:t>AUROC scaf</w:t>
            </w:r>
          </w:p>
        </w:tc>
        <w:tc>
          <w:tcPr>
            <w:tcW w:type="dxa" w:w="851"/>
          </w:tcPr>
          <w:p>
            <w:r/>
            <w:r>
              <w:rPr>
                <w:b/>
                <w:sz w:val="17"/>
              </w:rPr>
              <w:t>Scaf 95% CI</w:t>
            </w:r>
          </w:p>
        </w:tc>
        <w:tc>
          <w:tcPr>
            <w:tcW w:type="dxa" w:w="851"/>
          </w:tcPr>
          <w:p>
            <w:r/>
            <w:r>
              <w:rPr>
                <w:b/>
                <w:sz w:val="17"/>
              </w:rPr>
              <w:t>AUROC clust</w:t>
            </w:r>
          </w:p>
        </w:tc>
        <w:tc>
          <w:tcPr>
            <w:tcW w:type="dxa" w:w="851"/>
          </w:tcPr>
          <w:p>
            <w:r/>
            <w:r>
              <w:rPr>
                <w:b/>
                <w:sz w:val="17"/>
              </w:rPr>
              <w:t>AUROC temp</w:t>
            </w:r>
          </w:p>
        </w:tc>
        <w:tc>
          <w:tcPr>
            <w:tcW w:type="dxa" w:w="851"/>
          </w:tcPr>
          <w:p>
            <w:r/>
            <w:r>
              <w:rPr>
                <w:b/>
                <w:sz w:val="17"/>
              </w:rPr>
              <w:t>Brier</w:t>
            </w:r>
          </w:p>
        </w:tc>
        <w:tc>
          <w:tcPr>
            <w:tcW w:type="dxa" w:w="851"/>
          </w:tcPr>
          <w:p>
            <w:r/>
            <w:r>
              <w:rPr>
                <w:b/>
                <w:sz w:val="17"/>
              </w:rPr>
              <w:t>MCC</w:t>
            </w:r>
          </w:p>
        </w:tc>
        <w:tc>
          <w:tcPr>
            <w:tcW w:type="dxa" w:w="851"/>
          </w:tcPr>
          <w:p>
            <w:r/>
            <w:r>
              <w:rPr>
                <w:b/>
                <w:sz w:val="17"/>
              </w:rPr>
              <w:t>Conf. cov.</w:t>
            </w:r>
          </w:p>
        </w:tc>
      </w:tr>
      <w:tr>
        <w:tc>
          <w:tcPr>
            <w:tcW w:type="dxa" w:w="851"/>
          </w:tcPr>
          <w:p>
            <w:r/>
            <w:r>
              <w:rPr>
                <w:sz w:val="17"/>
              </w:rPr>
              <w:t>AChE</w:t>
            </w:r>
          </w:p>
        </w:tc>
        <w:tc>
          <w:tcPr>
            <w:tcW w:type="dxa" w:w="851"/>
          </w:tcPr>
          <w:p>
            <w:r/>
            <w:r>
              <w:rPr>
                <w:sz w:val="17"/>
              </w:rPr>
              <w:t>4324</w:t>
            </w:r>
          </w:p>
        </w:tc>
        <w:tc>
          <w:tcPr>
            <w:tcW w:type="dxa" w:w="851"/>
          </w:tcPr>
          <w:p>
            <w:r/>
            <w:r>
              <w:rPr>
                <w:sz w:val="17"/>
              </w:rPr>
              <w:t>0.716</w:t>
            </w:r>
          </w:p>
        </w:tc>
        <w:tc>
          <w:tcPr>
            <w:tcW w:type="dxa" w:w="851"/>
          </w:tcPr>
          <w:p>
            <w:r/>
            <w:r>
              <w:rPr>
                <w:sz w:val="17"/>
              </w:rPr>
              <w:t>0.975</w:t>
            </w:r>
          </w:p>
        </w:tc>
        <w:tc>
          <w:tcPr>
            <w:tcW w:type="dxa" w:w="851"/>
          </w:tcPr>
          <w:p>
            <w:r/>
            <w:r>
              <w:rPr>
                <w:sz w:val="17"/>
              </w:rPr>
              <w:t>0.915</w:t>
            </w:r>
          </w:p>
        </w:tc>
        <w:tc>
          <w:tcPr>
            <w:tcW w:type="dxa" w:w="851"/>
          </w:tcPr>
          <w:p>
            <w:r/>
            <w:r>
              <w:rPr>
                <w:sz w:val="17"/>
              </w:rPr>
              <w:t>[0.906, 0.925]</w:t>
            </w:r>
          </w:p>
        </w:tc>
        <w:tc>
          <w:tcPr>
            <w:tcW w:type="dxa" w:w="851"/>
          </w:tcPr>
          <w:p>
            <w:r/>
            <w:r>
              <w:rPr>
                <w:sz w:val="17"/>
              </w:rPr>
              <w:t>0.912</w:t>
            </w:r>
          </w:p>
        </w:tc>
        <w:tc>
          <w:tcPr>
            <w:tcW w:type="dxa" w:w="851"/>
          </w:tcPr>
          <w:p>
            <w:r/>
            <w:r>
              <w:rPr>
                <w:sz w:val="17"/>
              </w:rPr>
              <w:t>0.784</w:t>
            </w:r>
          </w:p>
        </w:tc>
        <w:tc>
          <w:tcPr>
            <w:tcW w:type="dxa" w:w="851"/>
          </w:tcPr>
          <w:p>
            <w:r/>
            <w:r>
              <w:rPr>
                <w:sz w:val="17"/>
              </w:rPr>
              <w:t>0.099</w:t>
            </w:r>
          </w:p>
        </w:tc>
        <w:tc>
          <w:tcPr>
            <w:tcW w:type="dxa" w:w="851"/>
          </w:tcPr>
          <w:p>
            <w:r/>
            <w:r>
              <w:rPr>
                <w:sz w:val="17"/>
              </w:rPr>
              <w:t>0.633</w:t>
            </w:r>
          </w:p>
        </w:tc>
        <w:tc>
          <w:tcPr>
            <w:tcW w:type="dxa" w:w="851"/>
          </w:tcPr>
          <w:p>
            <w:r/>
            <w:r>
              <w:rPr>
                <w:sz w:val="17"/>
              </w:rPr>
              <w:t>0.899</w:t>
            </w:r>
          </w:p>
        </w:tc>
      </w:tr>
      <w:tr>
        <w:tc>
          <w:tcPr>
            <w:tcW w:type="dxa" w:w="851"/>
          </w:tcPr>
          <w:p>
            <w:r/>
            <w:r>
              <w:rPr>
                <w:sz w:val="17"/>
              </w:rPr>
              <w:t>BACE1</w:t>
            </w:r>
          </w:p>
        </w:tc>
        <w:tc>
          <w:tcPr>
            <w:tcW w:type="dxa" w:w="851"/>
          </w:tcPr>
          <w:p>
            <w:r/>
            <w:r>
              <w:rPr>
                <w:sz w:val="17"/>
              </w:rPr>
              <w:t>8067</w:t>
            </w:r>
          </w:p>
        </w:tc>
        <w:tc>
          <w:tcPr>
            <w:tcW w:type="dxa" w:w="851"/>
          </w:tcPr>
          <w:p>
            <w:r/>
            <w:r>
              <w:rPr>
                <w:sz w:val="17"/>
              </w:rPr>
              <w:t>0.905</w:t>
            </w:r>
          </w:p>
        </w:tc>
        <w:tc>
          <w:tcPr>
            <w:tcW w:type="dxa" w:w="851"/>
          </w:tcPr>
          <w:p>
            <w:r/>
            <w:r>
              <w:rPr>
                <w:sz w:val="17"/>
              </w:rPr>
              <w:t>0.956</w:t>
            </w:r>
          </w:p>
        </w:tc>
        <w:tc>
          <w:tcPr>
            <w:tcW w:type="dxa" w:w="851"/>
          </w:tcPr>
          <w:p>
            <w:r/>
            <w:r>
              <w:rPr>
                <w:sz w:val="17"/>
              </w:rPr>
              <w:t>0.95</w:t>
            </w:r>
          </w:p>
        </w:tc>
        <w:tc>
          <w:tcPr>
            <w:tcW w:type="dxa" w:w="851"/>
          </w:tcPr>
          <w:p>
            <w:r/>
            <w:r>
              <w:rPr>
                <w:sz w:val="17"/>
              </w:rPr>
              <w:t>[0.942, 0.958]</w:t>
            </w:r>
          </w:p>
        </w:tc>
        <w:tc>
          <w:tcPr>
            <w:tcW w:type="dxa" w:w="851"/>
          </w:tcPr>
          <w:p>
            <w:r/>
            <w:r>
              <w:rPr>
                <w:sz w:val="17"/>
              </w:rPr>
              <w:t>0.94</w:t>
            </w:r>
          </w:p>
        </w:tc>
        <w:tc>
          <w:tcPr>
            <w:tcW w:type="dxa" w:w="851"/>
          </w:tcPr>
          <w:p>
            <w:r/>
            <w:r>
              <w:rPr>
                <w:sz w:val="17"/>
              </w:rPr>
              <w:t>0.915</w:t>
            </w:r>
          </w:p>
        </w:tc>
        <w:tc>
          <w:tcPr>
            <w:tcW w:type="dxa" w:w="851"/>
          </w:tcPr>
          <w:p>
            <w:r/>
            <w:r>
              <w:rPr>
                <w:sz w:val="17"/>
              </w:rPr>
              <w:t>0.039</w:t>
            </w:r>
          </w:p>
        </w:tc>
        <w:tc>
          <w:tcPr>
            <w:tcW w:type="dxa" w:w="851"/>
          </w:tcPr>
          <w:p>
            <w:r/>
            <w:r>
              <w:rPr>
                <w:sz w:val="17"/>
              </w:rPr>
              <w:t>0.614</w:t>
            </w:r>
          </w:p>
        </w:tc>
        <w:tc>
          <w:tcPr>
            <w:tcW w:type="dxa" w:w="851"/>
          </w:tcPr>
          <w:p>
            <w:r/>
            <w:r>
              <w:rPr>
                <w:sz w:val="17"/>
              </w:rPr>
              <w:t>0.902</w:t>
            </w:r>
          </w:p>
        </w:tc>
      </w:tr>
      <w:tr>
        <w:tc>
          <w:tcPr>
            <w:tcW w:type="dxa" w:w="851"/>
          </w:tcPr>
          <w:p>
            <w:r/>
            <w:r>
              <w:rPr>
                <w:sz w:val="17"/>
              </w:rPr>
              <w:t>BBB</w:t>
            </w:r>
          </w:p>
        </w:tc>
        <w:tc>
          <w:tcPr>
            <w:tcW w:type="dxa" w:w="851"/>
          </w:tcPr>
          <w:p>
            <w:r/>
            <w:r>
              <w:rPr>
                <w:sz w:val="17"/>
              </w:rPr>
              <w:t>7805</w:t>
            </w:r>
          </w:p>
        </w:tc>
        <w:tc>
          <w:tcPr>
            <w:tcW w:type="dxa" w:w="851"/>
          </w:tcPr>
          <w:p>
            <w:r/>
            <w:r>
              <w:rPr>
                <w:sz w:val="17"/>
              </w:rPr>
              <w:t>0.635</w:t>
            </w:r>
          </w:p>
        </w:tc>
        <w:tc>
          <w:tcPr>
            <w:tcW w:type="dxa" w:w="851"/>
          </w:tcPr>
          <w:p>
            <w:r/>
            <w:r>
              <w:rPr>
                <w:sz w:val="17"/>
              </w:rPr>
              <w:t>0.963</w:t>
            </w:r>
          </w:p>
        </w:tc>
        <w:tc>
          <w:tcPr>
            <w:tcW w:type="dxa" w:w="851"/>
          </w:tcPr>
          <w:p>
            <w:r/>
            <w:r>
              <w:rPr>
                <w:sz w:val="17"/>
              </w:rPr>
              <w:t>0.921</w:t>
            </w:r>
          </w:p>
        </w:tc>
        <w:tc>
          <w:tcPr>
            <w:tcW w:type="dxa" w:w="851"/>
          </w:tcPr>
          <w:p>
            <w:r/>
            <w:r>
              <w:rPr>
                <w:sz w:val="17"/>
              </w:rPr>
              <w:t>[0.916, 0.927]</w:t>
            </w:r>
          </w:p>
        </w:tc>
        <w:tc>
          <w:tcPr>
            <w:tcW w:type="dxa" w:w="851"/>
          </w:tcPr>
          <w:p>
            <w:r/>
            <w:r>
              <w:rPr>
                <w:sz w:val="17"/>
              </w:rPr>
              <w:t>0.906</w:t>
            </w:r>
          </w:p>
        </w:tc>
        <w:tc>
          <w:tcPr>
            <w:tcW w:type="dxa" w:w="851"/>
          </w:tcPr>
          <w:p>
            <w:r/>
            <w:r>
              <w:rPr>
                <w:sz w:val="17"/>
              </w:rPr>
              <w:t>–</w:t>
            </w:r>
          </w:p>
        </w:tc>
        <w:tc>
          <w:tcPr>
            <w:tcW w:type="dxa" w:w="851"/>
          </w:tcPr>
          <w:p>
            <w:r/>
            <w:r>
              <w:rPr>
                <w:sz w:val="17"/>
              </w:rPr>
              <w:t>0.105</w:t>
            </w:r>
          </w:p>
        </w:tc>
        <w:tc>
          <w:tcPr>
            <w:tcW w:type="dxa" w:w="851"/>
          </w:tcPr>
          <w:p>
            <w:r/>
            <w:r>
              <w:rPr>
                <w:sz w:val="17"/>
              </w:rPr>
              <w:t>0.659</w:t>
            </w:r>
          </w:p>
        </w:tc>
        <w:tc>
          <w:tcPr>
            <w:tcW w:type="dxa" w:w="851"/>
          </w:tcPr>
          <w:p>
            <w:r/>
            <w:r>
              <w:rPr>
                <w:sz w:val="17"/>
              </w:rPr>
              <w:t>0.897</w:t>
            </w:r>
          </w:p>
        </w:tc>
      </w:tr>
      <w:tr>
        <w:tc>
          <w:tcPr>
            <w:tcW w:type="dxa" w:w="851"/>
          </w:tcPr>
          <w:p>
            <w:r/>
            <w:r>
              <w:rPr>
                <w:sz w:val="17"/>
              </w:rPr>
              <w:t>BChE</w:t>
            </w:r>
          </w:p>
        </w:tc>
        <w:tc>
          <w:tcPr>
            <w:tcW w:type="dxa" w:w="851"/>
          </w:tcPr>
          <w:p>
            <w:r/>
            <w:r>
              <w:rPr>
                <w:sz w:val="17"/>
              </w:rPr>
              <w:t>2580</w:t>
            </w:r>
          </w:p>
        </w:tc>
        <w:tc>
          <w:tcPr>
            <w:tcW w:type="dxa" w:w="851"/>
          </w:tcPr>
          <w:p>
            <w:r/>
            <w:r>
              <w:rPr>
                <w:sz w:val="17"/>
              </w:rPr>
              <w:t>0.695</w:t>
            </w:r>
          </w:p>
        </w:tc>
        <w:tc>
          <w:tcPr>
            <w:tcW w:type="dxa" w:w="851"/>
          </w:tcPr>
          <w:p>
            <w:r/>
            <w:r>
              <w:rPr>
                <w:sz w:val="17"/>
              </w:rPr>
              <w:t>0.976</w:t>
            </w:r>
          </w:p>
        </w:tc>
        <w:tc>
          <w:tcPr>
            <w:tcW w:type="dxa" w:w="851"/>
          </w:tcPr>
          <w:p>
            <w:r/>
            <w:r>
              <w:rPr>
                <w:sz w:val="17"/>
              </w:rPr>
              <w:t>0.937</w:t>
            </w:r>
          </w:p>
        </w:tc>
        <w:tc>
          <w:tcPr>
            <w:tcW w:type="dxa" w:w="851"/>
          </w:tcPr>
          <w:p>
            <w:r/>
            <w:r>
              <w:rPr>
                <w:sz w:val="17"/>
              </w:rPr>
              <w:t>[0.928, 0.946]</w:t>
            </w:r>
          </w:p>
        </w:tc>
        <w:tc>
          <w:tcPr>
            <w:tcW w:type="dxa" w:w="851"/>
          </w:tcPr>
          <w:p>
            <w:r/>
            <w:r>
              <w:rPr>
                <w:sz w:val="17"/>
              </w:rPr>
              <w:t>0.921</w:t>
            </w:r>
          </w:p>
        </w:tc>
        <w:tc>
          <w:tcPr>
            <w:tcW w:type="dxa" w:w="851"/>
          </w:tcPr>
          <w:p>
            <w:r/>
            <w:r>
              <w:rPr>
                <w:sz w:val="17"/>
              </w:rPr>
              <w:t>0.794</w:t>
            </w:r>
          </w:p>
        </w:tc>
        <w:tc>
          <w:tcPr>
            <w:tcW w:type="dxa" w:w="851"/>
          </w:tcPr>
          <w:p>
            <w:r/>
            <w:r>
              <w:rPr>
                <w:sz w:val="17"/>
              </w:rPr>
              <w:t>0.09</w:t>
            </w:r>
          </w:p>
        </w:tc>
        <w:tc>
          <w:tcPr>
            <w:tcW w:type="dxa" w:w="851"/>
          </w:tcPr>
          <w:p>
            <w:r/>
            <w:r>
              <w:rPr>
                <w:sz w:val="17"/>
              </w:rPr>
              <w:t>0.701</w:t>
            </w:r>
          </w:p>
        </w:tc>
        <w:tc>
          <w:tcPr>
            <w:tcW w:type="dxa" w:w="851"/>
          </w:tcPr>
          <w:p>
            <w:r/>
            <w:r>
              <w:rPr>
                <w:sz w:val="17"/>
              </w:rPr>
              <w:t>0.899</w:t>
            </w:r>
          </w:p>
        </w:tc>
      </w:tr>
      <w:tr>
        <w:tc>
          <w:tcPr>
            <w:tcW w:type="dxa" w:w="851"/>
          </w:tcPr>
          <w:p>
            <w:r/>
            <w:r>
              <w:rPr>
                <w:sz w:val="17"/>
              </w:rPr>
              <w:t>GSK3B</w:t>
            </w:r>
          </w:p>
        </w:tc>
        <w:tc>
          <w:tcPr>
            <w:tcW w:type="dxa" w:w="851"/>
          </w:tcPr>
          <w:p>
            <w:r/>
            <w:r>
              <w:rPr>
                <w:sz w:val="17"/>
              </w:rPr>
              <w:t>4044</w:t>
            </w:r>
          </w:p>
        </w:tc>
        <w:tc>
          <w:tcPr>
            <w:tcW w:type="dxa" w:w="851"/>
          </w:tcPr>
          <w:p>
            <w:r/>
            <w:r>
              <w:rPr>
                <w:sz w:val="17"/>
              </w:rPr>
              <w:t>0.914</w:t>
            </w:r>
          </w:p>
        </w:tc>
        <w:tc>
          <w:tcPr>
            <w:tcW w:type="dxa" w:w="851"/>
          </w:tcPr>
          <w:p>
            <w:r/>
            <w:r>
              <w:rPr>
                <w:sz w:val="17"/>
              </w:rPr>
              <w:t>0.943</w:t>
            </w:r>
          </w:p>
        </w:tc>
        <w:tc>
          <w:tcPr>
            <w:tcW w:type="dxa" w:w="851"/>
          </w:tcPr>
          <w:p>
            <w:r/>
            <w:r>
              <w:rPr>
                <w:sz w:val="17"/>
              </w:rPr>
              <w:t>0.92</w:t>
            </w:r>
          </w:p>
        </w:tc>
        <w:tc>
          <w:tcPr>
            <w:tcW w:type="dxa" w:w="851"/>
          </w:tcPr>
          <w:p>
            <w:r/>
            <w:r>
              <w:rPr>
                <w:sz w:val="17"/>
              </w:rPr>
              <w:t>[0.906, 0.934]</w:t>
            </w:r>
          </w:p>
        </w:tc>
        <w:tc>
          <w:tcPr>
            <w:tcW w:type="dxa" w:w="851"/>
          </w:tcPr>
          <w:p>
            <w:r/>
            <w:r>
              <w:rPr>
                <w:sz w:val="17"/>
              </w:rPr>
              <w:t>0.915</w:t>
            </w:r>
          </w:p>
        </w:tc>
        <w:tc>
          <w:tcPr>
            <w:tcW w:type="dxa" w:w="851"/>
          </w:tcPr>
          <w:p>
            <w:r/>
            <w:r>
              <w:rPr>
                <w:sz w:val="17"/>
              </w:rPr>
              <w:t>0.658</w:t>
            </w:r>
          </w:p>
        </w:tc>
        <w:tc>
          <w:tcPr>
            <w:tcW w:type="dxa" w:w="851"/>
          </w:tcPr>
          <w:p>
            <w:r/>
            <w:r>
              <w:rPr>
                <w:sz w:val="17"/>
              </w:rPr>
              <w:t>0.044</w:t>
            </w:r>
          </w:p>
        </w:tc>
        <w:tc>
          <w:tcPr>
            <w:tcW w:type="dxa" w:w="851"/>
          </w:tcPr>
          <w:p>
            <w:r/>
            <w:r>
              <w:rPr>
                <w:sz w:val="17"/>
              </w:rPr>
              <w:t>0.468</w:t>
            </w:r>
          </w:p>
        </w:tc>
        <w:tc>
          <w:tcPr>
            <w:tcW w:type="dxa" w:w="851"/>
          </w:tcPr>
          <w:p>
            <w:r/>
            <w:r>
              <w:rPr>
                <w:sz w:val="17"/>
              </w:rPr>
              <w:t>0.885</w:t>
            </w:r>
          </w:p>
        </w:tc>
      </w:tr>
      <w:tr>
        <w:tc>
          <w:tcPr>
            <w:tcW w:type="dxa" w:w="851"/>
          </w:tcPr>
          <w:p>
            <w:r/>
            <w:r>
              <w:rPr>
                <w:sz w:val="17"/>
              </w:rPr>
              <w:t>MAO_A</w:t>
            </w:r>
          </w:p>
        </w:tc>
        <w:tc>
          <w:tcPr>
            <w:tcW w:type="dxa" w:w="851"/>
          </w:tcPr>
          <w:p>
            <w:r/>
            <w:r>
              <w:rPr>
                <w:sz w:val="17"/>
              </w:rPr>
              <w:t>2141</w:t>
            </w:r>
          </w:p>
        </w:tc>
        <w:tc>
          <w:tcPr>
            <w:tcW w:type="dxa" w:w="851"/>
          </w:tcPr>
          <w:p>
            <w:r/>
            <w:r>
              <w:rPr>
                <w:sz w:val="17"/>
              </w:rPr>
              <w:t>0.376</w:t>
            </w:r>
          </w:p>
        </w:tc>
        <w:tc>
          <w:tcPr>
            <w:tcW w:type="dxa" w:w="851"/>
          </w:tcPr>
          <w:p>
            <w:r/>
            <w:r>
              <w:rPr>
                <w:sz w:val="17"/>
              </w:rPr>
              <w:t>0.95</w:t>
            </w:r>
          </w:p>
        </w:tc>
        <w:tc>
          <w:tcPr>
            <w:tcW w:type="dxa" w:w="851"/>
          </w:tcPr>
          <w:p>
            <w:r/>
            <w:r>
              <w:rPr>
                <w:sz w:val="17"/>
              </w:rPr>
              <w:t>0.867</w:t>
            </w:r>
          </w:p>
        </w:tc>
        <w:tc>
          <w:tcPr>
            <w:tcW w:type="dxa" w:w="851"/>
          </w:tcPr>
          <w:p>
            <w:r/>
            <w:r>
              <w:rPr>
                <w:sz w:val="17"/>
              </w:rPr>
              <w:t>[0.852, 0.883]</w:t>
            </w:r>
          </w:p>
        </w:tc>
        <w:tc>
          <w:tcPr>
            <w:tcW w:type="dxa" w:w="851"/>
          </w:tcPr>
          <w:p>
            <w:r/>
            <w:r>
              <w:rPr>
                <w:sz w:val="17"/>
              </w:rPr>
              <w:t>0.89</w:t>
            </w:r>
          </w:p>
        </w:tc>
        <w:tc>
          <w:tcPr>
            <w:tcW w:type="dxa" w:w="851"/>
          </w:tcPr>
          <w:p>
            <w:r/>
            <w:r>
              <w:rPr>
                <w:sz w:val="17"/>
              </w:rPr>
              <w:t>0.614</w:t>
            </w:r>
          </w:p>
        </w:tc>
        <w:tc>
          <w:tcPr>
            <w:tcW w:type="dxa" w:w="851"/>
          </w:tcPr>
          <w:p>
            <w:r/>
            <w:r>
              <w:rPr>
                <w:sz w:val="17"/>
              </w:rPr>
              <w:t>0.136</w:t>
            </w:r>
          </w:p>
        </w:tc>
        <w:tc>
          <w:tcPr>
            <w:tcW w:type="dxa" w:w="851"/>
          </w:tcPr>
          <w:p>
            <w:r/>
            <w:r>
              <w:rPr>
                <w:sz w:val="17"/>
              </w:rPr>
              <w:t>0.586</w:t>
            </w:r>
          </w:p>
        </w:tc>
        <w:tc>
          <w:tcPr>
            <w:tcW w:type="dxa" w:w="851"/>
          </w:tcPr>
          <w:p>
            <w:r/>
            <w:r>
              <w:rPr>
                <w:sz w:val="17"/>
              </w:rPr>
              <w:t>0.905</w:t>
            </w:r>
          </w:p>
        </w:tc>
      </w:tr>
      <w:tr>
        <w:tc>
          <w:tcPr>
            <w:tcW w:type="dxa" w:w="851"/>
          </w:tcPr>
          <w:p>
            <w:r/>
            <w:r>
              <w:rPr>
                <w:sz w:val="17"/>
              </w:rPr>
              <w:t>MAO_B</w:t>
            </w:r>
          </w:p>
        </w:tc>
        <w:tc>
          <w:tcPr>
            <w:tcW w:type="dxa" w:w="851"/>
          </w:tcPr>
          <w:p>
            <w:r/>
            <w:r>
              <w:rPr>
                <w:sz w:val="17"/>
              </w:rPr>
              <w:t>3455</w:t>
            </w:r>
          </w:p>
        </w:tc>
        <w:tc>
          <w:tcPr>
            <w:tcW w:type="dxa" w:w="851"/>
          </w:tcPr>
          <w:p>
            <w:r/>
            <w:r>
              <w:rPr>
                <w:sz w:val="17"/>
              </w:rPr>
              <w:t>0.652</w:t>
            </w:r>
          </w:p>
        </w:tc>
        <w:tc>
          <w:tcPr>
            <w:tcW w:type="dxa" w:w="851"/>
          </w:tcPr>
          <w:p>
            <w:r/>
            <w:r>
              <w:rPr>
                <w:sz w:val="17"/>
              </w:rPr>
              <w:t>0.96</w:t>
            </w:r>
          </w:p>
        </w:tc>
        <w:tc>
          <w:tcPr>
            <w:tcW w:type="dxa" w:w="851"/>
          </w:tcPr>
          <w:p>
            <w:r/>
            <w:r>
              <w:rPr>
                <w:sz w:val="17"/>
              </w:rPr>
              <w:t>0.885</w:t>
            </w:r>
          </w:p>
        </w:tc>
        <w:tc>
          <w:tcPr>
            <w:tcW w:type="dxa" w:w="851"/>
          </w:tcPr>
          <w:p>
            <w:r/>
            <w:r>
              <w:rPr>
                <w:sz w:val="17"/>
              </w:rPr>
              <w:t>[0.872, 0.896]</w:t>
            </w:r>
          </w:p>
        </w:tc>
        <w:tc>
          <w:tcPr>
            <w:tcW w:type="dxa" w:w="851"/>
          </w:tcPr>
          <w:p>
            <w:r/>
            <w:r>
              <w:rPr>
                <w:sz w:val="17"/>
              </w:rPr>
              <w:t>0.873</w:t>
            </w:r>
          </w:p>
        </w:tc>
        <w:tc>
          <w:tcPr>
            <w:tcW w:type="dxa" w:w="851"/>
          </w:tcPr>
          <w:p>
            <w:r/>
            <w:r>
              <w:rPr>
                <w:sz w:val="17"/>
              </w:rPr>
              <w:t>0.758</w:t>
            </w:r>
          </w:p>
        </w:tc>
        <w:tc>
          <w:tcPr>
            <w:tcW w:type="dxa" w:w="851"/>
          </w:tcPr>
          <w:p>
            <w:r/>
            <w:r>
              <w:rPr>
                <w:sz w:val="17"/>
              </w:rPr>
              <w:t>0.122</w:t>
            </w:r>
          </w:p>
        </w:tc>
        <w:tc>
          <w:tcPr>
            <w:tcW w:type="dxa" w:w="851"/>
          </w:tcPr>
          <w:p>
            <w:r/>
            <w:r>
              <w:rPr>
                <w:sz w:val="17"/>
              </w:rPr>
              <w:t>0.606</w:t>
            </w:r>
          </w:p>
        </w:tc>
        <w:tc>
          <w:tcPr>
            <w:tcW w:type="dxa" w:w="851"/>
          </w:tcPr>
          <w:p>
            <w:r/>
            <w:r>
              <w:rPr>
                <w:sz w:val="17"/>
              </w:rPr>
              <w:t>0.895</w:t>
            </w:r>
          </w:p>
        </w:tc>
      </w:tr>
      <w:tr>
        <w:tc>
          <w:tcPr>
            <w:tcW w:type="dxa" w:w="851"/>
          </w:tcPr>
          <w:p>
            <w:r/>
            <w:r>
              <w:rPr>
                <w:sz w:val="17"/>
              </w:rPr>
              <w:t>hERG</w:t>
            </w:r>
          </w:p>
        </w:tc>
        <w:tc>
          <w:tcPr>
            <w:tcW w:type="dxa" w:w="851"/>
          </w:tcPr>
          <w:p>
            <w:r/>
            <w:r>
              <w:rPr>
                <w:sz w:val="17"/>
              </w:rPr>
              <w:t>5905</w:t>
            </w:r>
          </w:p>
        </w:tc>
        <w:tc>
          <w:tcPr>
            <w:tcW w:type="dxa" w:w="851"/>
          </w:tcPr>
          <w:p>
            <w:r/>
            <w:r>
              <w:rPr>
                <w:sz w:val="17"/>
              </w:rPr>
              <w:t>0.415</w:t>
            </w:r>
          </w:p>
        </w:tc>
        <w:tc>
          <w:tcPr>
            <w:tcW w:type="dxa" w:w="851"/>
          </w:tcPr>
          <w:p>
            <w:r/>
            <w:r>
              <w:rPr>
                <w:sz w:val="17"/>
              </w:rPr>
              <w:t>0.95</w:t>
            </w:r>
          </w:p>
        </w:tc>
        <w:tc>
          <w:tcPr>
            <w:tcW w:type="dxa" w:w="851"/>
          </w:tcPr>
          <w:p>
            <w:r/>
            <w:r>
              <w:rPr>
                <w:sz w:val="17"/>
              </w:rPr>
              <w:t>0.901</w:t>
            </w:r>
          </w:p>
        </w:tc>
        <w:tc>
          <w:tcPr>
            <w:tcW w:type="dxa" w:w="851"/>
          </w:tcPr>
          <w:p>
            <w:r/>
            <w:r>
              <w:rPr>
                <w:sz w:val="17"/>
              </w:rPr>
              <w:t>[0.894, 0.908]</w:t>
            </w:r>
          </w:p>
        </w:tc>
        <w:tc>
          <w:tcPr>
            <w:tcW w:type="dxa" w:w="851"/>
          </w:tcPr>
          <w:p>
            <w:r/>
            <w:r>
              <w:rPr>
                <w:sz w:val="17"/>
              </w:rPr>
              <w:t>0.87</w:t>
            </w:r>
          </w:p>
        </w:tc>
        <w:tc>
          <w:tcPr>
            <w:tcW w:type="dxa" w:w="851"/>
          </w:tcPr>
          <w:p>
            <w:r/>
            <w:r>
              <w:rPr>
                <w:sz w:val="17"/>
              </w:rPr>
              <w:t>0.757</w:t>
            </w:r>
          </w:p>
        </w:tc>
        <w:tc>
          <w:tcPr>
            <w:tcW w:type="dxa" w:w="851"/>
          </w:tcPr>
          <w:p>
            <w:r/>
            <w:r>
              <w:rPr>
                <w:sz w:val="17"/>
              </w:rPr>
              <w:t>0.123</w:t>
            </w:r>
          </w:p>
        </w:tc>
        <w:tc>
          <w:tcPr>
            <w:tcW w:type="dxa" w:w="851"/>
          </w:tcPr>
          <w:p>
            <w:r/>
            <w:r>
              <w:rPr>
                <w:sz w:val="17"/>
              </w:rPr>
              <w:t>0.626</w:t>
            </w:r>
          </w:p>
        </w:tc>
        <w:tc>
          <w:tcPr>
            <w:tcW w:type="dxa" w:w="851"/>
          </w:tcPr>
          <w:p>
            <w:r/>
            <w:r>
              <w:rPr>
                <w:sz w:val="17"/>
              </w:rPr>
              <w:t>0.896</w:t>
            </w:r>
          </w:p>
        </w:tc>
      </w:tr>
    </w:tbl>
    <w:p>
      <w:r>
        <w:rPr>
          <w:b w:val="0"/>
          <w:i w:val="0"/>
        </w:rPr>
      </w:r>
    </w:p>
    <w:p>
      <w:pPr>
        <w:jc w:val="center"/>
      </w:pPr>
      <w:r>
        <w:drawing>
          <wp:inline xmlns:a="http://schemas.openxmlformats.org/drawingml/2006/main" xmlns:pic="http://schemas.openxmlformats.org/drawingml/2006/picture">
            <wp:extent cx="5760720" cy="2838846"/>
            <wp:docPr id="4" name="Picture 4"/>
            <wp:cNvGraphicFramePr>
              <a:graphicFrameLocks noChangeAspect="1"/>
            </wp:cNvGraphicFramePr>
            <a:graphic>
              <a:graphicData uri="http://schemas.openxmlformats.org/drawingml/2006/picture">
                <pic:pic>
                  <pic:nvPicPr>
                    <pic:cNvPr id="0" name="fig3_validation.png"/>
                    <pic:cNvPicPr/>
                  </pic:nvPicPr>
                  <pic:blipFill>
                    <a:blip r:embed="rId12"/>
                    <a:stretch>
                      <a:fillRect/>
                    </a:stretch>
                  </pic:blipFill>
                  <pic:spPr>
                    <a:xfrm>
                      <a:off x="0" y="0"/>
                      <a:ext cx="5760720" cy="2838846"/>
                    </a:xfrm>
                    <a:prstGeom prst="rect"/>
                  </pic:spPr>
                </pic:pic>
              </a:graphicData>
            </a:graphic>
          </wp:inline>
        </w:drawing>
      </w:r>
    </w:p>
    <w:p>
      <w:r>
        <w:rPr>
          <w:b w:val="0"/>
          <w:i/>
          <w:sz w:val="18"/>
        </w:rPr>
        <w:t>Figure 3. AUROC across validation regimes; error bars on scaffold-CV bars denote 95% bootstrap CIs.</w:t>
      </w:r>
    </w:p>
    <w:p>
      <w:pPr>
        <w:jc w:val="center"/>
      </w:pPr>
      <w:r>
        <w:drawing>
          <wp:inline xmlns:a="http://schemas.openxmlformats.org/drawingml/2006/main" xmlns:pic="http://schemas.openxmlformats.org/drawingml/2006/picture">
            <wp:extent cx="5760720" cy="2607903"/>
            <wp:docPr id="5" name="Picture 5"/>
            <wp:cNvGraphicFramePr>
              <a:graphicFrameLocks noChangeAspect="1"/>
            </wp:cNvGraphicFramePr>
            <a:graphic>
              <a:graphicData uri="http://schemas.openxmlformats.org/drawingml/2006/picture">
                <pic:pic>
                  <pic:nvPicPr>
                    <pic:cNvPr id="0" name="fig4_roc_calibration.png"/>
                    <pic:cNvPicPr/>
                  </pic:nvPicPr>
                  <pic:blipFill>
                    <a:blip r:embed="rId13"/>
                    <a:stretch>
                      <a:fillRect/>
                    </a:stretch>
                  </pic:blipFill>
                  <pic:spPr>
                    <a:xfrm>
                      <a:off x="0" y="0"/>
                      <a:ext cx="5760720" cy="2607903"/>
                    </a:xfrm>
                    <a:prstGeom prst="rect"/>
                  </pic:spPr>
                </pic:pic>
              </a:graphicData>
            </a:graphic>
          </wp:inline>
        </w:drawing>
      </w:r>
    </w:p>
    <w:p>
      <w:r>
        <w:rPr>
          <w:b w:val="0"/>
          <w:i/>
          <w:sz w:val="18"/>
        </w:rPr>
        <w:t>Figure 4. (A) Scaffold cross-validation ROC curves (out-of-fold). (B) Reliability diagrams after isotonic calibration for representative endpoints.</w:t>
      </w:r>
    </w:p>
    <w:p>
      <w:pPr>
        <w:jc w:val="center"/>
      </w:pPr>
      <w:r>
        <w:drawing>
          <wp:inline xmlns:a="http://schemas.openxmlformats.org/drawingml/2006/main" xmlns:pic="http://schemas.openxmlformats.org/drawingml/2006/picture">
            <wp:extent cx="5760720" cy="2409625"/>
            <wp:docPr id="6" name="Picture 6"/>
            <wp:cNvGraphicFramePr>
              <a:graphicFrameLocks noChangeAspect="1"/>
            </wp:cNvGraphicFramePr>
            <a:graphic>
              <a:graphicData uri="http://schemas.openxmlformats.org/drawingml/2006/picture">
                <pic:pic>
                  <pic:nvPicPr>
                    <pic:cNvPr id="0" name="fig5_conformal_comparison.png"/>
                    <pic:cNvPicPr/>
                  </pic:nvPicPr>
                  <pic:blipFill>
                    <a:blip r:embed="rId14"/>
                    <a:stretch>
                      <a:fillRect/>
                    </a:stretch>
                  </pic:blipFill>
                  <pic:spPr>
                    <a:xfrm>
                      <a:off x="0" y="0"/>
                      <a:ext cx="5760720" cy="2409625"/>
                    </a:xfrm>
                    <a:prstGeom prst="rect"/>
                  </pic:spPr>
                </pic:pic>
              </a:graphicData>
            </a:graphic>
          </wp:inline>
        </w:drawing>
      </w:r>
    </w:p>
    <w:p>
      <w:r>
        <w:rPr>
          <w:b w:val="0"/>
          <w:i/>
          <w:sz w:val="18"/>
        </w:rPr>
        <w:t>Figure 5. (A) Empirical coverage of 90%-level conformal prediction sets. (B) Scaffold-CV AUROC of the deployed ensemble versus Tanimoto k-nearest-neighbour and logistic-regression baselines.</w:t>
      </w:r>
    </w:p>
    <w:p>
      <w:pPr>
        <w:jc w:val="both"/>
      </w:pPr>
      <w:r>
        <w:rPr>
          <w:b w:val="0"/>
          <w:i w:val="0"/>
        </w:rPr>
        <w:t>Random-split AUROC was 0.94–0.98 across endpoints; scaffold and leave-cluster-out AUROC were 0.87–0.95; and temporal-split AUROC was 0.61–0.92 (Figure 3; Table 4). Isotonic calibration gave Brier scores of 0.04–0.14 (Figure 4B) and empirical conformal coverage of 0.885–0.905 against the 0.90 target (Figure 5A).</w:t>
      </w:r>
    </w:p>
    <w:p>
      <w:pPr>
        <w:pStyle w:val="Heading2"/>
      </w:pPr>
      <w:r>
        <w:t>3.2 Ablation against simpler baselines (comparative)</w:t>
      </w:r>
    </w:p>
    <w:p>
      <w:pPr>
        <w:jc w:val="both"/>
      </w:pPr>
      <w:r>
        <w:rPr>
          <w:b w:val="0"/>
          <w:i w:val="0"/>
        </w:rPr>
        <w:t>Under an identical scaffold-split protocol and feature set, the deployed ensemble was compared with a k-nearest-neighbour Tanimoto ‘read-across’ baseline — the closest algorithmic analogue to associative structural recall — and with L2-regularised logistic regression. The ensemble attained a mean scaffold-split AUROC of 0.912, versus 0.867 for k-nearest-neighbour (mean Δ = +0.045) and 0.808 for logistic regression (mean Δ = +0.104), and was best on every one of the eight endpoints (Table 6; Figure 5B). Exceeding a pure nearest-neighbour read-across indicates the model captures structure–activity relationships not reducible to retrieving the most similar known molecule.</w:t>
      </w:r>
    </w:p>
    <w:p>
      <w:r>
        <w:rPr>
          <w:b w:val="0"/>
          <w:i/>
          <w:sz w:val="18"/>
        </w:rPr>
        <w:t>Table 6. Scaffold-split AUROC of the deployed ensemble versus baselines (Supplementary Table S9).</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7"/>
              </w:rPr>
              <w:t>Endpoint</w:t>
            </w:r>
          </w:p>
        </w:tc>
        <w:tc>
          <w:tcPr>
            <w:tcW w:type="dxa" w:w="1872"/>
          </w:tcPr>
          <w:p>
            <w:r/>
            <w:r>
              <w:rPr>
                <w:b/>
                <w:sz w:val="17"/>
              </w:rPr>
              <w:t>Ensemble</w:t>
            </w:r>
          </w:p>
        </w:tc>
        <w:tc>
          <w:tcPr>
            <w:tcW w:type="dxa" w:w="1872"/>
          </w:tcPr>
          <w:p>
            <w:r/>
            <w:r>
              <w:rPr>
                <w:b/>
                <w:sz w:val="17"/>
              </w:rPr>
              <w:t>kNN-Tanimoto</w:t>
            </w:r>
          </w:p>
        </w:tc>
        <w:tc>
          <w:tcPr>
            <w:tcW w:type="dxa" w:w="1872"/>
          </w:tcPr>
          <w:p>
            <w:r/>
            <w:r>
              <w:rPr>
                <w:b/>
                <w:sz w:val="17"/>
              </w:rPr>
              <w:t>Logistic reg.</w:t>
            </w:r>
          </w:p>
        </w:tc>
        <w:tc>
          <w:tcPr>
            <w:tcW w:type="dxa" w:w="1872"/>
          </w:tcPr>
          <w:p>
            <w:r/>
            <w:r>
              <w:rPr>
                <w:b/>
                <w:sz w:val="17"/>
              </w:rPr>
              <w:t>Δ vs kNN</w:t>
            </w:r>
          </w:p>
        </w:tc>
      </w:tr>
      <w:tr>
        <w:tc>
          <w:tcPr>
            <w:tcW w:type="dxa" w:w="1872"/>
          </w:tcPr>
          <w:p>
            <w:r/>
            <w:r>
              <w:rPr>
                <w:sz w:val="17"/>
              </w:rPr>
              <w:t>AChE</w:t>
            </w:r>
          </w:p>
        </w:tc>
        <w:tc>
          <w:tcPr>
            <w:tcW w:type="dxa" w:w="1872"/>
          </w:tcPr>
          <w:p>
            <w:r/>
            <w:r>
              <w:rPr>
                <w:sz w:val="17"/>
              </w:rPr>
              <w:t>0.915</w:t>
            </w:r>
          </w:p>
        </w:tc>
        <w:tc>
          <w:tcPr>
            <w:tcW w:type="dxa" w:w="1872"/>
          </w:tcPr>
          <w:p>
            <w:r/>
            <w:r>
              <w:rPr>
                <w:sz w:val="17"/>
              </w:rPr>
              <w:t>0.874</w:t>
            </w:r>
          </w:p>
        </w:tc>
        <w:tc>
          <w:tcPr>
            <w:tcW w:type="dxa" w:w="1872"/>
          </w:tcPr>
          <w:p>
            <w:r/>
            <w:r>
              <w:rPr>
                <w:sz w:val="17"/>
              </w:rPr>
              <w:t>0.828</w:t>
            </w:r>
          </w:p>
        </w:tc>
        <w:tc>
          <w:tcPr>
            <w:tcW w:type="dxa" w:w="1872"/>
          </w:tcPr>
          <w:p>
            <w:r/>
            <w:r>
              <w:rPr>
                <w:sz w:val="17"/>
              </w:rPr>
              <w:t>0.041</w:t>
            </w:r>
          </w:p>
        </w:tc>
      </w:tr>
      <w:tr>
        <w:tc>
          <w:tcPr>
            <w:tcW w:type="dxa" w:w="1872"/>
          </w:tcPr>
          <w:p>
            <w:r/>
            <w:r>
              <w:rPr>
                <w:sz w:val="17"/>
              </w:rPr>
              <w:t>BACE1</w:t>
            </w:r>
          </w:p>
        </w:tc>
        <w:tc>
          <w:tcPr>
            <w:tcW w:type="dxa" w:w="1872"/>
          </w:tcPr>
          <w:p>
            <w:r/>
            <w:r>
              <w:rPr>
                <w:sz w:val="17"/>
              </w:rPr>
              <w:t>0.95</w:t>
            </w:r>
          </w:p>
        </w:tc>
        <w:tc>
          <w:tcPr>
            <w:tcW w:type="dxa" w:w="1872"/>
          </w:tcPr>
          <w:p>
            <w:r/>
            <w:r>
              <w:rPr>
                <w:sz w:val="17"/>
              </w:rPr>
              <w:t>0.885</w:t>
            </w:r>
          </w:p>
        </w:tc>
        <w:tc>
          <w:tcPr>
            <w:tcW w:type="dxa" w:w="1872"/>
          </w:tcPr>
          <w:p>
            <w:r/>
            <w:r>
              <w:rPr>
                <w:sz w:val="17"/>
              </w:rPr>
              <w:t>0.883</w:t>
            </w:r>
          </w:p>
        </w:tc>
        <w:tc>
          <w:tcPr>
            <w:tcW w:type="dxa" w:w="1872"/>
          </w:tcPr>
          <w:p>
            <w:r/>
            <w:r>
              <w:rPr>
                <w:sz w:val="17"/>
              </w:rPr>
              <w:t>0.065</w:t>
            </w:r>
          </w:p>
        </w:tc>
      </w:tr>
      <w:tr>
        <w:tc>
          <w:tcPr>
            <w:tcW w:type="dxa" w:w="1872"/>
          </w:tcPr>
          <w:p>
            <w:r/>
            <w:r>
              <w:rPr>
                <w:sz w:val="17"/>
              </w:rPr>
              <w:t>BBB</w:t>
            </w:r>
          </w:p>
        </w:tc>
        <w:tc>
          <w:tcPr>
            <w:tcW w:type="dxa" w:w="1872"/>
          </w:tcPr>
          <w:p>
            <w:r/>
            <w:r>
              <w:rPr>
                <w:sz w:val="17"/>
              </w:rPr>
              <w:t>0.921</w:t>
            </w:r>
          </w:p>
        </w:tc>
        <w:tc>
          <w:tcPr>
            <w:tcW w:type="dxa" w:w="1872"/>
          </w:tcPr>
          <w:p>
            <w:r/>
            <w:r>
              <w:rPr>
                <w:sz w:val="17"/>
              </w:rPr>
              <w:t>0.882</w:t>
            </w:r>
          </w:p>
        </w:tc>
        <w:tc>
          <w:tcPr>
            <w:tcW w:type="dxa" w:w="1872"/>
          </w:tcPr>
          <w:p>
            <w:r/>
            <w:r>
              <w:rPr>
                <w:sz w:val="17"/>
              </w:rPr>
              <w:t>0.792</w:t>
            </w:r>
          </w:p>
        </w:tc>
        <w:tc>
          <w:tcPr>
            <w:tcW w:type="dxa" w:w="1872"/>
          </w:tcPr>
          <w:p>
            <w:r/>
            <w:r>
              <w:rPr>
                <w:sz w:val="17"/>
              </w:rPr>
              <w:t>0.039</w:t>
            </w:r>
          </w:p>
        </w:tc>
      </w:tr>
      <w:tr>
        <w:tc>
          <w:tcPr>
            <w:tcW w:type="dxa" w:w="1872"/>
          </w:tcPr>
          <w:p>
            <w:r/>
            <w:r>
              <w:rPr>
                <w:sz w:val="17"/>
              </w:rPr>
              <w:t>BChE</w:t>
            </w:r>
          </w:p>
        </w:tc>
        <w:tc>
          <w:tcPr>
            <w:tcW w:type="dxa" w:w="1872"/>
          </w:tcPr>
          <w:p>
            <w:r/>
            <w:r>
              <w:rPr>
                <w:sz w:val="17"/>
              </w:rPr>
              <w:t>0.937</w:t>
            </w:r>
          </w:p>
        </w:tc>
        <w:tc>
          <w:tcPr>
            <w:tcW w:type="dxa" w:w="1872"/>
          </w:tcPr>
          <w:p>
            <w:r/>
            <w:r>
              <w:rPr>
                <w:sz w:val="17"/>
              </w:rPr>
              <w:t>0.899</w:t>
            </w:r>
          </w:p>
        </w:tc>
        <w:tc>
          <w:tcPr>
            <w:tcW w:type="dxa" w:w="1872"/>
          </w:tcPr>
          <w:p>
            <w:r/>
            <w:r>
              <w:rPr>
                <w:sz w:val="17"/>
              </w:rPr>
              <w:t>0.866</w:t>
            </w:r>
          </w:p>
        </w:tc>
        <w:tc>
          <w:tcPr>
            <w:tcW w:type="dxa" w:w="1872"/>
          </w:tcPr>
          <w:p>
            <w:r/>
            <w:r>
              <w:rPr>
                <w:sz w:val="17"/>
              </w:rPr>
              <w:t>0.038</w:t>
            </w:r>
          </w:p>
        </w:tc>
      </w:tr>
      <w:tr>
        <w:tc>
          <w:tcPr>
            <w:tcW w:type="dxa" w:w="1872"/>
          </w:tcPr>
          <w:p>
            <w:r/>
            <w:r>
              <w:rPr>
                <w:sz w:val="17"/>
              </w:rPr>
              <w:t>GSK3B</w:t>
            </w:r>
          </w:p>
        </w:tc>
        <w:tc>
          <w:tcPr>
            <w:tcW w:type="dxa" w:w="1872"/>
          </w:tcPr>
          <w:p>
            <w:r/>
            <w:r>
              <w:rPr>
                <w:sz w:val="17"/>
              </w:rPr>
              <w:t>0.92</w:t>
            </w:r>
          </w:p>
        </w:tc>
        <w:tc>
          <w:tcPr>
            <w:tcW w:type="dxa" w:w="1872"/>
          </w:tcPr>
          <w:p>
            <w:r/>
            <w:r>
              <w:rPr>
                <w:sz w:val="17"/>
              </w:rPr>
              <w:t>0.842</w:t>
            </w:r>
          </w:p>
        </w:tc>
        <w:tc>
          <w:tcPr>
            <w:tcW w:type="dxa" w:w="1872"/>
          </w:tcPr>
          <w:p>
            <w:r/>
            <w:r>
              <w:rPr>
                <w:sz w:val="17"/>
              </w:rPr>
              <w:t>0.831</w:t>
            </w:r>
          </w:p>
        </w:tc>
        <w:tc>
          <w:tcPr>
            <w:tcW w:type="dxa" w:w="1872"/>
          </w:tcPr>
          <w:p>
            <w:r/>
            <w:r>
              <w:rPr>
                <w:sz w:val="17"/>
              </w:rPr>
              <w:t>0.078</w:t>
            </w:r>
          </w:p>
        </w:tc>
      </w:tr>
      <w:tr>
        <w:tc>
          <w:tcPr>
            <w:tcW w:type="dxa" w:w="1872"/>
          </w:tcPr>
          <w:p>
            <w:r/>
            <w:r>
              <w:rPr>
                <w:sz w:val="17"/>
              </w:rPr>
              <w:t>MAO_A</w:t>
            </w:r>
          </w:p>
        </w:tc>
        <w:tc>
          <w:tcPr>
            <w:tcW w:type="dxa" w:w="1872"/>
          </w:tcPr>
          <w:p>
            <w:r/>
            <w:r>
              <w:rPr>
                <w:sz w:val="17"/>
              </w:rPr>
              <w:t>0.867</w:t>
            </w:r>
          </w:p>
        </w:tc>
        <w:tc>
          <w:tcPr>
            <w:tcW w:type="dxa" w:w="1872"/>
          </w:tcPr>
          <w:p>
            <w:r/>
            <w:r>
              <w:rPr>
                <w:sz w:val="17"/>
              </w:rPr>
              <w:t>0.853</w:t>
            </w:r>
          </w:p>
        </w:tc>
        <w:tc>
          <w:tcPr>
            <w:tcW w:type="dxa" w:w="1872"/>
          </w:tcPr>
          <w:p>
            <w:r/>
            <w:r>
              <w:rPr>
                <w:sz w:val="17"/>
              </w:rPr>
              <w:t>0.731</w:t>
            </w:r>
          </w:p>
        </w:tc>
        <w:tc>
          <w:tcPr>
            <w:tcW w:type="dxa" w:w="1872"/>
          </w:tcPr>
          <w:p>
            <w:r/>
            <w:r>
              <w:rPr>
                <w:sz w:val="17"/>
              </w:rPr>
              <w:t>0.014</w:t>
            </w:r>
          </w:p>
        </w:tc>
      </w:tr>
      <w:tr>
        <w:tc>
          <w:tcPr>
            <w:tcW w:type="dxa" w:w="1872"/>
          </w:tcPr>
          <w:p>
            <w:r/>
            <w:r>
              <w:rPr>
                <w:sz w:val="17"/>
              </w:rPr>
              <w:t>MAO_B</w:t>
            </w:r>
          </w:p>
        </w:tc>
        <w:tc>
          <w:tcPr>
            <w:tcW w:type="dxa" w:w="1872"/>
          </w:tcPr>
          <w:p>
            <w:r/>
            <w:r>
              <w:rPr>
                <w:sz w:val="17"/>
              </w:rPr>
              <w:t>0.885</w:t>
            </w:r>
          </w:p>
        </w:tc>
        <w:tc>
          <w:tcPr>
            <w:tcW w:type="dxa" w:w="1872"/>
          </w:tcPr>
          <w:p>
            <w:r/>
            <w:r>
              <w:rPr>
                <w:sz w:val="17"/>
              </w:rPr>
              <w:t>0.833</w:t>
            </w:r>
          </w:p>
        </w:tc>
        <w:tc>
          <w:tcPr>
            <w:tcW w:type="dxa" w:w="1872"/>
          </w:tcPr>
          <w:p>
            <w:r/>
            <w:r>
              <w:rPr>
                <w:sz w:val="17"/>
              </w:rPr>
              <w:t>0.742</w:t>
            </w:r>
          </w:p>
        </w:tc>
        <w:tc>
          <w:tcPr>
            <w:tcW w:type="dxa" w:w="1872"/>
          </w:tcPr>
          <w:p>
            <w:r/>
            <w:r>
              <w:rPr>
                <w:sz w:val="17"/>
              </w:rPr>
              <w:t>0.052</w:t>
            </w:r>
          </w:p>
        </w:tc>
      </w:tr>
      <w:tr>
        <w:tc>
          <w:tcPr>
            <w:tcW w:type="dxa" w:w="1872"/>
          </w:tcPr>
          <w:p>
            <w:r/>
            <w:r>
              <w:rPr>
                <w:sz w:val="17"/>
              </w:rPr>
              <w:t>hERG</w:t>
            </w:r>
          </w:p>
        </w:tc>
        <w:tc>
          <w:tcPr>
            <w:tcW w:type="dxa" w:w="1872"/>
          </w:tcPr>
          <w:p>
            <w:r/>
            <w:r>
              <w:rPr>
                <w:sz w:val="17"/>
              </w:rPr>
              <w:t>0.901</w:t>
            </w:r>
          </w:p>
        </w:tc>
        <w:tc>
          <w:tcPr>
            <w:tcW w:type="dxa" w:w="1872"/>
          </w:tcPr>
          <w:p>
            <w:r/>
            <w:r>
              <w:rPr>
                <w:sz w:val="17"/>
              </w:rPr>
              <w:t>0.871</w:t>
            </w:r>
          </w:p>
        </w:tc>
        <w:tc>
          <w:tcPr>
            <w:tcW w:type="dxa" w:w="1872"/>
          </w:tcPr>
          <w:p>
            <w:r/>
            <w:r>
              <w:rPr>
                <w:sz w:val="17"/>
              </w:rPr>
              <w:t>0.792</w:t>
            </w:r>
          </w:p>
        </w:tc>
        <w:tc>
          <w:tcPr>
            <w:tcW w:type="dxa" w:w="1872"/>
          </w:tcPr>
          <w:p>
            <w:r/>
            <w:r>
              <w:rPr>
                <w:sz w:val="17"/>
              </w:rPr>
              <w:t>0.03</w:t>
            </w:r>
          </w:p>
        </w:tc>
      </w:tr>
    </w:tbl>
    <w:p>
      <w:r>
        <w:rPr>
          <w:b w:val="0"/>
          <w:i w:val="0"/>
        </w:rPr>
      </w:r>
    </w:p>
    <w:p>
      <w:pPr>
        <w:pStyle w:val="Heading2"/>
      </w:pPr>
      <w:r>
        <w:t>3.3 Comparison with the literature (comparative)</w:t>
      </w:r>
    </w:p>
    <w:p>
      <w:pPr>
        <w:jc w:val="center"/>
      </w:pPr>
      <w:r>
        <w:drawing>
          <wp:inline xmlns:a="http://schemas.openxmlformats.org/drawingml/2006/main" xmlns:pic="http://schemas.openxmlformats.org/drawingml/2006/picture">
            <wp:extent cx="5760720" cy="3200400"/>
            <wp:docPr id="7" name="Picture 7"/>
            <wp:cNvGraphicFramePr>
              <a:graphicFrameLocks noChangeAspect="1"/>
            </wp:cNvGraphicFramePr>
            <a:graphic>
              <a:graphicData uri="http://schemas.openxmlformats.org/drawingml/2006/picture">
                <pic:pic>
                  <pic:nvPicPr>
                    <pic:cNvPr id="0" name="fig6_benchmark.png"/>
                    <pic:cNvPicPr/>
                  </pic:nvPicPr>
                  <pic:blipFill>
                    <a:blip r:embed="rId15"/>
                    <a:stretch>
                      <a:fillRect/>
                    </a:stretch>
                  </pic:blipFill>
                  <pic:spPr>
                    <a:xfrm>
                      <a:off x="0" y="0"/>
                      <a:ext cx="5760720" cy="3200400"/>
                    </a:xfrm>
                    <a:prstGeom prst="rect"/>
                  </pic:spPr>
                </pic:pic>
              </a:graphicData>
            </a:graphic>
          </wp:inline>
        </w:drawing>
      </w:r>
    </w:p>
    <w:p>
      <w:r>
        <w:rPr>
          <w:b w:val="0"/>
          <w:i/>
          <w:sz w:val="18"/>
        </w:rPr>
        <w:t>Figure 6. Per-endpoint random-split AUROC (this work) relative to reported random-split ranges.</w:t>
      </w:r>
    </w:p>
    <w:p>
      <w:pPr>
        <w:jc w:val="both"/>
      </w:pPr>
      <w:r>
        <w:rPr>
          <w:b w:val="0"/>
          <w:i w:val="0"/>
        </w:rPr>
        <w:t>On like-for-like random splits, per-endpoint AUROC was within or above reported ranges, for example BBB (0.88–0.96) and hERG (0.86–0.93) (Kumar et al., 2022; Huang et al., 2024; Figure 6).</w:t>
      </w:r>
    </w:p>
    <w:p>
      <w:pPr>
        <w:pStyle w:val="Heading2"/>
      </w:pPr>
      <w:r>
        <w:t>3.4 Receptor potency regression and antioxidant model (non-comparative)</w:t>
      </w:r>
    </w:p>
    <w:p>
      <w:r>
        <w:rPr>
          <w:b w:val="0"/>
          <w:i/>
          <w:sz w:val="18"/>
        </w:rPr>
        <w:t>Table 5. Receptor potency-regression performance (scaffold cross-validation and temporal split).</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7"/>
              </w:rPr>
              <w:t>Receptor</w:t>
            </w:r>
          </w:p>
        </w:tc>
        <w:tc>
          <w:tcPr>
            <w:tcW w:type="dxa" w:w="1560"/>
          </w:tcPr>
          <w:p>
            <w:r/>
            <w:r>
              <w:rPr>
                <w:b/>
                <w:sz w:val="17"/>
              </w:rPr>
              <w:t>n</w:t>
            </w:r>
          </w:p>
        </w:tc>
        <w:tc>
          <w:tcPr>
            <w:tcW w:type="dxa" w:w="1560"/>
          </w:tcPr>
          <w:p>
            <w:r/>
            <w:r>
              <w:rPr>
                <w:b/>
                <w:sz w:val="17"/>
              </w:rPr>
              <w:t>Scaffold R²</w:t>
            </w:r>
          </w:p>
        </w:tc>
        <w:tc>
          <w:tcPr>
            <w:tcW w:type="dxa" w:w="1560"/>
          </w:tcPr>
          <w:p>
            <w:r/>
            <w:r>
              <w:rPr>
                <w:b/>
                <w:sz w:val="17"/>
              </w:rPr>
              <w:t>RMSE</w:t>
            </w:r>
          </w:p>
        </w:tc>
        <w:tc>
          <w:tcPr>
            <w:tcW w:type="dxa" w:w="1560"/>
          </w:tcPr>
          <w:p>
            <w:r/>
            <w:r>
              <w:rPr>
                <w:b/>
                <w:sz w:val="17"/>
              </w:rPr>
              <w:t>Spearman</w:t>
            </w:r>
          </w:p>
        </w:tc>
        <w:tc>
          <w:tcPr>
            <w:tcW w:type="dxa" w:w="1560"/>
          </w:tcPr>
          <w:p>
            <w:r/>
            <w:r>
              <w:rPr>
                <w:b/>
                <w:sz w:val="17"/>
              </w:rPr>
              <w:t>Temporal R²</w:t>
            </w:r>
          </w:p>
        </w:tc>
      </w:tr>
      <w:tr>
        <w:tc>
          <w:tcPr>
            <w:tcW w:type="dxa" w:w="1560"/>
          </w:tcPr>
          <w:p>
            <w:r/>
            <w:r>
              <w:rPr>
                <w:sz w:val="17"/>
              </w:rPr>
              <w:t>D2</w:t>
            </w:r>
          </w:p>
        </w:tc>
        <w:tc>
          <w:tcPr>
            <w:tcW w:type="dxa" w:w="1560"/>
          </w:tcPr>
          <w:p>
            <w:r/>
            <w:r>
              <w:rPr>
                <w:sz w:val="17"/>
              </w:rPr>
              <w:t>7511</w:t>
            </w:r>
          </w:p>
        </w:tc>
        <w:tc>
          <w:tcPr>
            <w:tcW w:type="dxa" w:w="1560"/>
          </w:tcPr>
          <w:p>
            <w:r/>
            <w:r>
              <w:rPr>
                <w:sz w:val="17"/>
              </w:rPr>
              <w:t>0.425</w:t>
            </w:r>
          </w:p>
        </w:tc>
        <w:tc>
          <w:tcPr>
            <w:tcW w:type="dxa" w:w="1560"/>
          </w:tcPr>
          <w:p>
            <w:r/>
            <w:r>
              <w:rPr>
                <w:sz w:val="17"/>
              </w:rPr>
              <w:t>0.713</w:t>
            </w:r>
          </w:p>
        </w:tc>
        <w:tc>
          <w:tcPr>
            <w:tcW w:type="dxa" w:w="1560"/>
          </w:tcPr>
          <w:p>
            <w:r/>
            <w:r>
              <w:rPr>
                <w:sz w:val="17"/>
              </w:rPr>
              <w:t>0.652</w:t>
            </w:r>
          </w:p>
        </w:tc>
        <w:tc>
          <w:tcPr>
            <w:tcW w:type="dxa" w:w="1560"/>
          </w:tcPr>
          <w:p>
            <w:r/>
            <w:r>
              <w:rPr>
                <w:sz w:val="17"/>
              </w:rPr>
              <w:t>-0.007</w:t>
            </w:r>
          </w:p>
        </w:tc>
      </w:tr>
      <w:tr>
        <w:tc>
          <w:tcPr>
            <w:tcW w:type="dxa" w:w="1560"/>
          </w:tcPr>
          <w:p>
            <w:r/>
            <w:r>
              <w:rPr>
                <w:sz w:val="17"/>
              </w:rPr>
              <w:t>A2A</w:t>
            </w:r>
          </w:p>
        </w:tc>
        <w:tc>
          <w:tcPr>
            <w:tcW w:type="dxa" w:w="1560"/>
          </w:tcPr>
          <w:p>
            <w:r/>
            <w:r>
              <w:rPr>
                <w:sz w:val="17"/>
              </w:rPr>
              <w:t>5547</w:t>
            </w:r>
          </w:p>
        </w:tc>
        <w:tc>
          <w:tcPr>
            <w:tcW w:type="dxa" w:w="1560"/>
          </w:tcPr>
          <w:p>
            <w:r/>
            <w:r>
              <w:rPr>
                <w:sz w:val="17"/>
              </w:rPr>
              <w:t>0.526</w:t>
            </w:r>
          </w:p>
        </w:tc>
        <w:tc>
          <w:tcPr>
            <w:tcW w:type="dxa" w:w="1560"/>
          </w:tcPr>
          <w:p>
            <w:r/>
            <w:r>
              <w:rPr>
                <w:sz w:val="17"/>
              </w:rPr>
              <w:t>0.738</w:t>
            </w:r>
          </w:p>
        </w:tc>
        <w:tc>
          <w:tcPr>
            <w:tcW w:type="dxa" w:w="1560"/>
          </w:tcPr>
          <w:p>
            <w:r/>
            <w:r>
              <w:rPr>
                <w:sz w:val="17"/>
              </w:rPr>
              <w:t>0.706</w:t>
            </w:r>
          </w:p>
        </w:tc>
        <w:tc>
          <w:tcPr>
            <w:tcW w:type="dxa" w:w="1560"/>
          </w:tcPr>
          <w:p>
            <w:r/>
            <w:r>
              <w:rPr>
                <w:sz w:val="17"/>
              </w:rPr>
              <w:t>0.326</w:t>
            </w:r>
          </w:p>
        </w:tc>
      </w:tr>
      <w:tr>
        <w:tc>
          <w:tcPr>
            <w:tcW w:type="dxa" w:w="1560"/>
          </w:tcPr>
          <w:p>
            <w:r/>
            <w:r>
              <w:rPr>
                <w:sz w:val="17"/>
              </w:rPr>
              <w:t>HT2A</w:t>
            </w:r>
          </w:p>
        </w:tc>
        <w:tc>
          <w:tcPr>
            <w:tcW w:type="dxa" w:w="1560"/>
          </w:tcPr>
          <w:p>
            <w:r/>
            <w:r>
              <w:rPr>
                <w:sz w:val="17"/>
              </w:rPr>
              <w:t>5256</w:t>
            </w:r>
          </w:p>
        </w:tc>
        <w:tc>
          <w:tcPr>
            <w:tcW w:type="dxa" w:w="1560"/>
          </w:tcPr>
          <w:p>
            <w:r/>
            <w:r>
              <w:rPr>
                <w:sz w:val="17"/>
              </w:rPr>
              <w:t>0.46</w:t>
            </w:r>
          </w:p>
        </w:tc>
        <w:tc>
          <w:tcPr>
            <w:tcW w:type="dxa" w:w="1560"/>
          </w:tcPr>
          <w:p>
            <w:r/>
            <w:r>
              <w:rPr>
                <w:sz w:val="17"/>
              </w:rPr>
              <w:t>0.757</w:t>
            </w:r>
          </w:p>
        </w:tc>
        <w:tc>
          <w:tcPr>
            <w:tcW w:type="dxa" w:w="1560"/>
          </w:tcPr>
          <w:p>
            <w:r/>
            <w:r>
              <w:rPr>
                <w:sz w:val="17"/>
              </w:rPr>
              <w:t>0.684</w:t>
            </w:r>
          </w:p>
        </w:tc>
        <w:tc>
          <w:tcPr>
            <w:tcW w:type="dxa" w:w="1560"/>
          </w:tcPr>
          <w:p>
            <w:r/>
            <w:r>
              <w:rPr>
                <w:sz w:val="17"/>
              </w:rPr>
              <w:t>0.085</w:t>
            </w:r>
          </w:p>
        </w:tc>
      </w:tr>
      <w:tr>
        <w:tc>
          <w:tcPr>
            <w:tcW w:type="dxa" w:w="1560"/>
          </w:tcPr>
          <w:p>
            <w:r/>
            <w:r>
              <w:rPr>
                <w:sz w:val="17"/>
              </w:rPr>
              <w:t>SERT</w:t>
            </w:r>
          </w:p>
        </w:tc>
        <w:tc>
          <w:tcPr>
            <w:tcW w:type="dxa" w:w="1560"/>
          </w:tcPr>
          <w:p>
            <w:r/>
            <w:r>
              <w:rPr>
                <w:sz w:val="17"/>
              </w:rPr>
              <w:t>4471</w:t>
            </w:r>
          </w:p>
        </w:tc>
        <w:tc>
          <w:tcPr>
            <w:tcW w:type="dxa" w:w="1560"/>
          </w:tcPr>
          <w:p>
            <w:r/>
            <w:r>
              <w:rPr>
                <w:sz w:val="17"/>
              </w:rPr>
              <w:t>0.338</w:t>
            </w:r>
          </w:p>
        </w:tc>
        <w:tc>
          <w:tcPr>
            <w:tcW w:type="dxa" w:w="1560"/>
          </w:tcPr>
          <w:p>
            <w:r/>
            <w:r>
              <w:rPr>
                <w:sz w:val="17"/>
              </w:rPr>
              <w:t>0.841</w:t>
            </w:r>
          </w:p>
        </w:tc>
        <w:tc>
          <w:tcPr>
            <w:tcW w:type="dxa" w:w="1560"/>
          </w:tcPr>
          <w:p>
            <w:r/>
            <w:r>
              <w:rPr>
                <w:sz w:val="17"/>
              </w:rPr>
              <w:t>0.573</w:t>
            </w:r>
          </w:p>
        </w:tc>
        <w:tc>
          <w:tcPr>
            <w:tcW w:type="dxa" w:w="1560"/>
          </w:tcPr>
          <w:p>
            <w:r/>
            <w:r>
              <w:rPr>
                <w:sz w:val="17"/>
              </w:rPr>
              <w:t>0.171</w:t>
            </w:r>
          </w:p>
        </w:tc>
      </w:tr>
    </w:tbl>
    <w:p>
      <w:r>
        <w:rPr>
          <w:b w:val="0"/>
          <w:i w:val="0"/>
        </w:rPr>
      </w:r>
    </w:p>
    <w:p>
      <w:pPr>
        <w:jc w:val="center"/>
      </w:pPr>
      <w:r>
        <w:drawing>
          <wp:inline xmlns:a="http://schemas.openxmlformats.org/drawingml/2006/main" xmlns:pic="http://schemas.openxmlformats.org/drawingml/2006/picture">
            <wp:extent cx="5760720" cy="3422159"/>
            <wp:docPr id="8" name="Picture 8"/>
            <wp:cNvGraphicFramePr>
              <a:graphicFrameLocks noChangeAspect="1"/>
            </wp:cNvGraphicFramePr>
            <a:graphic>
              <a:graphicData uri="http://schemas.openxmlformats.org/drawingml/2006/picture">
                <pic:pic>
                  <pic:nvPicPr>
                    <pic:cNvPr id="0" name="fig7_regression.png"/>
                    <pic:cNvPicPr/>
                  </pic:nvPicPr>
                  <pic:blipFill>
                    <a:blip r:embed="rId16"/>
                    <a:stretch>
                      <a:fillRect/>
                    </a:stretch>
                  </pic:blipFill>
                  <pic:spPr>
                    <a:xfrm>
                      <a:off x="0" y="0"/>
                      <a:ext cx="5760720" cy="3422159"/>
                    </a:xfrm>
                    <a:prstGeom prst="rect"/>
                  </pic:spPr>
                </pic:pic>
              </a:graphicData>
            </a:graphic>
          </wp:inline>
        </w:drawing>
      </w:r>
    </w:p>
    <w:p>
      <w:r>
        <w:rPr>
          <w:b w:val="0"/>
          <w:i/>
          <w:sz w:val="18"/>
        </w:rPr>
        <w:t>Figure 7. Predicted versus measured potency (scaffold cross-validation) for the measured antioxidant (DPPH) model and the four receptor potency-regression endpoints (panels A–E).</w:t>
      </w:r>
    </w:p>
    <w:p>
      <w:pPr>
        <w:jc w:val="both"/>
      </w:pPr>
      <w:r>
        <w:rPr>
          <w:b w:val="0"/>
          <w:i w:val="0"/>
        </w:rPr>
        <w:t>Receptor potency regressions achieved scaffold-CV R² of 0.34–0.53 and Spearman ρ of 0.57–0.71; temporal R² was lower (Table 5), and these endpoints are reported as ranking-grade. The antioxidant model trained on measured DPPH data (n = 2862) achieved scaffold-CV R² = 0.43, RMSE = 0.597 and Spearman = 0.636 (Figure 7); the earlier curated score correlated only weakly with measured DPPH (Spearman = 0.387).</w:t>
      </w:r>
    </w:p>
    <w:p>
      <w:pPr>
        <w:pStyle w:val="Heading2"/>
      </w:pPr>
      <w:r>
        <w:t>3.5 Behaviour on reference compounds (non-comparative)</w:t>
      </w:r>
    </w:p>
    <w:p>
      <w:pPr>
        <w:jc w:val="both"/>
      </w:pPr>
      <w:r>
        <w:rPr>
          <w:b w:val="0"/>
          <w:i w:val="0"/>
        </w:rPr>
        <w:t>With chemistry-only inputs the integrated system reproduced established pharmacology: rivastigmine resolved to Alzheimer’s disease via BChE; rasagiline to Parkinson’s disease via MAO-B; fluoxetine to depression via SERT with a corresponding clinical-precedent match; terfenadine, withdrawn for cardiotoxicity, was predicted positive at hERG; and resveratrol was predicted BBB non-penetrant, consistent with reported flavonoid CNS bioavailability (Hasan et al., 2023).</w:t>
      </w:r>
    </w:p>
    <w:p>
      <w:pPr>
        <w:pStyle w:val="Heading2"/>
      </w:pPr>
      <w:r>
        <w:t>3.6 Comparison with general-purpose large language models (comparative)</w:t>
      </w:r>
    </w:p>
    <w:p>
      <w:pPr>
        <w:jc w:val="both"/>
      </w:pPr>
      <w:r>
        <w:rPr>
          <w:b w:val="0"/>
          <w:i w:val="0"/>
        </w:rPr>
        <w:t>Because general-purpose large language models (LLMs) can be queried in natural language for chemical information, we assessed whether a dedicated tool remains warranted, along three lines: published benchmark evidence, the scientific basis of the difference, and a reproducible demonstration of grounded output.</w:t>
      </w:r>
    </w:p>
    <w:p>
      <w:pPr>
        <w:jc w:val="both"/>
      </w:pPr>
      <w:r>
        <w:rPr>
          <w:b w:val="0"/>
          <w:i w:val="0"/>
        </w:rPr>
        <w:t>Benchmark evidence. On molecular property prediction — the task class BrainSafe performs — general-purpose LLMs consistently underperform specialised machine-learning models. In an eight-task chemistry benchmark, LLMs including GPT-4 lag task-specific models on property prediction and parse SMILES unreliably (Guo et al., 2023); a dedicated molecule-prediction benchmark reports that LLMs ‘generally lag behind ML models’, particularly where molecular geometry matters (Zhong et al., 2024); and even fine-tuned LLMs become competitive with dedicated QSAR models only in the low-data limit, not at the data scale used here (Jablonka et al., 2024). LLMs also exhibit documented factual hallucination in generative settings (Ji et al., 2023).</w:t>
      </w:r>
    </w:p>
    <w:p>
      <w:pPr>
        <w:jc w:val="both"/>
      </w:pPr>
      <w:r>
        <w:rPr>
          <w:b w:val="0"/>
          <w:i w:val="0"/>
        </w:rPr>
        <w:t>Scientific background. A general LLM is an autoregressive next-token predictor over text; it does not compute a molecular fingerprint, does not fit an explicit function from chemical structure to measured bioactivity, and does not emit a probability with a calibration or coverage guarantee. BrainSafe encodes each molecule as an ECFP-4 fingerprint plus 24 physicochemical descriptors, learns a structure-to-measured-activity mapping from 64,474 records, and returns a calibrated probability wrapped in a conformal set with empirically verified ~90% coverage, together with the nearest measured analogue and its measured pChEMBL — guarantees an LLM cannot provide. Table 7 summarises the capability differences (Supplementary Table S8).</w:t>
      </w:r>
    </w:p>
    <w:p>
      <w:r>
        <w:rPr>
          <w:b w:val="0"/>
          <w:i/>
          <w:sz w:val="18"/>
        </w:rPr>
        <w:t>Table 7. Capability comparison: BrainSafe AI versus a general-purpose large language model.</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7"/>
              </w:rPr>
              <w:t>Dimension</w:t>
            </w:r>
          </w:p>
        </w:tc>
        <w:tc>
          <w:tcPr>
            <w:tcW w:type="dxa" w:w="3120"/>
          </w:tcPr>
          <w:p>
            <w:r/>
            <w:r>
              <w:rPr>
                <w:b/>
                <w:sz w:val="17"/>
              </w:rPr>
              <w:t>BrainSafe AI</w:t>
            </w:r>
          </w:p>
        </w:tc>
        <w:tc>
          <w:tcPr>
            <w:tcW w:type="dxa" w:w="3120"/>
          </w:tcPr>
          <w:p>
            <w:r/>
            <w:r>
              <w:rPr>
                <w:b/>
                <w:sz w:val="17"/>
              </w:rPr>
              <w:t>General-purpose LLM</w:t>
            </w:r>
          </w:p>
        </w:tc>
      </w:tr>
      <w:tr>
        <w:tc>
          <w:tcPr>
            <w:tcW w:type="dxa" w:w="3120"/>
          </w:tcPr>
          <w:p>
            <w:r/>
            <w:r>
              <w:rPr>
                <w:sz w:val="17"/>
              </w:rPr>
              <w:t>Input</w:t>
            </w:r>
          </w:p>
        </w:tc>
        <w:tc>
          <w:tcPr>
            <w:tcW w:type="dxa" w:w="3120"/>
          </w:tcPr>
          <w:p>
            <w:r/>
            <w:r>
              <w:rPr>
                <w:sz w:val="17"/>
              </w:rPr>
              <w:t>Chemical structure (SMILES; name/inchi resolved to structure)</w:t>
            </w:r>
          </w:p>
        </w:tc>
        <w:tc>
          <w:tcPr>
            <w:tcW w:type="dxa" w:w="3120"/>
          </w:tcPr>
          <w:p>
            <w:r/>
            <w:r>
              <w:rPr>
                <w:sz w:val="17"/>
              </w:rPr>
              <w:t>Natural-language text prompt</w:t>
            </w:r>
          </w:p>
        </w:tc>
      </w:tr>
      <w:tr>
        <w:tc>
          <w:tcPr>
            <w:tcW w:type="dxa" w:w="3120"/>
          </w:tcPr>
          <w:p>
            <w:r/>
            <w:r>
              <w:rPr>
                <w:sz w:val="17"/>
              </w:rPr>
              <w:t>Molecular representation</w:t>
            </w:r>
          </w:p>
        </w:tc>
        <w:tc>
          <w:tcPr>
            <w:tcW w:type="dxa" w:w="3120"/>
          </w:tcPr>
          <w:p>
            <w:r/>
            <w:r>
              <w:rPr>
                <w:sz w:val="17"/>
              </w:rPr>
              <w:t>ECFP-4 (1024-bit) + 24 computed RDKit physicochemical descriptors</w:t>
            </w:r>
          </w:p>
        </w:tc>
        <w:tc>
          <w:tcPr>
            <w:tcW w:type="dxa" w:w="3120"/>
          </w:tcPr>
          <w:p>
            <w:r/>
            <w:r>
              <w:rPr>
                <w:sz w:val="17"/>
              </w:rPr>
              <w:t>Sub-word text tokens; no explicit molecular graph/descriptors</w:t>
            </w:r>
          </w:p>
        </w:tc>
      </w:tr>
      <w:tr>
        <w:tc>
          <w:tcPr>
            <w:tcW w:type="dxa" w:w="3120"/>
          </w:tcPr>
          <w:p>
            <w:r/>
            <w:r>
              <w:rPr>
                <w:sz w:val="17"/>
              </w:rPr>
              <w:t>Training signal</w:t>
            </w:r>
          </w:p>
        </w:tc>
        <w:tc>
          <w:tcPr>
            <w:tcW w:type="dxa" w:w="3120"/>
          </w:tcPr>
          <w:p>
            <w:r/>
            <w:r>
              <w:rPr>
                <w:sz w:val="17"/>
              </w:rPr>
              <w:t>64,474 measured ChEMBL/B3DB bioactivity records (structure-&gt;measured value)</w:t>
            </w:r>
          </w:p>
        </w:tc>
        <w:tc>
          <w:tcPr>
            <w:tcW w:type="dxa" w:w="3120"/>
          </w:tcPr>
          <w:p>
            <w:r/>
            <w:r>
              <w:rPr>
                <w:sz w:val="17"/>
              </w:rPr>
              <w:t>Web/text corpus; bioactivity not learned as a measured regression target</w:t>
            </w:r>
          </w:p>
        </w:tc>
      </w:tr>
      <w:tr>
        <w:tc>
          <w:tcPr>
            <w:tcW w:type="dxa" w:w="3120"/>
          </w:tcPr>
          <w:p>
            <w:r/>
            <w:r>
              <w:rPr>
                <w:sz w:val="17"/>
              </w:rPr>
              <w:t>Primary output</w:t>
            </w:r>
          </w:p>
        </w:tc>
        <w:tc>
          <w:tcPr>
            <w:tcW w:type="dxa" w:w="3120"/>
          </w:tcPr>
          <w:p>
            <w:r/>
            <w:r>
              <w:rPr>
                <w:sz w:val="17"/>
              </w:rPr>
              <w:t>Calibrated probability / potency per endpoint</w:t>
            </w:r>
          </w:p>
        </w:tc>
        <w:tc>
          <w:tcPr>
            <w:tcW w:type="dxa" w:w="3120"/>
          </w:tcPr>
          <w:p>
            <w:r/>
            <w:r>
              <w:rPr>
                <w:sz w:val="17"/>
              </w:rPr>
              <w:t>Free-text assertion</w:t>
            </w:r>
          </w:p>
        </w:tc>
      </w:tr>
      <w:tr>
        <w:tc>
          <w:tcPr>
            <w:tcW w:type="dxa" w:w="3120"/>
          </w:tcPr>
          <w:p>
            <w:r/>
            <w:r>
              <w:rPr>
                <w:sz w:val="17"/>
              </w:rPr>
              <w:t>Uncertainty quantification</w:t>
            </w:r>
          </w:p>
        </w:tc>
        <w:tc>
          <w:tcPr>
            <w:tcW w:type="dxa" w:w="3120"/>
          </w:tcPr>
          <w:p>
            <w:r/>
            <w:r>
              <w:rPr>
                <w:sz w:val="17"/>
              </w:rPr>
              <w:t>Isotonic calibration + Mondrian conformal sets (empirical 88.5-90.5% coverage)</w:t>
            </w:r>
          </w:p>
        </w:tc>
        <w:tc>
          <w:tcPr>
            <w:tcW w:type="dxa" w:w="3120"/>
          </w:tcPr>
          <w:p>
            <w:r/>
            <w:r>
              <w:rPr>
                <w:sz w:val="17"/>
              </w:rPr>
              <w:t>None, or verbal and uncalibrated</w:t>
            </w:r>
          </w:p>
        </w:tc>
      </w:tr>
      <w:tr>
        <w:tc>
          <w:tcPr>
            <w:tcW w:type="dxa" w:w="3120"/>
          </w:tcPr>
          <w:p>
            <w:r/>
            <w:r>
              <w:rPr>
                <w:sz w:val="17"/>
              </w:rPr>
              <w:t>Provenance / grounding</w:t>
            </w:r>
          </w:p>
        </w:tc>
        <w:tc>
          <w:tcPr>
            <w:tcW w:type="dxa" w:w="3120"/>
          </w:tcPr>
          <w:p>
            <w:r/>
            <w:r>
              <w:rPr>
                <w:sz w:val="17"/>
              </w:rPr>
              <w:t>Returns nearest MEASURED analogue(s) + measured pChEMBL for every call</w:t>
            </w:r>
          </w:p>
        </w:tc>
        <w:tc>
          <w:tcPr>
            <w:tcW w:type="dxa" w:w="3120"/>
          </w:tcPr>
          <w:p>
            <w:r/>
            <w:r>
              <w:rPr>
                <w:sz w:val="17"/>
              </w:rPr>
              <w:t>Not grounded in specific measurements; hallucination documented</w:t>
            </w:r>
          </w:p>
        </w:tc>
      </w:tr>
      <w:tr>
        <w:tc>
          <w:tcPr>
            <w:tcW w:type="dxa" w:w="3120"/>
          </w:tcPr>
          <w:p>
            <w:r/>
            <w:r>
              <w:rPr>
                <w:sz w:val="17"/>
              </w:rPr>
              <w:t>Applicability domain</w:t>
            </w:r>
          </w:p>
        </w:tc>
        <w:tc>
          <w:tcPr>
            <w:tcW w:type="dxa" w:w="3120"/>
          </w:tcPr>
          <w:p>
            <w:r/>
            <w:r>
              <w:rPr>
                <w:sz w:val="17"/>
              </w:rPr>
              <w:t>Explicit Tanimoto AD flag; performance shown to degrade with distance (STable5)</w:t>
            </w:r>
          </w:p>
        </w:tc>
        <w:tc>
          <w:tcPr>
            <w:tcW w:type="dxa" w:w="3120"/>
          </w:tcPr>
          <w:p>
            <w:r/>
            <w:r>
              <w:rPr>
                <w:sz w:val="17"/>
              </w:rPr>
              <w:t>No domain boundary; equally fluent in- and out-of-domain</w:t>
            </w:r>
          </w:p>
        </w:tc>
      </w:tr>
      <w:tr>
        <w:tc>
          <w:tcPr>
            <w:tcW w:type="dxa" w:w="3120"/>
          </w:tcPr>
          <w:p>
            <w:r/>
            <w:r>
              <w:rPr>
                <w:sz w:val="17"/>
              </w:rPr>
              <w:t>Reproducibility</w:t>
            </w:r>
          </w:p>
        </w:tc>
        <w:tc>
          <w:tcPr>
            <w:tcW w:type="dxa" w:w="3120"/>
          </w:tcPr>
          <w:p>
            <w:r/>
            <w:r>
              <w:rPr>
                <w:sz w:val="17"/>
              </w:rPr>
              <w:t>Deterministic (fixed seed 42); identical output on re-run</w:t>
            </w:r>
          </w:p>
        </w:tc>
        <w:tc>
          <w:tcPr>
            <w:tcW w:type="dxa" w:w="3120"/>
          </w:tcPr>
          <w:p>
            <w:r/>
            <w:r>
              <w:rPr>
                <w:sz w:val="17"/>
              </w:rPr>
              <w:t>Stochastic; version- and prompt-dependent</w:t>
            </w:r>
          </w:p>
        </w:tc>
      </w:tr>
      <w:tr>
        <w:tc>
          <w:tcPr>
            <w:tcW w:type="dxa" w:w="3120"/>
          </w:tcPr>
          <w:p>
            <w:r/>
            <w:r>
              <w:rPr>
                <w:sz w:val="17"/>
              </w:rPr>
              <w:t>Benchmarked property-prediction accuracy</w:t>
            </w:r>
          </w:p>
        </w:tc>
        <w:tc>
          <w:tcPr>
            <w:tcW w:type="dxa" w:w="3120"/>
          </w:tcPr>
          <w:p>
            <w:r/>
            <w:r>
              <w:rPr>
                <w:sz w:val="17"/>
              </w:rPr>
              <w:t>AUROC 0.87-0.98 (scaffold/random, this work)</w:t>
            </w:r>
          </w:p>
        </w:tc>
        <w:tc>
          <w:tcPr>
            <w:tcW w:type="dxa" w:w="3120"/>
          </w:tcPr>
          <w:p>
            <w:r/>
            <w:r>
              <w:rPr>
                <w:sz w:val="17"/>
              </w:rPr>
              <w:t>Underperforms specialised ML on molecular property prediction (Guo 2023; Zhong 2024)</w:t>
            </w:r>
          </w:p>
        </w:tc>
      </w:tr>
      <w:tr>
        <w:tc>
          <w:tcPr>
            <w:tcW w:type="dxa" w:w="3120"/>
          </w:tcPr>
          <w:p>
            <w:r/>
            <w:r>
              <w:rPr>
                <w:sz w:val="17"/>
              </w:rPr>
              <w:t>Behaviour on a novel compound</w:t>
            </w:r>
          </w:p>
        </w:tc>
        <w:tc>
          <w:tcPr>
            <w:tcW w:type="dxa" w:w="3120"/>
          </w:tcPr>
          <w:p>
            <w:r/>
            <w:r>
              <w:rPr>
                <w:sz w:val="17"/>
              </w:rPr>
              <w:t>Grounded, calibrated prediction or explicit out-of-domain flag</w:t>
            </w:r>
          </w:p>
        </w:tc>
        <w:tc>
          <w:tcPr>
            <w:tcW w:type="dxa" w:w="3120"/>
          </w:tcPr>
          <w:p>
            <w:r/>
            <w:r>
              <w:rPr>
                <w:sz w:val="17"/>
              </w:rPr>
              <w:t>May confabulate plausible but unverifiable values</w:t>
            </w:r>
          </w:p>
        </w:tc>
      </w:tr>
    </w:tbl>
    <w:p>
      <w:r>
        <w:rPr>
          <w:b w:val="0"/>
          <w:i w:val="0"/>
        </w:rPr>
      </w:r>
    </w:p>
    <w:p>
      <w:pPr>
        <w:jc w:val="both"/>
      </w:pPr>
      <w:r>
        <w:rPr>
          <w:b w:val="0"/>
          <w:i w:val="0"/>
        </w:rPr>
        <w:t>Reproducible grounded-output demonstration. For fixed input structures the deployed engine returns verifiable artifacts (script BS_llm_comparison.py; output BS_llm_comparison.json): donepezil → AChE calibrated P = 0.96 with the nearest measured analogue at Tanimoto 0.71 (measured pChEMBL 7.75) and hERG P = 0.89, matching its clinical QT liability; terfenadine → hERG P = 1.00, correctly flagging the cardiotoxicity for which it was withdrawn, while correctly calling it BBB non-penetrant; and a novel arylpiperazine of an unpublished scaffold → an honest conformal ‘uncertain’ set for AChE grounded in a measured analogue (pChEMBL 4.82) rather than a confident but unverifiable text answer. Every value is traceable to a measurement. This grounding — a calibrated probability, a coverage-guaranteed set, and measured-analogue provenance for any structure, including novel ones — is the scientific justification for a dedicated tool complementary to, not replaced by, general LLMs.</w:t>
      </w:r>
    </w:p>
    <w:p>
      <w:pPr>
        <w:pStyle w:val="Heading1"/>
      </w:pPr>
      <w:r>
        <w:t>4. Discussion</w:t>
      </w:r>
    </w:p>
    <w:p>
      <w:pPr>
        <w:jc w:val="both"/>
      </w:pPr>
      <w:r>
        <w:rPr>
          <w:b w:val="0"/>
          <w:i w:val="0"/>
        </w:rPr>
        <w:t>The contribution of BrainSafe AI is integrative. Its components — fingerprint and tree-ensemble QSAR, BBB and hERG models, conformal prediction and the QED/CNS-MPO druggability rules — are individually established (Rogers and Hahn, 2010; Breiman, 2001; Norinder et al., 2014; Wager et al., 2010). Their combination into a single measured-data CNS profiler that is calibrated, conformal, evidence-grounded, BBB-gated, safety-aware and clinically contextualised is not, to our knowledge, available as a unit in existing tools (Daina et al., 2017, 2019; Fu et al., 2024; Awale and Reymond, 2019).</w:t>
      </w:r>
    </w:p>
    <w:p>
      <w:pPr>
        <w:jc w:val="both"/>
      </w:pPr>
      <w:r>
        <w:rPr>
          <w:b w:val="0"/>
          <w:i w:val="0"/>
        </w:rPr>
        <w:t>AUROC decreased from random (0.94–0.98) to temporal (0.61–0.92) splits, consistent with the proportion of novel chemotypes in each test set: 71–91% of recent test compounds carried Bemis–Murcko scaffolds absent from training. Where temporal AUROC remained high (BACE1, 0.92) the recent test set was 93% active; where it was class-balanced (MAO-A, 45% active) the value was 0.61. Reporting all four regimes characterises generalisation across chemical space and time (Sheridan, 2013; Tropsha, 2010).</w:t>
      </w:r>
    </w:p>
    <w:p>
      <w:pPr>
        <w:jc w:val="both"/>
      </w:pPr>
      <w:r>
        <w:rPr>
          <w:b w:val="0"/>
          <w:i w:val="0"/>
        </w:rPr>
        <w:t>Why a dedicated tool rather than a general-purpose LLM? The comparative evidence (Section 3.6) supports a results-backed answer. On the exact task class in question — molecular property prediction — general LLMs are documented to underperform specialised machine learning (Guo et al., 2023; Zhong et al., 2024), with fine-tuned LLMs matching QSAR only in the low-data limit (Jablonka et al., 2024), whereas BrainSafe operates at a 64,474-record scale. More fundamentally, the paradigms differ in kind: an LLM emits fluent text without a calibrated probability, a coverage guarantee, an applicability-domain boundary, or a link to a specific measurement, and is prone to confident hallucination (Ji et al., 2023). BrainSafe returns, for any structure, a calibrated probability, a conformal set with empirically verified ~90% coverage, an explicit in/out-of-domain flag, and the nearest measured analogue with its pChEMBL. The two are therefore complementary rather than interchangeable where a decision must be auditable and grounded in measured data.</w:t>
      </w:r>
    </w:p>
    <w:p>
      <w:pPr>
        <w:jc w:val="both"/>
      </w:pPr>
      <w:r>
        <w:rPr>
          <w:b w:val="0"/>
          <w:i w:val="0"/>
        </w:rPr>
        <w:t>Threats to validity (scientific-flaw self-audit). We enumerate the principal methodological risks and how each is bounded. (1) Assay heterogeneity: activities pooled per target span IC50/Ki/Kd/EC50/Potency; this is mitigated by ChEMBL’s standardised pChEMBL scale, per-compound median aggregation and conservative labelling with the 5–6 grey zone discarded, though residual cross-assay variance remains and underlies the wider uncertainty on receptor and pooled DPPH endpoints. (2) Label-threshold sensitivity: the pChEMBL ≥6/&lt;5 cut is a modelling choice, so per-threshold precision, recall and F1 across operating points are provided (Supplementary Table S4). (3) Applicability-domain cut-off: the Tanimoto boundary is empirically justified by a monotonic decline in AUROC as train–test similarity falls (Supplementary Table S5). (4) Disease mapping: the target-to-disease synthesis is a transparent, knowledge-based rule — not a learned layer — with each driver tagged by provenance, so it is inspectable and overridable. (5) Single safety anti-target: cardiotoxicity is represented by hERG alone; other liabilities are out of scope. (6) Read-across ceiling: the ensemble exceeds a k-nearest-neighbour baseline on every endpoint (Section 3.2), so performance is not merely memorised nearest-neighbour recall. Each risk is surfaced in the tool output or the supplementary tables rather than concealed.</w:t>
      </w:r>
    </w:p>
    <w:p>
      <w:pPr>
        <w:jc w:val="both"/>
      </w:pPr>
      <w:r>
        <w:rPr>
          <w:b w:val="0"/>
          <w:i w:val="0"/>
        </w:rPr>
        <w:t>Several further limitations apply. The models predict target engagement, not the direction of modulation (agonism versus antagonism); engagement is distinct from clinical efficacy, and the clinical-precedent layer reports structural similarity to compounds with documented clinical phases rather than predicting efficacy; no prospective experimental validation has been performed; and GSK-3β and MAO-A generalise less well under temporal validation and are flagged as lower-confidence, while pooled DPPH antioxidant data show weak temporal transfer. Intended use is research hypothesis generation and prioritisation, not clinical or diagnostic application.</w:t>
      </w:r>
    </w:p>
    <w:p>
      <w:pPr>
        <w:pStyle w:val="Heading1"/>
      </w:pPr>
      <w:r>
        <w:t>5. Conclusion</w:t>
      </w:r>
    </w:p>
    <w:p>
      <w:pPr>
        <w:jc w:val="both"/>
      </w:pPr>
      <w:r>
        <w:rPr>
          <w:b w:val="0"/>
          <w:i w:val="0"/>
        </w:rPr>
        <w:t>BrainSafe AI is a calibrated, evidence-grounded multi-endpoint CNS profiler built on measured public data, with per-endpoint performance within or above reported ranges on like-for-like splits and scaffold, cluster and temporal metrics reported alongside. Its limitations are documented, and it is suitable for an application/resource publication and for research prioritisation.</w:t>
      </w:r>
    </w:p>
    <w:p>
      <w:pPr>
        <w:pStyle w:val="Heading2"/>
      </w:pPr>
      <w:r>
        <w:t>Data and code availability</w:t>
      </w:r>
    </w:p>
    <w:p>
      <w:pPr>
        <w:jc w:val="both"/>
      </w:pPr>
      <w:r>
        <w:rPr>
          <w:b w:val="0"/>
          <w:i w:val="0"/>
        </w:rPr>
        <w:t>All trained models, datasets, validation reports (random, scaffold, cluster, temporal, conformal), supplementary tables and figures, and the fetch/train/validation scripts are provided in the project repository [URL/DOI to be added on acceptance], under an open licence. Source data derive from ChEMBL_37 (Mendez et al., 2019; Zdrazil et al., 2024) and B3DB (Meng et al., 2021). The interactive application is provided as app_v6_final.py.</w:t>
      </w:r>
    </w:p>
    <w:p>
      <w:pPr>
        <w:pStyle w:val="Heading2"/>
      </w:pPr>
      <w:r>
        <w:t>Ethics statement</w:t>
      </w:r>
    </w:p>
    <w:p>
      <w:pPr>
        <w:jc w:val="both"/>
      </w:pPr>
      <w:r>
        <w:rPr>
          <w:b w:val="0"/>
          <w:i w:val="0"/>
        </w:rPr>
        <w:t>This study used only publicly available molecular and bioactivity data and did not involve human participants, human tissue, or animals; no ethical approval was required.</w:t>
      </w:r>
    </w:p>
    <w:p>
      <w:pPr>
        <w:pStyle w:val="Heading2"/>
      </w:pPr>
      <w:r>
        <w:t>Author contributions, funding and competing interests</w:t>
      </w:r>
    </w:p>
    <w:p>
      <w:pPr>
        <w:jc w:val="both"/>
      </w:pPr>
      <w:r>
        <w:rPr>
          <w:b w:val="0"/>
          <w:i w:val="0"/>
        </w:rPr>
        <w:t>Author contributions: [To be completed]. Funding: [To be completed]. Competing interests: the authors declare no competing interests. [Confirm on submission.]</w:t>
      </w:r>
    </w:p>
    <w:p>
      <w:r>
        <w:br w:type="page"/>
      </w:r>
    </w:p>
    <w:p>
      <w:pPr>
        <w:pStyle w:val="Heading1"/>
      </w:pPr>
      <w:r>
        <w:t>References</w:t>
      </w:r>
    </w:p>
    <w:p>
      <w:pPr>
        <w:spacing w:after="120"/>
        <w:ind w:left="720" w:hanging="720"/>
      </w:pPr>
      <w:r>
        <w:rPr>
          <w:sz w:val="20"/>
        </w:rPr>
        <w:t>Awale, M. and Reymond, J.-L. (2019) ‘The polypharmacology browser PPB2: target prediction combining nearest neighbors with machine learning’, Journal of Chemical Information and Modeling, 59(1), pp. 10–17.</w:t>
      </w:r>
    </w:p>
    <w:p>
      <w:pPr>
        <w:spacing w:after="120"/>
        <w:ind w:left="720" w:hanging="720"/>
      </w:pPr>
      <w:r>
        <w:rPr>
          <w:sz w:val="20"/>
        </w:rPr>
        <w:t>Baell, J.B. and Holloway, G.A. (2010) ‘New substructure filters for removal of pan assay interference compounds (PAINS) from screening libraries and for their exclusion in bioassays’, Journal of Medicinal Chemistry, 53(7), pp. 2719–2740.</w:t>
      </w:r>
    </w:p>
    <w:p>
      <w:pPr>
        <w:spacing w:after="120"/>
        <w:ind w:left="720" w:hanging="720"/>
      </w:pPr>
      <w:r>
        <w:rPr>
          <w:sz w:val="20"/>
        </w:rPr>
        <w:t>Bemis, G.W. and Murcko, M.A. (1996) ‘The properties of known drugs. 1. Molecular frameworks’, Journal of Medicinal Chemistry, 39(15), pp. 2887–2893.</w:t>
      </w:r>
    </w:p>
    <w:p>
      <w:pPr>
        <w:spacing w:after="120"/>
        <w:ind w:left="720" w:hanging="720"/>
      </w:pPr>
      <w:r>
        <w:rPr>
          <w:sz w:val="20"/>
        </w:rPr>
        <w:t>Bento, A.P., Hersey, A., Félix, E., Landrum, G., Gaulton, A., Atkinson, F., Bellis, L.J., De Veij, M. and Leach, A.R. (2020) ‘An open source chemical structure curation pipeline using RDKit’, Journal of Cheminformatics, 12, 51.</w:t>
      </w:r>
    </w:p>
    <w:p>
      <w:pPr>
        <w:spacing w:after="120"/>
        <w:ind w:left="720" w:hanging="720"/>
      </w:pPr>
      <w:r>
        <w:rPr>
          <w:sz w:val="20"/>
        </w:rPr>
        <w:t>Bickerton, G.R., Paolini, G.V., Besnard, J., Muresan, S. and Hopkins, A.L. (2012) ‘Quantifying the chemical beauty of drugs’, Nature Chemistry, 4(2), pp. 90–98.</w:t>
      </w:r>
    </w:p>
    <w:p>
      <w:pPr>
        <w:spacing w:after="120"/>
        <w:ind w:left="720" w:hanging="720"/>
      </w:pPr>
      <w:r>
        <w:rPr>
          <w:sz w:val="20"/>
        </w:rPr>
        <w:t>Breiman, L. (2001) ‘Random forests’, Machine Learning, 45(1), pp. 5–32.</w:t>
      </w:r>
    </w:p>
    <w:p>
      <w:pPr>
        <w:spacing w:after="120"/>
        <w:ind w:left="720" w:hanging="720"/>
      </w:pPr>
      <w:r>
        <w:rPr>
          <w:sz w:val="20"/>
        </w:rPr>
        <w:t>Cheng, F., Li, W., Zhou, Y., Shen, J., Wu, Z., Liu, G., Lee, P.W. and Tang, Y. (2012) ‘admetSAR: a comprehensive source and free tool for assessment of chemical ADMET properties’, Journal of Chemical Information and Modeling, 52(11), pp. 3099–3105.</w:t>
      </w:r>
    </w:p>
    <w:p>
      <w:pPr>
        <w:spacing w:after="120"/>
        <w:ind w:left="720" w:hanging="720"/>
      </w:pPr>
      <w:r>
        <w:rPr>
          <w:sz w:val="20"/>
        </w:rPr>
        <w:t>Daina, A., Michielin, O. and Zoete, V. (2017) ‘SwissADME: a free web tool to evaluate pharmacokinetics, drug-likeness and medicinal chemistry friendliness of small molecules’, Scientific Reports, 7, 42717.</w:t>
      </w:r>
    </w:p>
    <w:p>
      <w:pPr>
        <w:spacing w:after="120"/>
        <w:ind w:left="720" w:hanging="720"/>
      </w:pPr>
      <w:r>
        <w:rPr>
          <w:sz w:val="20"/>
        </w:rPr>
        <w:t>Daina, A., Michielin, O. and Zoete, V. (2019) ‘SwissTargetPrediction: updated data and new features for efficient prediction of protein targets of small molecules’, Nucleic Acids Research, 47(W1), pp. W357–W364.</w:t>
      </w:r>
    </w:p>
    <w:p>
      <w:pPr>
        <w:spacing w:after="120"/>
        <w:ind w:left="720" w:hanging="720"/>
      </w:pPr>
      <w:r>
        <w:rPr>
          <w:sz w:val="20"/>
        </w:rPr>
        <w:t>Friedman, J.H. (2001) ‘Greedy function approximation: a gradient boosting machine’, Annals of Statistics, 29(5), pp. 1189–1232.</w:t>
      </w:r>
    </w:p>
    <w:p>
      <w:pPr>
        <w:spacing w:after="120"/>
        <w:ind w:left="720" w:hanging="720"/>
      </w:pPr>
      <w:r>
        <w:rPr>
          <w:sz w:val="20"/>
        </w:rPr>
        <w:t>Fu, L., Shi, S., Yi, J., Wang, N., He, Y., Wu, Z., Peng, J., Deng, Y., Wang, W., Wu, C., Lyu, A., Zeng, X., Zhao, W., Hou, T. and Cao, D. (2024) ‘ADMETlab 3.0: an updated comprehensive online ADMET prediction platform’, Nucleic Acids Research, 52(W1), pp. W422–W431.</w:t>
      </w:r>
    </w:p>
    <w:p>
      <w:pPr>
        <w:spacing w:after="120"/>
        <w:ind w:left="720" w:hanging="720"/>
      </w:pPr>
      <w:r>
        <w:rPr>
          <w:sz w:val="20"/>
        </w:rPr>
        <w:t>Galati, S., Di Stefano, M., Bertini, S., Granchi, C., Giordano, A., Gado, F., Macchia, M., Tuccinardi, T. and Poli, G. (2023) ‘Identification of new GSK3β inhibitors through a consensus machine learning-based virtual screening’, International Journal of Molecular Sciences, 24(24), 17233.</w:t>
      </w:r>
    </w:p>
    <w:p>
      <w:pPr>
        <w:spacing w:after="120"/>
        <w:ind w:left="720" w:hanging="720"/>
      </w:pPr>
      <w:r>
        <w:rPr>
          <w:sz w:val="20"/>
        </w:rPr>
        <w:t>Gaulton, A., Bellis, L.J., Bento, A.P., Chambers, J., Davies, M., Hersey, A., Light, Y., McGlinchey, S., Michalovich, D., Al-Lazikani, B. and Overington, J.P. (2012) ‘ChEMBL: a large-scale bioactivity database for drug discovery’, Nucleic Acids Research, 40(D1), pp. D1100–D1107.</w:t>
      </w:r>
    </w:p>
    <w:p>
      <w:pPr>
        <w:spacing w:after="120"/>
        <w:ind w:left="720" w:hanging="720"/>
      </w:pPr>
      <w:r>
        <w:rPr>
          <w:sz w:val="20"/>
        </w:rPr>
        <w:t>GBD 2021 Nervous System Disorders Collaborators (2024) ‘Global, regional, and national burden of disorders affecting the nervous system, 1990–2021’, The Lancet Neurology, 23(4), pp. 344–381.</w:t>
      </w:r>
    </w:p>
    <w:p>
      <w:pPr>
        <w:spacing w:after="120"/>
        <w:ind w:left="720" w:hanging="720"/>
      </w:pPr>
      <w:r>
        <w:rPr>
          <w:sz w:val="20"/>
        </w:rPr>
        <w:t>Geurts, P., Ernst, D. and Wehenkel, L. (2006) ‘Extremely randomized trees’, Machine Learning, 63(1), pp. 3–42.</w:t>
      </w:r>
    </w:p>
    <w:p>
      <w:pPr>
        <w:spacing w:after="120"/>
        <w:ind w:left="720" w:hanging="720"/>
      </w:pPr>
      <w:r>
        <w:rPr>
          <w:sz w:val="20"/>
        </w:rPr>
        <w:t>Guo, T., Guo, K., Nan, B., Liang, Z., Guo, Z., Chawla, N.V., Wiest, O. and Zhang, X. (2023) ‘What can large language models do in chemistry? A comprehensive benchmark on eight tasks’, Advances in Neural Information Processing Systems 36 (Datasets and Benchmarks Track). arXiv:2305.18365.</w:t>
      </w:r>
    </w:p>
    <w:p>
      <w:pPr>
        <w:spacing w:after="120"/>
        <w:ind w:left="720" w:hanging="720"/>
      </w:pPr>
      <w:r>
        <w:rPr>
          <w:sz w:val="20"/>
        </w:rPr>
        <w:t>Hasan, S., Khatri, N., Rahman, Z.N., Menezes, A.A., Martini, J., Shehjar, F., Mujeeb, N. and Shah, Z.A. (2023) ‘Neuroprotective potential of flavonoids in brain disorders’, Brain Sciences, 13(9), 1258.</w:t>
      </w:r>
    </w:p>
    <w:p>
      <w:pPr>
        <w:spacing w:after="120"/>
        <w:ind w:left="720" w:hanging="720"/>
      </w:pPr>
      <w:r>
        <w:rPr>
          <w:sz w:val="20"/>
        </w:rPr>
        <w:t>Huang, E.T.C., Yang, J.-S., Liao, K.Y.K., Tseng, W.C.W., Lee, C.K., Gill, M., Compas, C., See, S. and Tsai, F.-J. (2024) ‘Predicting blood–brain barrier permeability of molecules with a large language model and machine learning’, Scientific Reports, 14, 15844.</w:t>
      </w:r>
    </w:p>
    <w:p>
      <w:pPr>
        <w:spacing w:after="120"/>
        <w:ind w:left="720" w:hanging="720"/>
      </w:pPr>
      <w:r>
        <w:rPr>
          <w:sz w:val="20"/>
        </w:rPr>
        <w:t>Jablonka, K.M., Schwaller, P., Ortega-Guerrero, A. and Smit, B. (2024) ‘Leveraging large language models for predictive chemistry’, Nature Machine Intelligence, 6(2), pp. 161–169.</w:t>
      </w:r>
    </w:p>
    <w:p>
      <w:pPr>
        <w:spacing w:after="120"/>
        <w:ind w:left="720" w:hanging="720"/>
      </w:pPr>
      <w:r>
        <w:rPr>
          <w:sz w:val="20"/>
        </w:rPr>
        <w:t>Ji, Z., Lee, N., Frieske, R., Yu, T., Su, D., Xu, Y., Ishii, E., Bang, Y.J., Madotto, A. and Fung, P. (2023) ‘Survey of hallucination in natural language generation’, ACM Computing Surveys, 55(12), Article 248.</w:t>
      </w:r>
    </w:p>
    <w:p>
      <w:pPr>
        <w:spacing w:after="120"/>
        <w:ind w:left="720" w:hanging="720"/>
      </w:pPr>
      <w:r>
        <w:rPr>
          <w:sz w:val="20"/>
        </w:rPr>
        <w:t>Ke, G., Meng, Q., Finley, T., Wang, T., Chen, W., Ma, W., Ye, Q. and Liu, T.-Y. (2017) ‘LightGBM: a highly efficient gradient boosting decision tree’, Advances in Neural Information Processing Systems, 30, pp. 3146–3154.</w:t>
      </w:r>
    </w:p>
    <w:p>
      <w:pPr>
        <w:spacing w:after="120"/>
        <w:ind w:left="720" w:hanging="720"/>
      </w:pPr>
      <w:r>
        <w:rPr>
          <w:sz w:val="20"/>
        </w:rPr>
        <w:t>Kim, S., Chen, J., Cheng, T., Gindulyte, A., He, J., He, S., Li, Q., Shoemaker, B.A., Thiessen, P.A., Yu, B., Zaslavsky, L., Zhang, J. and Bolton, E.E. (2023) ‘PubChem 2023 update’, Nucleic Acids Research, 51(D1), pp. D1373–D1380.</w:t>
      </w:r>
    </w:p>
    <w:p>
      <w:pPr>
        <w:spacing w:after="120"/>
        <w:ind w:left="720" w:hanging="720"/>
      </w:pPr>
      <w:r>
        <w:rPr>
          <w:sz w:val="20"/>
        </w:rPr>
        <w:t>Kumar, R., Sharma, A., Alexiou, A., Bilgrami, A.L., Kamal, M.A. and Ashraf, G.M. (2022) ‘DeePred-BBB: a blood brain barrier permeability prediction model with improved accuracy’, Frontiers in Neuroscience, 16, 858126.</w:t>
      </w:r>
    </w:p>
    <w:p>
      <w:pPr>
        <w:spacing w:after="120"/>
        <w:ind w:left="720" w:hanging="720"/>
      </w:pPr>
      <w:r>
        <w:rPr>
          <w:sz w:val="20"/>
        </w:rPr>
        <w:t>Kumar, S., Bhowmik, R., Oh, J.M., Abdelgawad, M.A., Ghoneim, M.M., Al-Serwi, R.H., Kim, H. and Mathew, B. (2024) ‘Machine learning driven web-based app platform for the discovery of monoamine oxidase B inhibitors’, Scientific Reports, 14, 4868.</w:t>
      </w:r>
    </w:p>
    <w:p>
      <w:pPr>
        <w:spacing w:after="120"/>
        <w:ind w:left="720" w:hanging="720"/>
      </w:pPr>
      <w:r>
        <w:rPr>
          <w:sz w:val="20"/>
        </w:rPr>
        <w:t>Lipinski, C.A., Lombardo, F., Dominy, B.W. and Feeney, P.J. (2001) ‘Experimental and computational approaches to estimate solubility and permeability in drug discovery and development settings’, Advanced Drug Delivery Reviews, 46(1–3), pp. 3–26.</w:t>
      </w:r>
    </w:p>
    <w:p>
      <w:pPr>
        <w:spacing w:after="120"/>
        <w:ind w:left="720" w:hanging="720"/>
      </w:pPr>
      <w:r>
        <w:rPr>
          <w:sz w:val="20"/>
        </w:rPr>
        <w:t>Mendez, D., Gaulton, A., Bento, A.P., Chambers, J., De Veij, M., Félix, E., Magariños, M.P., Mosquera, J.F., Mutowo, P., Nowotka, M., Gordillo-Marañón, M., Hunter, F., Junco, L., Mugumbate, G., Rodriguez-Lopez, M., Atkinson, F., Bosc, N., Radoux, C.J., Segura-Cabrera, A., Hersey, A. and Leach, A.R. (2019) ‘ChEMBL: towards direct deposition of bioassay data’, Nucleic Acids Research, 47(D1), pp. D930–D940.</w:t>
      </w:r>
    </w:p>
    <w:p>
      <w:pPr>
        <w:spacing w:after="120"/>
        <w:ind w:left="720" w:hanging="720"/>
      </w:pPr>
      <w:r>
        <w:rPr>
          <w:sz w:val="20"/>
        </w:rPr>
        <w:t>Meng, F., Xi, Y., Huang, J. and Ayers, P.W. (2021) ‘A curated diverse molecular database of blood-brain barrier permeability with chemical descriptors’, Scientific Data, 8, 289.</w:t>
      </w:r>
    </w:p>
    <w:p>
      <w:pPr>
        <w:spacing w:after="120"/>
        <w:ind w:left="720" w:hanging="720"/>
      </w:pPr>
      <w:r>
        <w:rPr>
          <w:sz w:val="20"/>
        </w:rPr>
        <w:t>Mervin, L.H., Johansson, S., Semenova, E., Giblin, K.A. and Engkvist, O. (2021) ‘Uncertainty quantification in drug design’, Drug Discovery Today, 26(2), pp. 474–489.</w:t>
      </w:r>
    </w:p>
    <w:p>
      <w:pPr>
        <w:spacing w:after="120"/>
        <w:ind w:left="720" w:hanging="720"/>
      </w:pPr>
      <w:r>
        <w:rPr>
          <w:sz w:val="20"/>
        </w:rPr>
        <w:t>Niculescu-Mizil, A. and Caruana, R. (2005) ‘Predicting good probabilities with supervised learning’, Proceedings of the 22nd International Conference on Machine Learning, pp. 625–632.</w:t>
      </w:r>
    </w:p>
    <w:p>
      <w:pPr>
        <w:spacing w:after="120"/>
        <w:ind w:left="720" w:hanging="720"/>
      </w:pPr>
      <w:r>
        <w:rPr>
          <w:sz w:val="20"/>
        </w:rPr>
        <w:t>Norinder, U., Carlsson, L., Boyer, S. and Eklund, M. (2014) ‘Introducing conformal prediction in predictive modeling. A transparent and flexible alternative to applicability domain determination’, Journal of Chemical Information and Modeling, 54(6), pp. 1596–1603.</w:t>
      </w:r>
    </w:p>
    <w:p>
      <w:pPr>
        <w:spacing w:after="120"/>
        <w:ind w:left="720" w:hanging="720"/>
      </w:pPr>
      <w:r>
        <w:rPr>
          <w:sz w:val="20"/>
        </w:rPr>
        <w:t>Pedregosa, F., Varoquaux, G., Gramfort, A., Michel, V., Thirion, B., Grisel, O., Blondel, M., Prettenhofer, P., Weiss, R., Dubourg, V., Vanderplas, J., Passos, A., Cournapeau, D., Brucher, M., Perrot, M. and Duchesnay, É. (2011) ‘Scikit-learn: machine learning in Python’, Journal of Machine Learning Research, 12, pp. 2825–2830.</w:t>
      </w:r>
    </w:p>
    <w:p>
      <w:pPr>
        <w:spacing w:after="120"/>
        <w:ind w:left="720" w:hanging="720"/>
      </w:pPr>
      <w:r>
        <w:rPr>
          <w:sz w:val="20"/>
        </w:rPr>
        <w:t>Ponzoni, I., Sebastián-Pérez, V., Martínez, M.J., Roca, C., De la Cruz Pérez, C., Cravero, F., Vazquez, G.E., Páez, J.A., Díaz, M.F. and Campillo, N.E. (2019) ‘QSAR classification models for predicting the activity of inhibitors of beta-secretase (BACE1) associated with Alzheimer’s disease’, Scientific Reports, 9, 9102.</w:t>
      </w:r>
    </w:p>
    <w:p>
      <w:pPr>
        <w:spacing w:after="120"/>
        <w:ind w:left="720" w:hanging="720"/>
      </w:pPr>
      <w:r>
        <w:rPr>
          <w:sz w:val="20"/>
        </w:rPr>
        <w:t>RDKit (2024) RDKit: open-source cheminformatics. Available at: https://www.rdkit.org (Accessed: 2026).</w:t>
      </w:r>
    </w:p>
    <w:p>
      <w:pPr>
        <w:spacing w:after="120"/>
        <w:ind w:left="720" w:hanging="720"/>
      </w:pPr>
      <w:r>
        <w:rPr>
          <w:sz w:val="20"/>
        </w:rPr>
        <w:t>Rogers, D. and Hahn, M. (2010) ‘Extended-connectivity fingerprints’, Journal of Chemical Information and Modeling, 50(5), pp. 742–754.</w:t>
      </w:r>
    </w:p>
    <w:p>
      <w:pPr>
        <w:spacing w:after="120"/>
        <w:ind w:left="720" w:hanging="720"/>
      </w:pPr>
      <w:r>
        <w:rPr>
          <w:sz w:val="20"/>
        </w:rPr>
        <w:t>Sheridan, R.P. (2013) ‘Time-split cross-validation as a method for estimating the goodness of prospective prediction’, Journal of Chemical Information and Modeling, 53(4), pp. 783–790.</w:t>
      </w:r>
    </w:p>
    <w:p>
      <w:pPr>
        <w:spacing w:after="120"/>
        <w:ind w:left="720" w:hanging="720"/>
      </w:pPr>
      <w:r>
        <w:rPr>
          <w:sz w:val="20"/>
        </w:rPr>
        <w:t>Tropsha, A. (2010) ‘Best practices for QSAR model development, validation, and exploitation’, Molecular Informatics, 29(6–7), pp. 476–488.</w:t>
      </w:r>
    </w:p>
    <w:p>
      <w:pPr>
        <w:spacing w:after="120"/>
        <w:ind w:left="720" w:hanging="720"/>
      </w:pPr>
      <w:r>
        <w:rPr>
          <w:sz w:val="20"/>
        </w:rPr>
        <w:t>Veber, D.F., Johnson, S.R., Cheng, H.-Y., Smith, B.R., Ward, K.W. and Kopple, K.D. (2002) ‘Molecular properties that influence the oral bioavailability of drug candidates’, Journal of Medicinal Chemistry, 45(12), pp. 2615–2623.</w:t>
      </w:r>
    </w:p>
    <w:p>
      <w:pPr>
        <w:spacing w:after="120"/>
        <w:ind w:left="720" w:hanging="720"/>
      </w:pPr>
      <w:r>
        <w:rPr>
          <w:sz w:val="20"/>
        </w:rPr>
        <w:t>Vovk, V., Gammerman, A. and Shafer, G. (2005) Algorithmic learning in a random world. New York: Springer.</w:t>
      </w:r>
    </w:p>
    <w:p>
      <w:pPr>
        <w:spacing w:after="120"/>
        <w:ind w:left="720" w:hanging="720"/>
      </w:pPr>
      <w:r>
        <w:rPr>
          <w:sz w:val="20"/>
        </w:rPr>
        <w:t>Wager, T.T., Hou, X., Verhoest, P.R. and Villalobos, A. (2010) ‘Moving beyond rules: the development of a central nervous system multiparameter optimization (CNS MPO) approach’, ACS Chemical Neuroscience, 1(6), pp. 435–449.</w:t>
      </w:r>
    </w:p>
    <w:p>
      <w:pPr>
        <w:spacing w:after="120"/>
        <w:ind w:left="720" w:hanging="720"/>
      </w:pPr>
      <w:r>
        <w:rPr>
          <w:sz w:val="20"/>
        </w:rPr>
        <w:t>Willett, P. (2006) ‘Similarity-based virtual screening using 2D fingerprints’, Drug Discovery Today, 11(23–24), pp. 1046–1053.</w:t>
      </w:r>
    </w:p>
    <w:p>
      <w:pPr>
        <w:spacing w:after="120"/>
        <w:ind w:left="720" w:hanging="720"/>
      </w:pPr>
      <w:r>
        <w:rPr>
          <w:sz w:val="20"/>
        </w:rPr>
        <w:t>Wu, Z., Ramsundar, B., Feinberg, E.N., Gomes, J., Geniesse, C., Pappu, A.S., Leswing, K. and Pande, V. (2018) ‘MoleculeNet: a benchmark for molecular machine learning’, Chemical Science, 9(2), pp. 513–530.</w:t>
      </w:r>
    </w:p>
    <w:p>
      <w:pPr>
        <w:spacing w:after="120"/>
        <w:ind w:left="720" w:hanging="720"/>
      </w:pPr>
      <w:r>
        <w:rPr>
          <w:sz w:val="20"/>
        </w:rPr>
        <w:t>Xiong, G., Wu, Z., Yi, J., Fu, L., Yang, Z., Hsieh, C., Yin, M., Zeng, X., Wu, C., Lu, A., Chen, X., Hou, T. and Cao, D. (2021) ‘ADMETlab 2.0: an integrated online platform for accurate and comprehensive predictions of ADMET properties’, Nucleic Acids Research, 49(W1), pp. W5–W14.</w:t>
      </w:r>
    </w:p>
    <w:p>
      <w:pPr>
        <w:spacing w:after="120"/>
        <w:ind w:left="720" w:hanging="720"/>
      </w:pPr>
      <w:r>
        <w:rPr>
          <w:sz w:val="20"/>
        </w:rPr>
        <w:t>Zdrazil, B., Felix, E., Hunter, F., Manners, E.J., Blackshaw, J., Corbett, S., de Veij, M., Ioannidis, H., Mendez, D., Mosquera, J.F., Magariños, M.P., Bosc, N., Arcila, R., Kizilören, T., Gaulton, A., Bento, A.P., Adasme, M.F., Monecke, P., Landrum, G.A. and Leach, A.R. (2024) ‘The ChEMBL Database in 2023’, Nucleic Acids Research, 52(D1), pp. D1180–D1192.</w:t>
      </w:r>
    </w:p>
    <w:p>
      <w:pPr>
        <w:spacing w:after="120"/>
        <w:ind w:left="720" w:hanging="720"/>
      </w:pPr>
      <w:r>
        <w:rPr>
          <w:sz w:val="20"/>
        </w:rPr>
        <w:t>Zhong, Z., Zhou, K. and Mottin, D. (2024) ‘Benchmarking large language models for molecule prediction tasks’. arXiv:2403.05075.</w:t>
      </w:r>
    </w:p>
    <w:p>
      <w:r>
        <w:rPr>
          <w:b w:val="0"/>
          <w:i/>
          <w:sz w:val="18"/>
        </w:rPr>
        <w:t>Total references: 44.</w:t>
      </w:r>
    </w:p>
    <w:sectPr w:rsidR="00FC693F" w:rsidRPr="0006063C" w:rsidSect="00034616">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