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24.png" ContentType="image/png"/>
  <Override PartName="/word/media/rId2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validated under both random and scaffold-grouped</w:t>
      </w:r>
      <w:r>
        <w:t xml:space="preserve"> </w:t>
      </w:r>
      <w:r>
        <w:t xml:space="preserve">splits and carry a calibrated probability, the core classifiers additionally reporting a</w:t>
      </w:r>
      <w:r>
        <w:t xml:space="preserve"> </w:t>
      </w:r>
      <w:r>
        <w:t xml:space="preserve">conformal interval.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9"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9"/>
    <w:bookmarkStart w:id="10"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0"/>
    <w:bookmarkStart w:id="11"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11"/>
    <w:bookmarkStart w:id="12"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Figure 2. Under random</w:t>
      </w:r>
      <w:r>
        <w:t xml:space="preserve"> </w:t>
      </w:r>
      <w:r>
        <w:t xml:space="preserve">10-fold cross-validation the measured-label classifiers reach a mean AUROC of 0.958 (0.899 to</w:t>
      </w:r>
      <w:r>
        <w:t xml:space="preserve"> </w:t>
      </w:r>
      <w:r>
        <w:t xml:space="preserve">0.976); under a scaffold-grouped split that withholds entire structural classes, 0.925 (0.878 to</w:t>
      </w:r>
      <w:r>
        <w:t xml:space="preserve"> </w:t>
      </w:r>
      <w:r>
        <w:t xml:space="preserve">0.965). Expected calibration error falls from 0.0801 to 0.0147 after isotonic calibration, and</w:t>
      </w:r>
      <w:r>
        <w:t xml:space="preserve"> </w:t>
      </w:r>
      <w:r>
        <w:t xml:space="preserve">conformal prediction (16) on the eight core classifiers, on the deduplicated matrix the</w:t>
      </w:r>
      <w:r>
        <w:t xml:space="preserve"> </w:t>
      </w:r>
      <w:r>
        <w:t xml:space="preserve">classifiers are trained on, achieves empirical coverage of 0.876 to 0.933 against a 0.90 target,</w:t>
      </w:r>
      <w:r>
        <w:t xml:space="preserve"> </w:t>
      </w:r>
      <w:r>
        <w:t xml:space="preserve">with mean set size from 0.956 to 1.215 on a two-class problem where 1.0 is a confident single label</w:t>
      </w:r>
      <w:r>
        <w:t xml:space="preserve"> </w:t>
      </w:r>
      <w:r>
        <w:t xml:space="preserve">(Figure 3A).</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for</w:t>
      </w:r>
      <w:r>
        <w:t xml:space="preserve"> </w:t>
      </w:r>
      <w:r>
        <w:t xml:space="preserve">firing on trivial metabolites at every usable threshold.</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(Figure 5).</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4.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12"/>
    <w:bookmarkStart w:id="13" w:name="discussion"/>
    <w:p>
      <w:pPr>
        <w:pStyle w:val="Heading2"/>
      </w:pPr>
      <w:r>
        <w:t xml:space="preserve">Discussion</w:t>
      </w:r>
    </w:p>
    <w:p>
      <w:pPr>
        <w:pStyle w:val="FirstParagraph"/>
      </w:pPr>
      <w:r>
        <w:t xml:space="preserve">BrainSafe AI couples exposure and engagement in one pass, and reports the confidence of each. Its</w:t>
      </w:r>
      <w:r>
        <w:t xml:space="preserve"> </w:t>
      </w:r>
      <w:r>
        <w:t xml:space="preserve">distinguishing choices are that the negative class is recovered from measurement rather than</w:t>
      </w:r>
      <w:r>
        <w:t xml:space="preserve"> </w:t>
      </w:r>
      <w:r>
        <w:t xml:space="preserve">simulated, that thresholds are measured on a pool disjoint from the one that set them, and that</w:t>
      </w:r>
      <w:r>
        <w:t xml:space="preserve"> </w:t>
      </w:r>
      <w:r>
        <w:t xml:space="preserve">target scores are gated by predicted exposure.</w:t>
      </w:r>
    </w:p>
    <w:p>
      <w:pPr>
        <w:pStyle w:val="BodyText"/>
      </w:pPr>
      <w:r>
        <w:t xml:space="preserve">Five limitations bound its use. First, the 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13"/>
    <w:bookmarkStart w:id="14"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14"/>
    <w:bookmarkStart w:id="15" w:name="funding"/>
    <w:p>
      <w:pPr>
        <w:pStyle w:val="Heading2"/>
      </w:pPr>
      <w:r>
        <w:t xml:space="preserve">Funding</w:t>
      </w:r>
    </w:p>
    <w:p>
      <w:pPr>
        <w:pStyle w:val="FirstParagraph"/>
      </w:pPr>
      <w:r>
        <w:t xml:space="preserve">[TO BE SUPPLIED]</w:t>
      </w:r>
    </w:p>
    <w:bookmarkEnd w:id="15"/>
    <w:bookmarkStart w:id="16" w:name="conflict-of-interest"/>
    <w:p>
      <w:pPr>
        <w:pStyle w:val="Heading2"/>
      </w:pPr>
      <w:r>
        <w:t xml:space="preserve">Conflict of interest</w:t>
      </w:r>
    </w:p>
    <w:p>
      <w:pPr>
        <w:pStyle w:val="FirstParagraph"/>
      </w:pPr>
      <w:r>
        <w:t xml:space="preserve">None declared.</w:t>
      </w:r>
    </w:p>
    <w:bookmarkEnd w:id="16"/>
    <w:bookmarkStart w:id="17"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17"/>
    <w:bookmarkStart w:id="33" w:name="figure-legends"/>
    <w:p>
      <w:pPr>
        <w:pStyle w:val="Heading2"/>
      </w:pPr>
      <w:r>
        <w:t xml:space="preserve">Figure legends</w:t>
      </w:r>
    </w:p>
    <w:p>
      <w:pPr>
        <w:pStyle w:val="CaptionedFigure"/>
      </w:pPr>
      <w:r>
        <w:drawing>
          <wp:inline>
            <wp:extent cx="5334000" cy="4471716"/>
            <wp:effectExtent b="0" l="0" r="0" t="0"/>
            <wp:docPr descr="Figure 1" title="" id="19" name="Picture"/>
            <a:graphic>
              <a:graphicData uri="http://schemas.openxmlformats.org/drawingml/2006/picture">
                <pic:pic>
                  <pic:nvPicPr>
                    <pic:cNvPr descr="figures/Figure1_architecture.png" id="20" name="Picture"/>
                    <pic:cNvPicPr>
                      <a:picLocks noChangeArrowheads="1" noChangeAspect="1"/>
                    </pic:cNvPicPr>
                  </pic:nvPicPr>
                  <pic:blipFill>
                    <a:blip r:embed="rId18"/>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22" name="Picture"/>
            <a:graphic>
              <a:graphicData uri="http://schemas.openxmlformats.org/drawingml/2006/picture">
                <pic:pic>
                  <pic:nvPicPr>
                    <pic:cNvPr descr="figures/Figure9_model_atlas.png" id="23" name="Picture"/>
                    <pic:cNvPicPr>
                      <a:picLocks noChangeArrowheads="1" noChangeAspect="1"/>
                    </pic:cNvPicPr>
                  </pic:nvPicPr>
                  <pic:blipFill>
                    <a:blip r:embed="rId21"/>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 family median</w:t>
      </w:r>
      <w:r>
        <w:t xml:space="preserve"> </w:t>
      </w:r>
      <w:r>
        <w:t xml:space="preserve">marked. The spread is the point: the binder classifiers have a median of 0.945 while the exposure and</w:t>
      </w:r>
      <w:r>
        <w:t xml:space="preserve"> </w:t>
      </w:r>
      <w:r>
        <w:t xml:space="preserve">ADME family, which mixes AUROC and R² endpoints, has a median of 0.574, and a single panel average</w:t>
      </w:r>
      <w:r>
        <w:t xml:space="preserve"> </w:t>
      </w:r>
      <w:r>
        <w:t xml:space="preserve">would 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25" name="Picture"/>
            <a:graphic>
              <a:graphicData uri="http://schemas.openxmlformats.org/drawingml/2006/picture">
                <pic:pic>
                  <pic:nvPicPr>
                    <pic:cNvPr descr="figures/Figure6_validation.png" id="26" name="Picture"/>
                    <pic:cNvPicPr>
                      <a:picLocks noChangeArrowheads="1" noChangeAspect="1"/>
                    </pic:cNvPicPr>
                  </pic:nvPicPr>
                  <pic:blipFill>
                    <a:blip r:embed="rId24"/>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(17)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w:t>
      </w:r>
      <w:r>
        <w:t xml:space="preserve"> </w:t>
      </w:r>
      <w:r>
        <w:t xml:space="preserve">retuned; every check is drawn at the same size whatever its verdict, so a future failure would be</w:t>
      </w:r>
      <w:r>
        <w:t xml:space="preserve"> </w:t>
      </w:r>
      <w:r>
        <w:t xml:space="preserve">exactly this visible.</w:t>
      </w:r>
    </w:p>
    <w:p>
      <w:pPr>
        <w:pStyle w:val="CaptionedFigure"/>
      </w:pPr>
      <w:r>
        <w:drawing>
          <wp:inline>
            <wp:extent cx="5334000" cy="2786264"/>
            <wp:effectExtent b="0" l="0" r="0" t="0"/>
            <wp:docPr descr="Figure 4" title="" id="28" name="Picture"/>
            <a:graphic>
              <a:graphicData uri="http://schemas.openxmlformats.org/drawingml/2006/picture">
                <pic:pic>
                  <pic:nvPicPr>
                    <pic:cNvPr descr="figures/Figure8_use_case.png" id="29" name="Picture"/>
                    <pic:cNvPicPr>
                      <a:picLocks noChangeArrowheads="1" noChangeAspect="1"/>
                    </pic:cNvPicPr>
                  </pic:nvPicPr>
                  <pic:blipFill>
                    <a:blip r:embed="rId27"/>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31" name="Picture"/>
            <a:graphic>
              <a:graphicData uri="http://schemas.openxmlformats.org/drawingml/2006/picture">
                <pic:pic>
                  <pic:nvPicPr>
                    <pic:cNvPr descr="figures/Figure11_external_validation.png" id="32" name="Picture"/>
                    <pic:cNvPicPr>
                      <a:picLocks noChangeArrowheads="1" noChangeAspect="1"/>
                    </pic:cNvPicPr>
                  </pic:nvPicPr>
                  <pic:blipFill>
                    <a:blip r:embed="rId30"/>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2026-09-15T23:49:12Z</dcterms:created>
  <dcterms:modified xsi:type="dcterms:W3CDTF">2026-09-15T23:49:12Z</dcterms:modified>
</cp:coreProperties>
</file>

<file path=docProps/custom.xml><?xml version="1.0" encoding="utf-8"?>
<Properties xmlns="http://schemas.openxmlformats.org/officeDocument/2006/custom-properties" xmlns:vt="http://schemas.openxmlformats.org/officeDocument/2006/docPropsVTypes"/>
</file>