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2e352c869d300d513a478857bc38b1a505cea8"/>
    <w:p>
      <w:pPr>
        <w:pStyle w:val="Heading1"/>
      </w:pPr>
      <w:r>
        <w:t xml:space="preserve">Chapter 5. Thresholds and the three disjoint background pools</w:t>
      </w:r>
    </w:p>
    <w:p>
      <w:r>
        <w:pict>
          <v:rect style="width:0;height:1.5pt" o:hralign="center" o:hrstd="t" o:hr="t"/>
        </w:pict>
      </w:r>
    </w:p>
    <w:bookmarkStart w:id="9" w:name="X32110f29fa505e1902cda747c31a5a35f42ff09"/>
    <w:p>
      <w:pPr>
        <w:pStyle w:val="Heading2"/>
      </w:pPr>
      <w:r>
        <w:t xml:space="preserve">5.1 A threshold is a separate problem from a probability</w:t>
      </w:r>
    </w:p>
    <w:p>
      <w:pPr>
        <w:pStyle w:val="FirstParagraph"/>
      </w:pPr>
      <w:r>
        <w:t xml:space="preserve">Chapter 4 ended with a calibrated probability and a coverage statement. Neither makes a call. Between</w:t>
      </w:r>
      <w:r>
        <w:t xml:space="preserve"> </w:t>
      </w:r>
      <w:r>
        <w:t xml:space="preserve">a probability and a reported engagement sits a threshold, and the threshold is where a panel of</w:t>
      </w:r>
      <w:r>
        <w:t xml:space="preserve"> </w:t>
      </w:r>
      <w:r>
        <w:t xml:space="preserve">independent models becomes a system that says yes or no.</w:t>
      </w:r>
    </w:p>
    <w:p>
      <w:pPr>
        <w:pStyle w:val="BodyText"/>
      </w:pPr>
      <w:r>
        <w:t xml:space="preserve">It is also where the easiest self-deception in the whole project lives, and the design of this</w:t>
      </w:r>
      <w:r>
        <w:t xml:space="preserve"> </w:t>
      </w:r>
      <w:r>
        <w:t xml:space="preserve">chapter is organised around refusing it.</w:t>
      </w:r>
    </w:p>
    <w:bookmarkEnd w:id="9"/>
    <w:bookmarkStart w:id="10" w:name="the-circularity-a-single-pool-creates"/>
    <w:p>
      <w:pPr>
        <w:pStyle w:val="Heading2"/>
      </w:pPr>
      <w:r>
        <w:t xml:space="preserve">5.2 The circularity a single pool creates</w:t>
      </w:r>
    </w:p>
    <w:p>
      <w:pPr>
        <w:pStyle w:val="FirstParagraph"/>
      </w:pPr>
      <w:r>
        <w:t xml:space="preserve">Suppose a threshold is chosen as the 90th percentile of the scores a model gives to a sample of</w:t>
      </w:r>
      <w:r>
        <w:t xml:space="preserve"> </w:t>
      </w:r>
      <w:r>
        <w:t xml:space="preserve">background chemistry, so that ten per cent of that sample scores above it. Now measure the</w:t>
      </w:r>
      <w:r>
        <w:t xml:space="preserve"> </w:t>
      </w:r>
      <w:r>
        <w:t xml:space="preserve">false-positive rate of that threshold on the same sample. It is ten per cent. It was always going to</w:t>
      </w:r>
      <w:r>
        <w:t xml:space="preserve"> </w:t>
      </w:r>
      <w:r>
        <w:t xml:space="preserve">be ten per cent. The measurement restates the quantile and tests nothing about the model.</w:t>
      </w:r>
    </w:p>
    <w:p>
      <w:pPr>
        <w:pStyle w:val="BodyText"/>
      </w:pPr>
      <w:r>
        <w:t xml:space="preserve">The failure is not hypothetical carelessness; it is the natural thing to do when one background</w:t>
      </w:r>
      <w:r>
        <w:t xml:space="preserve"> </w:t>
      </w:r>
      <w:r>
        <w:t xml:space="preserve">library is available and three jobs need doing. The binder pipeline asks that library for three</w:t>
      </w:r>
      <w:r>
        <w:t xml:space="preserve"> </w:t>
      </w:r>
      <w:r>
        <w:t xml:space="preserve">different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decoys</w:t>
      </w:r>
      <w:r>
        <w:t xml:space="preserve">, trained on as presumed negatives where measured inactives are scarce,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threshold sample</w:t>
      </w:r>
      <w:r>
        <w:t xml:space="preserve">, whose score distribution sets the cut,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evaluation sample</w:t>
      </w:r>
      <w:r>
        <w:t xml:space="preserve">, on which the achieved false-positive rate is measured.</w:t>
      </w:r>
    </w:p>
    <w:p>
      <w:pPr>
        <w:pStyle w:val="FirstParagraph"/>
      </w:pPr>
      <w:r>
        <w:t xml:space="preserve">Drawing the threshold and the evaluation samples from one pool makes the reported rate an arithmetic</w:t>
      </w:r>
      <w:r>
        <w:t xml:space="preserve"> </w:t>
      </w:r>
      <w:r>
        <w:t xml:space="preserve">consequence of the quantile. Drawing decoys from the same pool as either is worse, because the model</w:t>
      </w:r>
      <w:r>
        <w:t xml:space="preserve"> </w:t>
      </w:r>
      <w:r>
        <w:t xml:space="preserve">was explicitly trained to score those compounds as negative and is then congratulated for doing so.</w:t>
      </w:r>
    </w:p>
    <w:bookmarkEnd w:id="10"/>
    <w:bookmarkStart w:id="11" w:name="one-partition-three-roles"/>
    <w:p>
      <w:pPr>
        <w:pStyle w:val="Heading2"/>
      </w:pPr>
      <w:r>
        <w:t xml:space="preserve">5.3 One partition, three roles</w:t>
      </w:r>
    </w:p>
    <w:p>
      <w:pPr>
        <w:pStyle w:val="FirstParagraph"/>
      </w:pPr>
      <w:r>
        <w:t xml:space="preserve">The background library of</w:t>
      </w:r>
      <w:r>
        <w:t xml:space="preserve"> </w:t>
      </w:r>
      <w:r>
        <w:rPr>
          <w:b/>
          <w:bCs/>
        </w:rPr>
        <w:t xml:space="preserve">158,890 compounds</w:t>
      </w:r>
      <w:r>
        <w:t xml:space="preserve"> </w:t>
      </w:r>
      <w:r>
        <w:t xml:space="preserve">is therefore partitioned once, into three pools that</w:t>
      </w:r>
      <w:r>
        <w:t xml:space="preserve"> </w:t>
      </w:r>
      <w:r>
        <w:t xml:space="preserve">no compound can belong to twice. Recomputing the assignment directly from</w:t>
      </w:r>
      <w:r>
        <w:t xml:space="preserve"> </w:t>
      </w:r>
      <w:r>
        <w:rPr>
          <w:rStyle w:val="VerbatimChar"/>
        </w:rPr>
        <w:t xml:space="preserve">src/brainsafe/models/pools.py</w:t>
      </w:r>
      <w:r>
        <w:t xml:space="preserve"> </w:t>
      </w:r>
      <w:r>
        <w:t xml:space="preserve">gives: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share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supply property-matched negatives during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set the decision 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measure the false-positive rate the cut achieves</w:t>
            </w:r>
          </w:p>
        </w:tc>
      </w:tr>
    </w:tbl>
    <w:p>
      <w:pPr>
        <w:pStyle w:val="BodyText"/>
      </w:pPr>
      <w:r>
        <w:t xml:space="preserve">Each threshold and each rate is computed on a sample of 3,000 drawn from the relevant pool.</w:t>
      </w:r>
    </w:p>
    <w:p>
      <w:pPr>
        <w:pStyle w:val="BodyText"/>
      </w:pPr>
      <w:r>
        <w:t xml:space="preserve">The consequence is one sentence and it is the point of the chapter:</w:t>
      </w:r>
      <w:r>
        <w:t xml:space="preserve"> </w:t>
      </w:r>
      <w:r>
        <w:rPr>
          <w:b/>
          <w:bCs/>
        </w:rPr>
        <w:t xml:space="preserve">the measured rate can now</w:t>
      </w:r>
      <w:r>
        <w:rPr>
          <w:b/>
          <w:bCs/>
        </w:rPr>
        <w:t xml:space="preserve"> </w:t>
      </w:r>
      <w:r>
        <w:rPr>
          <w:b/>
          <w:bCs/>
        </w:rPr>
        <w:t xml:space="preserve">disagree with its target</w:t>
      </w:r>
      <w:r>
        <w:t xml:space="preserve">, and that it can disagree is the evidence that it is a measurement rather</w:t>
      </w:r>
      <w:r>
        <w:t xml:space="preserve"> </w:t>
      </w:r>
      <w:r>
        <w:t xml:space="preserve">than a restatement. Section 5.6 reports by how much it does.</w:t>
      </w:r>
    </w:p>
    <w:bookmarkEnd w:id="11"/>
    <w:bookmarkStart w:id="12" w:name="why-a-hash-and-not-a-shuffle"/>
    <w:p>
      <w:pPr>
        <w:pStyle w:val="Heading2"/>
      </w:pPr>
      <w:r>
        <w:t xml:space="preserve">5.4 Why a hash and not a shuffle</w:t>
      </w:r>
    </w:p>
    <w:p>
      <w:pPr>
        <w:pStyle w:val="FirstParagraph"/>
      </w:pPr>
      <w:r>
        <w:t xml:space="preserve">Pool membership is assigned by a stable hash of the canonical structure rather than by shuffling.</w:t>
      </w:r>
      <w:r>
        <w:t xml:space="preserve"> </w:t>
      </w:r>
      <w:r>
        <w:t xml:space="preserve">A compound’s role is</w:t>
      </w:r>
      <w:r>
        <w:t xml:space="preserve"> </w:t>
      </w:r>
      <w:r>
        <w:rPr>
          <w:rStyle w:val="VerbatimChar"/>
        </w:rPr>
        <w:t xml:space="preserve">blake2b(salt + smiles) mod 100</w:t>
      </w:r>
      <w:r>
        <w:t xml:space="preserve">, banded 0 to 59, 60 to 79, 80 to 99, with the</w:t>
      </w:r>
      <w:r>
        <w:t xml:space="preserve"> </w:t>
      </w:r>
      <w:r>
        <w:t xml:space="preserve">salt fixed at</w:t>
      </w:r>
      <w:r>
        <w:t xml:space="preserve"> </w:t>
      </w:r>
      <w:r>
        <w:rPr>
          <w:rStyle w:val="VerbatimChar"/>
        </w:rPr>
        <w:t xml:space="preserve">brainsafe-background-v1</w:t>
      </w:r>
      <w:r>
        <w:t xml:space="preserve">.</w:t>
      </w:r>
    </w:p>
    <w:p>
      <w:pPr>
        <w:pStyle w:val="BodyText"/>
      </w:pPr>
      <w:r>
        <w:t xml:space="preserve">Two properties follow that a random shuffle does not give, and both matter more than they look.</w:t>
      </w:r>
    </w:p>
    <w:p>
      <w:pPr>
        <w:pStyle w:val="BodyText"/>
      </w:pPr>
      <w:r>
        <w:rPr>
          <w:b/>
          <w:bCs/>
        </w:rPr>
        <w:t xml:space="preserve">The assignment does not depend on the order the library happens to be in</w:t>
      </w:r>
      <w:r>
        <w:t xml:space="preserve">, so it is reproducible</w:t>
      </w:r>
      <w:r>
        <w:t xml:space="preserve"> </w:t>
      </w:r>
      <w:r>
        <w:t xml:space="preserve">across machines and across runs without storing a seed alongside the data.</w:t>
      </w:r>
    </w:p>
    <w:p>
      <w:pPr>
        <w:pStyle w:val="BodyText"/>
      </w:pPr>
      <w:r>
        <w:rPr>
          <w:b/>
          <w:bCs/>
        </w:rPr>
        <w:t xml:space="preserve">Adding compounds later leaves every existing assignment untouched.</w:t>
      </w:r>
      <w:r>
        <w:t xml:space="preserve"> </w:t>
      </w:r>
      <w:r>
        <w:t xml:space="preserve">A threshold set today remains</w:t>
      </w:r>
      <w:r>
        <w:t xml:space="preserve"> </w:t>
      </w:r>
      <w:r>
        <w:t xml:space="preserve">comparable with a false-positive rate measured next year, because the library growing does not</w:t>
      </w:r>
      <w:r>
        <w:t xml:space="preserve"> </w:t>
      </w:r>
      <w:r>
        <w:t xml:space="preserve">reshuffle what came before. Under a shuffle, every expansion of the background library would silently</w:t>
      </w:r>
      <w:r>
        <w:t xml:space="preserve"> </w:t>
      </w:r>
      <w:r>
        <w:t xml:space="preserve">invalidate every previously measured rate.</w:t>
      </w:r>
    </w:p>
    <w:p>
      <w:pPr>
        <w:pStyle w:val="BodyText"/>
      </w:pPr>
      <w:r>
        <w:t xml:space="preserve">The software suite pins both properties.</w:t>
      </w:r>
      <w:r>
        <w:t xml:space="preserve"> </w:t>
      </w:r>
      <w:r>
        <w:rPr>
          <w:rStyle w:val="VerbatimChar"/>
        </w:rPr>
        <w:t xml:space="preserve">TestBackgroundPools</w:t>
      </w:r>
      <w:r>
        <w:t xml:space="preserve"> </w:t>
      </w:r>
      <w:r>
        <w:t xml:space="preserve">holds five subtests: that assignment</w:t>
      </w:r>
      <w:r>
        <w:t xml:space="preserve"> </w:t>
      </w:r>
      <w:r>
        <w:t xml:space="preserve">is a pure function of the structure and independent of call order, that every structure gets exactly</w:t>
      </w:r>
      <w:r>
        <w:t xml:space="preserve"> </w:t>
      </w:r>
      <w:r>
        <w:t xml:space="preserve">one role, that the bands cover exactly one hundred, and that the hash band is stable and in range.</w:t>
      </w:r>
      <w:r>
        <w:t xml:space="preserve"> </w:t>
      </w:r>
      <w:r>
        <w:t xml:space="preserve">These are not tests that the code runs. They are tests that a threshold set on one machine means the</w:t>
      </w:r>
      <w:r>
        <w:t xml:space="preserve"> </w:t>
      </w:r>
      <w:r>
        <w:t xml:space="preserve">same thing on another.</w:t>
      </w:r>
    </w:p>
    <w:bookmarkEnd w:id="12"/>
    <w:bookmarkStart w:id="13" w:name="two-constraints-and-which-one-binds"/>
    <w:p>
      <w:pPr>
        <w:pStyle w:val="Heading2"/>
      </w:pPr>
      <w:r>
        <w:t xml:space="preserve">5.5 Two constraints, and which one binds</w:t>
      </w:r>
    </w:p>
    <w:p>
      <w:pPr>
        <w:pStyle w:val="FirstParagraph"/>
      </w:pPr>
      <w:r>
        <w:t xml:space="preserve">A threshold must satisfy two conditions at once, and the operating point is the stricter of them.</w:t>
      </w:r>
    </w:p>
    <w:p>
      <w:pPr>
        <w:pStyle w:val="BodyText"/>
      </w:pPr>
      <w:r>
        <w:rPr>
          <w:b/>
          <w:bCs/>
        </w:rPr>
        <w:t xml:space="preserve">On the target’s own measured inactives</w:t>
      </w:r>
      <w:r>
        <w:t xml:space="preserve">, no more than</w:t>
      </w:r>
      <w:r>
        <w:t xml:space="preserve"> </w:t>
      </w:r>
      <w:r>
        <w:rPr>
          <w:rStyle w:val="VerbatimChar"/>
        </w:rPr>
        <w:t xml:space="preserve">TARGET_FPR = 0.10</w:t>
      </w:r>
      <w:r>
        <w:t xml:space="preserve"> </w:t>
      </w:r>
      <w:r>
        <w:t xml:space="preserve">may be called a binder.</w:t>
      </w:r>
      <w:r>
        <w:t xml:space="preserve"> </w:t>
      </w:r>
      <w:r>
        <w:t xml:space="preserve">The cut is the corresponding quantile of the scores the model gives to the half of the endpoint’s</w:t>
      </w:r>
      <w:r>
        <w:t xml:space="preserve"> </w:t>
      </w:r>
      <w:r>
        <w:t xml:space="preserve">measured inactives that were withheld from fitting.</w:t>
      </w:r>
    </w:p>
    <w:p>
      <w:pPr>
        <w:pStyle w:val="BodyText"/>
      </w:pPr>
      <w:r>
        <w:rPr>
          <w:b/>
          <w:bCs/>
        </w:rPr>
        <w:t xml:space="preserve">On random library chemistry</w:t>
      </w:r>
      <w:r>
        <w:t xml:space="preserve">, no more than</w:t>
      </w:r>
      <w:r>
        <w:t xml:space="preserve"> </w:t>
      </w:r>
      <w:r>
        <w:rPr>
          <w:rStyle w:val="VerbatimChar"/>
        </w:rPr>
        <w:t xml:space="preserve">BACKGROUND_FPR = 0.05</w:t>
      </w:r>
      <w:r>
        <w:t xml:space="preserve"> </w:t>
      </w:r>
      <w:r>
        <w:t xml:space="preserve">may be called a binder.</w:t>
      </w:r>
    </w:p>
    <w:p>
      <w:pPr>
        <w:pStyle w:val="BodyText"/>
      </w:pPr>
      <w:r>
        <w:t xml:space="preserve">The second condition exists because of a specific failure that per-target validation missed. Nav1.1</w:t>
      </w:r>
      <w:r>
        <w:t xml:space="preserve"> </w:t>
      </w:r>
      <w:r>
        <w:t xml:space="preserve">was trained on its own measured actives and inactives, both of which are sodium-channel screening</w:t>
      </w:r>
      <w:r>
        <w:t xml:space="preserve"> </w:t>
      </w:r>
      <w:r>
        <w:t xml:space="preserve">chemistry, and scored an AUROC of 0.979 against that narrow negative set. Shown arbitrary chemistry</w:t>
      </w:r>
      <w:r>
        <w:t xml:space="preserve"> </w:t>
      </w:r>
      <w:r>
        <w:t xml:space="preserve">it gave glucose a binder probability of 0.806. A model validated only against its own assay’s</w:t>
      </w:r>
      <w:r>
        <w:t xml:space="preserve"> </w:t>
      </w:r>
      <w:r>
        <w:t xml:space="preserve">negatives can be confidently wrong about everything else. Nav1.1 was subsequently withdrawn, as</w:t>
      </w:r>
      <w:r>
        <w:t xml:space="preserve"> </w:t>
      </w:r>
      <w:r>
        <w:t xml:space="preserve">Chapter 6 records, but the constraint it motivated applies to every endpoint.</w:t>
      </w:r>
    </w:p>
    <w:p>
      <w:pPr>
        <w:pStyle w:val="BodyText"/>
      </w:pPr>
      <w:r>
        <w:t xml:space="preserve">The 5 per cent level was itself tested. Tightening it to 2 per cent was tried and rejected, because</w:t>
      </w:r>
      <w:r>
        <w:t xml:space="preserve"> </w:t>
      </w:r>
      <w:r>
        <w:t xml:space="preserve">it cost too much sensitivity: it pushed the μ-opioid threshold to 0.999 and caused morphine to be</w:t>
      </w:r>
      <w:r>
        <w:t xml:space="preserve"> </w:t>
      </w:r>
      <w:r>
        <w:t xml:space="preserve">missed. That is the right kind of reason to reject a tightening, and it is recorded rather than</w:t>
      </w:r>
      <w:r>
        <w:t xml:space="preserve"> </w:t>
      </w:r>
      <w:r>
        <w:t xml:space="preserve">asserted.</w:t>
      </w:r>
    </w:p>
    <w:p>
      <w:pPr>
        <w:pStyle w:val="BodyText"/>
      </w:pPr>
      <w:r>
        <w:t xml:space="preserve">Across the 47 deployed binder endpoints (</w:t>
      </w:r>
      <w:r>
        <w:rPr>
          <w:rStyle w:val="VerbatimChar"/>
        </w:rPr>
        <w:t xml:space="preserve">results/tables/final_thresholds.csv</w:t>
      </w:r>
      <w:r>
        <w:t xml:space="preserve">) the measured-inactive</w:t>
      </w:r>
      <w:r>
        <w:t xml:space="preserve"> </w:t>
      </w:r>
      <w:r>
        <w:t xml:space="preserve">constraint binds on</w:t>
      </w:r>
      <w:r>
        <w:t xml:space="preserve"> </w:t>
      </w:r>
      <w:r>
        <w:rPr>
          <w:b/>
          <w:bCs/>
        </w:rPr>
        <w:t xml:space="preserve">39</w:t>
      </w:r>
      <w:r>
        <w:t xml:space="preserve"> </w:t>
      </w:r>
      <w:r>
        <w:t xml:space="preserve">and the background constraint on</w:t>
      </w:r>
      <w:r>
        <w:t xml:space="preserve"> </w:t>
      </w:r>
      <w:r>
        <w:rPr>
          <w:b/>
          <w:bCs/>
        </w:rPr>
        <w:t xml:space="preserve">8</w:t>
      </w:r>
      <w:r>
        <w:t xml:space="preserve">. The measured-inactive cut is the</w:t>
      </w:r>
      <w:r>
        <w:t xml:space="preserve"> </w:t>
      </w:r>
      <w:r>
        <w:t xml:space="preserve">higher of the two on 39 of 47, with a median of 0.7353 against 0.0903 for the background cut. That</w:t>
      </w:r>
      <w:r>
        <w:t xml:space="preserve"> </w:t>
      </w:r>
      <w:r>
        <w:t xml:space="preserve">ordering is the same fact Chapter 2 reported from the other end: compounds a chemist thought worth</w:t>
      </w:r>
      <w:r>
        <w:t xml:space="preserve"> </w:t>
      </w:r>
      <w:r>
        <w:t xml:space="preserve">testing at a target are much harder to separate from real ligands than compounds drawn at random from</w:t>
      </w:r>
      <w:r>
        <w:t xml:space="preserve"> </w:t>
      </w:r>
      <w:r>
        <w:t xml:space="preserve">a library.</w:t>
      </w:r>
    </w:p>
    <w:p>
      <w:pPr>
        <w:pStyle w:val="BodyText"/>
      </w:pPr>
      <w:r>
        <w:t xml:space="preserve">The threshold is finally clipped to [0.05, 0.999], so that no endpoint can be given a cut that admits</w:t>
      </w:r>
      <w:r>
        <w:t xml:space="preserve"> </w:t>
      </w:r>
      <w:r>
        <w:t xml:space="preserve">nearly everything or nothing at all.</w:t>
      </w:r>
    </w:p>
    <w:bookmarkEnd w:id="13"/>
    <w:bookmarkStart w:id="14" w:name="X41cc796dbdfac2326c98e5e077e26398632f668"/>
    <w:p>
      <w:pPr>
        <w:pStyle w:val="Heading2"/>
      </w:pPr>
      <w:r>
        <w:t xml:space="preserve">5.6 The rate that is measured, against the rate that was targeted</w:t>
      </w:r>
    </w:p>
    <w:p>
      <w:pPr>
        <w:pStyle w:val="FirstParagraph"/>
      </w:pPr>
      <w:r>
        <w:t xml:space="preserve">This is what the partition buys.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On the threshold pool, in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the disjoint evaluation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of 44</w:t>
            </w:r>
          </w:p>
        </w:tc>
      </w:tr>
    </w:tbl>
    <w:p>
      <w:pPr>
        <w:pStyle w:val="BodyText"/>
      </w:pPr>
      <w:r>
        <w:t xml:space="preserve">The in-sample rate sits near its 0.10 target by construction, though not exactly on it: it is exactly</w:t>
      </w:r>
      <w:r>
        <w:t xml:space="preserve"> </w:t>
      </w:r>
      <w:r>
        <w:t xml:space="preserve">0.10 on only 11 of 47 endpoints, because the clip and the discreteness of a quantile over a finite</w:t>
      </w:r>
      <w:r>
        <w:t xml:space="preserve"> </w:t>
      </w:r>
      <w:r>
        <w:t xml:space="preserve">sample move it. The rate measured on the disjoint pool is</w:t>
      </w:r>
      <w:r>
        <w:t xml:space="preserve"> </w:t>
      </w:r>
      <w:r>
        <w:rPr>
          <w:b/>
          <w:bCs/>
        </w:rPr>
        <w:t xml:space="preserve">lower on all 44 of 44</w:t>
      </w:r>
      <w:r>
        <w:t xml:space="preserve"> </w:t>
      </w:r>
      <w:r>
        <w:t xml:space="preserve">endpoints where</w:t>
      </w:r>
      <w:r>
        <w:t xml:space="preserve"> </w:t>
      </w:r>
      <w:r>
        <w:t xml:space="preserve">both are recorded, by a mean of 0.083.</w:t>
      </w:r>
    </w:p>
    <w:p>
      <w:pPr>
        <w:pStyle w:val="BodyText"/>
      </w:pPr>
      <w:r>
        <w:t xml:space="preserve">The direction is systematic and it is not an error. It is the same asymmetry as section 5.5: for 39</w:t>
      </w:r>
      <w:r>
        <w:t xml:space="preserve"> </w:t>
      </w:r>
      <w:r>
        <w:t xml:space="preserve">of 47 endpoints the binding constraint is the measured-inactive quantile, which is a much stricter cut</w:t>
      </w:r>
      <w:r>
        <w:t xml:space="preserve"> </w:t>
      </w:r>
      <w:r>
        <w:t xml:space="preserve">than a background quantile would be, so the rate that cut achieves on ordinary library chemistry is</w:t>
      </w:r>
      <w:r>
        <w:t xml:space="preserve"> </w:t>
      </w:r>
      <w:r>
        <w:t xml:space="preserve">far below ten per cent. The two numbers answer different questions. The in-sample figure says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cut is where we put it</w:t>
      </w:r>
      <w:r>
        <w:t xml:space="preserve">. The evaluation figure says</w:t>
      </w:r>
      <w:r>
        <w:t xml:space="preserve"> </w:t>
      </w:r>
      <w:r>
        <w:rPr>
          <w:i/>
          <w:iCs/>
        </w:rPr>
        <w:t xml:space="preserve">the panel fires on about 2 per cent of unrelated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and only the second is evidence.</w:t>
      </w:r>
    </w:p>
    <w:p>
      <w:pPr>
        <w:pStyle w:val="BodyText"/>
      </w:pPr>
      <w:r>
        <w:t xml:space="preserve">The highest measured background rates are at the aminergic receptors, 5-HT2A at 0.0621, 5-HT1A at</w:t>
      </w:r>
      <w:r>
        <w:t xml:space="preserve"> </w:t>
      </w:r>
      <w:r>
        <w:t xml:space="preserve">0.0606, D2 at 0.0564 and D3 at 0.0544, which is the expected place for them: those targets bind a</w:t>
      </w:r>
      <w:r>
        <w:t xml:space="preserve"> </w:t>
      </w:r>
      <w:r>
        <w:t xml:space="preserve">large, chemically ordinary region of drug-like space, so more of a random library genuinely resembles</w:t>
      </w:r>
      <w:r>
        <w:t xml:space="preserve"> </w:t>
      </w:r>
      <w:r>
        <w:t xml:space="preserve">their ligands. The lowest are at Cav3.2, 0.0001, Nav1.8, 0.0005, and the CGRP receptor, 0.0008.</w:t>
      </w:r>
    </w:p>
    <w:bookmarkEnd w:id="14"/>
    <w:bookmarkStart w:id="15" w:name="a-second-operating-point"/>
    <w:p>
      <w:pPr>
        <w:pStyle w:val="Heading2"/>
      </w:pPr>
      <w:r>
        <w:t xml:space="preserve">5.7 A second operating point</w:t>
      </w:r>
    </w:p>
    <w:p>
      <w:pPr>
        <w:pStyle w:val="FirstParagraph"/>
      </w:pPr>
      <w:r>
        <w:t xml:space="preserve">The deployed threshold is a triage cut. A second, stricter cut is derived and stored for every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results/tables/screening_thresholds.csv</w:t>
      </w:r>
      <w:r>
        <w:t xml:space="preserve">), holding the background false-positive rate at</w:t>
      </w:r>
      <w:r>
        <w:t xml:space="preserve"> </w:t>
      </w:r>
      <w:r>
        <w:t xml:space="preserve">0.01 rather than 0.05, for the different task of screening a large library where the cost of a false</w:t>
      </w:r>
      <w:r>
        <w:t xml:space="preserve"> </w:t>
      </w:r>
      <w:r>
        <w:t xml:space="preserve">lead is multiplied by the size of the library.</w:t>
      </w:r>
    </w:p>
    <w:p>
      <w:pPr>
        <w:pStyle w:val="BodyText"/>
      </w:pPr>
      <w:r>
        <w:t xml:space="preserve">The price is stated per endpoint. At A1 the triage cut of 0.8083 gives a sensitivity of 0.736 and the</w:t>
      </w:r>
      <w:r>
        <w:t xml:space="preserve"> </w:t>
      </w:r>
      <w:r>
        <w:t xml:space="preserve">screening cut of 0.9818 gives 0.523; at A2A, 0.8888 and 0.824 against 0.9979 and 0.344. Roughly a</w:t>
      </w:r>
      <w:r>
        <w:t xml:space="preserve"> </w:t>
      </w:r>
      <w:r>
        <w:t xml:space="preserve">third of the sensitivity is spent to reduce the background rate fivefold. Having both, and reporting</w:t>
      </w:r>
      <w:r>
        <w:t xml:space="preserve"> </w:t>
      </w:r>
      <w:r>
        <w:t xml:space="preserve">what each costs, is more honest than choosing one and calling it the operating point.</w:t>
      </w:r>
    </w:p>
    <w:bookmarkEnd w:id="15"/>
    <w:bookmarkStart w:id="16" w:name="X64885b78f62db07e929de8ef720d7870e3ef796"/>
    <w:p>
      <w:pPr>
        <w:pStyle w:val="Heading2"/>
      </w:pPr>
      <w:r>
        <w:t xml:space="preserve">5.8 One quantity, four numbers, and a mislabelled set</w:t>
      </w:r>
    </w:p>
    <w:p>
      <w:pPr>
        <w:pStyle w:val="FirstParagraph"/>
      </w:pPr>
      <w:r>
        <w:t xml:space="preserve">Writing this chapter surfaced the most serious documentation defect found in this thesis so far. It</w:t>
      </w:r>
      <w:r>
        <w:t xml:space="preserve"> </w:t>
      </w:r>
      <w:r>
        <w:t xml:space="preserve">concerns the sensitivity reported at the deployed threshold, which is the number that tells a user</w:t>
      </w:r>
      <w:r>
        <w:t xml:space="preserve"> </w:t>
      </w:r>
      <w:r>
        <w:t xml:space="preserve">what a silence is worth, and it is stated here in full because the correction changes a published</w:t>
      </w:r>
      <w:r>
        <w:t xml:space="preserve"> </w:t>
      </w:r>
      <w:r>
        <w:t xml:space="preserve">figure.</w:t>
      </w:r>
    </w:p>
    <w:p>
      <w:pPr>
        <w:pStyle w:val="BodyText"/>
      </w:pPr>
      <w:r>
        <w:t xml:space="preserve">Four artefacts report sensitivity at the deployed threshold for the binder panel, and they disagree: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models_rf/binder_modes.json</w:t>
            </w:r>
            <w:r>
              <w:t xml:space="preserve">, the panel registry, and everything quoted from 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results/tables/final_thresholds.csv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inversion/results/H7_target_discrimination.csv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results/tables/integrity_audit.csv</w:t>
            </w:r>
            <w:r>
              <w:t xml:space="preserve">, panel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The registry’s figure is the one the manuscript, the evidence map, the technical report and Chapter 1</w:t>
      </w:r>
      <w:r>
        <w:t xml:space="preserve"> </w:t>
      </w:r>
      <w:r>
        <w:t xml:space="preserve">of this thesis all quote, and it is</w:t>
      </w:r>
      <w:r>
        <w:t xml:space="preserve"> </w:t>
      </w:r>
      <w:r>
        <w:rPr>
          <w:b/>
          <w:bCs/>
        </w:rPr>
        <w:t xml:space="preserve">the highest of the four</w:t>
      </w:r>
      <w:r>
        <w:t xml:space="preserve">.</w:t>
      </w:r>
    </w:p>
    <w:p>
      <w:pPr>
        <w:pStyle w:val="BodyText"/>
      </w:pPr>
      <w:r>
        <w:t xml:space="preserve">The cause is a sequencing defect, not a calculation error. The threshold sequence runs</w:t>
      </w:r>
      <w:r>
        <w:t xml:space="preserve"> </w:t>
      </w:r>
      <w:r>
        <w:rPr>
          <w:rStyle w:val="VerbatimChar"/>
        </w:rPr>
        <w:t xml:space="preserve">final_thresholds.py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calibrate_background_specificity.py</w:t>
      </w:r>
      <w:r>
        <w:t xml:space="preserve">, and</w:t>
      </w:r>
      <w:r>
        <w:t xml:space="preserve"> </w:t>
      </w:r>
      <w:r>
        <w:rPr>
          <w:b/>
          <w:bCs/>
        </w:rPr>
        <w:t xml:space="preserve">both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sensitivity_at_threshold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registry</w:t>
      </w:r>
      <w:r>
        <w:t xml:space="preserve">. The second overwrites the first. But the two select</w:t>
      </w:r>
      <w:r>
        <w:t xml:space="preserve"> </w:t>
      </w:r>
      <w:r>
        <w:t xml:space="preserve">their actives differently: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final_thresholds.py</w:t>
      </w:r>
      <w:r>
        <w:t xml:space="preserve"> </w:t>
      </w:r>
      <w:r>
        <w:t xml:space="preserve">scores the</w:t>
      </w:r>
      <w:r>
        <w:t xml:space="preserve"> </w:t>
      </w:r>
      <w:r>
        <w:rPr>
          <w:b/>
          <w:bCs/>
        </w:rPr>
        <w:t xml:space="preserve">held-out actives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models_rf/holdout/&lt;ep&gt;_binder_holdout.json</w:t>
      </w:r>
      <w:r>
        <w:t xml:space="preserve">. For A1 that is 420 compounds.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calibrate_background_specificity.py</w:t>
      </w:r>
      <w:r>
        <w:t xml:space="preserve"> </w:t>
      </w:r>
      <w:r>
        <w:t xml:space="preserve">scores</w:t>
      </w:r>
      <w:r>
        <w:t xml:space="preserve"> </w:t>
      </w:r>
      <w:r>
        <w:rPr>
          <w:b/>
          <w:bCs/>
        </w:rPr>
        <w:t xml:space="preserve">every active in the endpoint table</w:t>
      </w:r>
      <w:r>
        <w:t xml:space="preserve"> </w:t>
      </w:r>
      <w:r>
        <w:t xml:space="preserve">at pChEMBL ≥ 7. For A1 that is 1,943 compounds, of which</w:t>
      </w:r>
      <w:r>
        <w:t xml:space="preserve"> </w:t>
      </w:r>
      <w:r>
        <w:rPr>
          <w:b/>
          <w:bCs/>
        </w:rPr>
        <w:t xml:space="preserve">1,523 were used to fit the model</w:t>
      </w:r>
      <w:r>
        <w:t xml:space="preserve">.</w:t>
      </w:r>
    </w:p>
    <w:p>
      <w:pPr>
        <w:pStyle w:val="FirstParagraph"/>
      </w:pPr>
      <w:r>
        <w:t xml:space="preserve">The registry keeps the second script’s number and the first script’s label. Every deployed entry</w:t>
      </w:r>
      <w:r>
        <w:t xml:space="preserve"> </w:t>
      </w:r>
      <w:r>
        <w:t xml:space="preserve">still carries</w:t>
      </w:r>
      <w:r>
        <w:t xml:space="preserve"> </w:t>
      </w:r>
      <w:r>
        <w:rPr>
          <w:rStyle w:val="VerbatimChar"/>
        </w:rPr>
        <w:t xml:space="preserve">sensitivity_basis: "held_out_actives_by_scaffold"</w:t>
      </w:r>
      <w:r>
        <w:t xml:space="preserve">, and on all 47 of 47 the number</w:t>
      </w:r>
      <w:r>
        <w:t xml:space="preserve"> </w:t>
      </w:r>
      <w:r>
        <w:t xml:space="preserve">beside it is not that.</w:t>
      </w:r>
    </w:p>
    <w:p>
      <w:pPr>
        <w:pStyle w:val="BodyText"/>
      </w:pPr>
      <w:r>
        <w:rPr>
          <w:rStyle w:val="VerbatimChar"/>
        </w:rPr>
        <w:t xml:space="preserve">results/tables/sensitivity_reconciliation.csv</w:t>
      </w:r>
      <w:r>
        <w:t xml:space="preserve"> </w:t>
      </w:r>
      <w:r>
        <w:t xml:space="preserve">quantifies the gap per endpoint:</w:t>
      </w:r>
    </w:p>
    <w:p>
      <w:pPr>
        <w:pStyle w:val="Compact"/>
        <w:numPr>
          <w:ilvl w:val="0"/>
          <w:numId w:val="1003"/>
        </w:numPr>
      </w:pPr>
      <w:r>
        <w:t xml:space="preserve">The published figure is higher on</w:t>
      </w:r>
      <w:r>
        <w:t xml:space="preserve"> </w:t>
      </w:r>
      <w:r>
        <w:rPr>
          <w:b/>
          <w:bCs/>
        </w:rPr>
        <w:t xml:space="preserve">47 of 47</w:t>
      </w:r>
      <w:r>
        <w:t xml:space="preserve"> </w:t>
      </w:r>
      <w:r>
        <w:t xml:space="preserve">endpoints, by a mean of</w:t>
      </w:r>
      <w:r>
        <w:t xml:space="preserve"> </w:t>
      </w:r>
      <w:r>
        <w:rPr>
          <w:b/>
          <w:bCs/>
        </w:rPr>
        <w:t xml:space="preserve">+0.1344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it is measured on is</w:t>
      </w:r>
      <w:r>
        <w:t xml:space="preserve"> </w:t>
      </w:r>
      <w:r>
        <w:rPr>
          <w:b/>
          <w:bCs/>
        </w:rPr>
        <w:t xml:space="preserve">80.5 per cent training compounds at the median</w:t>
      </w:r>
      <w:r>
        <w:t xml:space="preserve"> </w:t>
      </w:r>
      <w:r>
        <w:t xml:space="preserve">over the 44</w:t>
      </w:r>
      <w:r>
        <w:t xml:space="preserve"> </w:t>
      </w:r>
      <w:r>
        <w:t xml:space="preserve">endpoints where both scripts agree on what an active is.</w:t>
      </w:r>
    </w:p>
    <w:p>
      <w:pPr>
        <w:pStyle w:val="Compact"/>
        <w:numPr>
          <w:ilvl w:val="0"/>
          <w:numId w:val="1003"/>
        </w:numPr>
      </w:pPr>
      <w:r>
        <w:t xml:space="preserve">The largest gaps are SIRT1, held out 0.378 against a published 0.967, a gap of +0.589; GABA-A,</w:t>
      </w:r>
      <w:r>
        <w:t xml:space="preserve"> </w:t>
      </w:r>
      <w:r>
        <w:t xml:space="preserve">0.303 against 0.826; TAAR1, 0.355 against 0.763; GluN2B, 0.374 against 0.737.</w:t>
      </w:r>
    </w:p>
    <w:p>
      <w:pPr>
        <w:pStyle w:val="FirstParagraph"/>
      </w:pPr>
      <w:r>
        <w:t xml:space="preserve">A second inconsistency surfaced in the same pass. Three endpoints,</w:t>
      </w:r>
      <w:r>
        <w:t xml:space="preserve"> </w:t>
      </w:r>
      <w:r>
        <w:rPr>
          <w:b/>
          <w:bCs/>
        </w:rPr>
        <w:t xml:space="preserve">Nav1.5, SIRT1 and TAAR1</w:t>
      </w:r>
      <w:r>
        <w:t xml:space="preserve">, define</w:t>
      </w:r>
      <w:r>
        <w:t xml:space="preserve"> </w:t>
      </w:r>
      <w:r>
        <w:t xml:space="preserve">“active”</w:t>
      </w:r>
      <w:r>
        <w:t xml:space="preserve"> </w:t>
      </w:r>
      <w:r>
        <w:t xml:space="preserve">differently in the two scripts: the binder pipeline selects training actives by 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column while the specificity script selects by pChEMBL ≥ 7. Nav1.5 has 242 actives by label and 40 at</w:t>
      </w:r>
      <w:r>
        <w:t xml:space="preserve"> </w:t>
      </w:r>
      <w:r>
        <w:t xml:space="preserve">pChEMBL ≥ 7, so its published sensitivity is measured on a set built by a different rule from the one</w:t>
      </w:r>
      <w:r>
        <w:t xml:space="preserve"> </w:t>
      </w:r>
      <w:r>
        <w:t xml:space="preserve">the model was fitted with.</w:t>
      </w:r>
    </w:p>
    <w:bookmarkEnd w:id="16"/>
    <w:bookmarkStart w:id="17" w:name="X8ae50aba199cec9e1a6cc730f54db99b14666bc"/>
    <w:p>
      <w:pPr>
        <w:pStyle w:val="Heading2"/>
      </w:pPr>
      <w:r>
        <w:t xml:space="preserve">5.9 What the honest figure is, and what it changes</w:t>
      </w:r>
    </w:p>
    <w:p>
      <w:pPr>
        <w:pStyle w:val="FirstParagraph"/>
      </w:pPr>
      <w:r>
        <w:t xml:space="preserve">The defect described in section 5.8 has been corrected at the source:</w:t>
      </w:r>
      <w:r>
        <w:t xml:space="preserve"> </w:t>
      </w:r>
      <w:r>
        <w:rPr>
          <w:rStyle w:val="VerbatimChar"/>
        </w:rPr>
        <w:t xml:space="preserve">models_rf/binder_modes.json</w:t>
      </w:r>
      <w:r>
        <w:t xml:space="preserve"> </w:t>
      </w:r>
      <w:r>
        <w:t xml:space="preserve">now stores the held-out figure on all 47 deployed endpoints, and</w:t>
      </w:r>
      <w:r>
        <w:t xml:space="preserve"> </w:t>
      </w:r>
      <w:r>
        <w:rPr>
          <w:rStyle w:val="VerbatimChar"/>
        </w:rPr>
        <w:t xml:space="preserve">sensitivity_reconciliation.csv</w:t>
      </w:r>
      <w:r>
        <w:t xml:space="preserve"> </w:t>
      </w:r>
      <w:r>
        <w:t xml:space="preserve">reports a gap of exactly zero across the panel. The fix was made in the script that computes the</w:t>
      </w:r>
      <w:r>
        <w:t xml:space="preserve"> </w:t>
      </w:r>
      <w:r>
        <w:t xml:space="preserve">figure rather than by patching the stored value, because the same correction had been applied once</w:t>
      </w:r>
      <w:r>
        <w:t xml:space="preserve"> </w:t>
      </w:r>
      <w:r>
        <w:t xml:space="preserve">before by hand, reaching a mean of 0.7513, and was then silently undone the next time the calibration</w:t>
      </w:r>
      <w:r>
        <w:t xml:space="preserve"> </w:t>
      </w:r>
      <w:r>
        <w:t xml:space="preserve">stage ran. Section 5.8 is retained as the record of how the defect was found; the figures below are</w:t>
      </w:r>
      <w:r>
        <w:t xml:space="preserve"> </w:t>
      </w:r>
      <w:r>
        <w:t xml:space="preserve">the current, published ones.</w:t>
      </w:r>
    </w:p>
    <w:p>
      <w:pPr>
        <w:pStyle w:val="BodyText"/>
      </w:pPr>
      <w:r>
        <w:t xml:space="preserve">Measured on held-out actives only, across the 47 deployed binder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Held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0.639, COX-2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0.303, GABA-A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0.997, CGRP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0.993, CGRP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below 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of 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of 47</w:t>
            </w:r>
          </w:p>
        </w:tc>
      </w:tr>
    </w:tbl>
    <w:p>
      <w:pPr>
        <w:pStyle w:val="BodyText"/>
      </w:pPr>
      <w:r>
        <w:t xml:space="preserve">The last row is the one that matters, and it is the reason this is a correction rather than a</w:t>
      </w:r>
      <w:r>
        <w:t xml:space="preserve"> </w:t>
      </w:r>
      <w:r>
        <w:t xml:space="preserve">quibble. On the published figure no deployed endpoint fires for fewer than half its own actives. On</w:t>
      </w:r>
      <w:r>
        <w:t xml:space="preserve"> </w:t>
      </w:r>
      <w:r>
        <w:t xml:space="preserve">the held-out figure six do: GABA-A at 0.303, COX-2 at 0.338, TAAR1 at 0.355, GluN2B at 0.374, SIRT1</w:t>
      </w:r>
      <w:r>
        <w:t xml:space="preserve"> </w:t>
      </w:r>
      <w:r>
        <w:t xml:space="preserve">at 0.378 and P2X7 at 0.465.</w:t>
      </w:r>
    </w:p>
    <w:p>
      <w:pPr>
        <w:pStyle w:val="BodyText"/>
      </w:pPr>
      <w:r>
        <w:rPr>
          <w:b/>
          <w:bCs/>
        </w:rPr>
        <w:t xml:space="preserve">The falsification suite already found this, from an entirely different direction.</w:t>
      </w:r>
      <w:r>
        <w:t xml:space="preserve"> </w:t>
      </w:r>
      <w:r>
        <w:t xml:space="preserve">H7 asked whether</w:t>
      </w:r>
      <w:r>
        <w:t xml:space="preserve"> </w:t>
      </w:r>
      <w:r>
        <w:t xml:space="preserve">the silent antiepileptics were explained by non-discriminative targets, concluded they were not, and</w:t>
      </w:r>
      <w:r>
        <w:t xml:space="preserve"> </w:t>
      </w:r>
      <w:r>
        <w:t xml:space="preserve">reported that the cause was the operating point with a median deployed sensitivity of 0.79 and six</w:t>
      </w:r>
      <w:r>
        <w:t xml:space="preserve"> </w:t>
      </w:r>
      <w:r>
        <w:t xml:space="preserve">targets under 0.50. Its six are COX-2, GABA-A, KEAP1, P2X7, SIRT1 and TAAR1, five of which are the</w:t>
      </w:r>
      <w:r>
        <w:t xml:space="preserve"> </w:t>
      </w:r>
      <w:r>
        <w:t xml:space="preserve">same six found here. H7 scored held-out actives against random PubChem chemistry, an unrelated</w:t>
      </w:r>
      <w:r>
        <w:t xml:space="preserve"> </w:t>
      </w:r>
      <w:r>
        <w:t xml:space="preserve">construction, and landed 0.031 from the held-out mean. The published figure was the outlier all</w:t>
      </w:r>
      <w:r>
        <w:t xml:space="preserve"> </w:t>
      </w:r>
      <w:r>
        <w:t xml:space="preserve">along, and the suite designed to embarrass the tool had already said so.</w:t>
      </w:r>
    </w:p>
    <w:p>
      <w:pPr>
        <w:pStyle w:val="BodyText"/>
      </w:pPr>
      <w:r>
        <w:t xml:space="preserve">The consequences are three, and none of them is that the system is worse than believed.</w:t>
      </w:r>
    </w:p>
    <w:p>
      <w:pPr>
        <w:pStyle w:val="BodyText"/>
      </w:pPr>
      <w:r>
        <w:rPr>
          <w:b/>
          <w:bCs/>
        </w:rPr>
        <w:t xml:space="preserve">The panel’s behaviour is unchanged.</w:t>
      </w:r>
      <w:r>
        <w:t xml:space="preserve"> </w:t>
      </w:r>
      <w:r>
        <w:t xml:space="preserve">No threshold moves and no prediction changes. What changes is</w:t>
      </w:r>
      <w:r>
        <w:t xml:space="preserve"> </w:t>
      </w:r>
      <w:r>
        <w:t xml:space="preserve">the number that describes them.</w:t>
      </w:r>
    </w:p>
    <w:p>
      <w:pPr>
        <w:pStyle w:val="BodyText"/>
      </w:pPr>
      <w:r>
        <w:rPr>
          <w:b/>
          <w:bCs/>
        </w:rPr>
        <w:t xml:space="preserve">The manuscript’s qualifier is false and must be corrected.</w:t>
      </w:r>
      <w:r>
        <w:t xml:space="preserve"> </w:t>
      </w:r>
      <w:r>
        <w:t xml:space="preserve">It reads</w:t>
      </w:r>
      <w:r>
        <w:t xml:space="preserve"> </w:t>
      </w:r>
      <w:r>
        <w:t xml:space="preserve">“a mean sensitivity of 0.898</w:t>
      </w:r>
      <w:r>
        <w:t xml:space="preserve"> </w:t>
      </w:r>
      <w:r>
        <w:t xml:space="preserve">on actives withheld by scaffold”</w:t>
      </w:r>
      <w:r>
        <w:t xml:space="preserve">. The mean of 0.898 is not on actives withheld by scaffold. The</w:t>
      </w:r>
      <w:r>
        <w:t xml:space="preserve"> </w:t>
      </w:r>
      <w:r>
        <w:t xml:space="preserve">figure on actives withheld by scaffold is 0.764.</w:t>
      </w:r>
    </w:p>
    <w:p>
      <w:pPr>
        <w:pStyle w:val="BodyText"/>
      </w:pPr>
      <w:r>
        <w:rPr>
          <w:b/>
          <w:bCs/>
        </w:rPr>
        <w:t xml:space="preserve">Chapter 1 of this thesis and Chapter 6 must both be revised</w:t>
      </w:r>
      <w:r>
        <w:t xml:space="preserve">, and the claim that silence at a</w:t>
      </w:r>
      <w:r>
        <w:t xml:space="preserve"> </w:t>
      </w:r>
      <w:r>
        <w:t xml:space="preserve">close analogue is reasonably strong evidence of inactivity has to be re-examined against 0.764 rather</w:t>
      </w:r>
      <w:r>
        <w:t xml:space="preserve"> </w:t>
      </w:r>
      <w:r>
        <w:t xml:space="preserve">than 0.898.</w:t>
      </w:r>
    </w:p>
    <w:bookmarkEnd w:id="17"/>
    <w:bookmarkStart w:id="18" w:name="the-endpoints-that-are-marked-unreliable"/>
    <w:p>
      <w:pPr>
        <w:pStyle w:val="Heading2"/>
      </w:pPr>
      <w:r>
        <w:t xml:space="preserve">5.10 The endpoints that are marked unreliable</w:t>
      </w:r>
    </w:p>
    <w:p>
      <w:pPr>
        <w:pStyle w:val="FirstParagraph"/>
      </w:pPr>
      <w:r>
        <w:t xml:space="preserve">The threshold sequence marks an endpoint unreliable when its sensitivity at the operating point falls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MIN_SENS = 0.50</w:t>
      </w:r>
      <w:r>
        <w:t xml:space="preserve"> </w:t>
      </w:r>
      <w:r>
        <w:t xml:space="preserve">or its AUROC against measured inactives falls below 0.75. Six of the 47</w:t>
      </w:r>
      <w:r>
        <w:t xml:space="preserve"> </w:t>
      </w:r>
      <w:r>
        <w:t xml:space="preserve">deployed endpoints carry that flag: COX-2, GABA-A, GluN2B, P2X7, SIRT1 and TAAR1.</w:t>
      </w:r>
    </w:p>
    <w:p>
      <w:pPr>
        <w:pStyle w:val="BodyText"/>
      </w:pPr>
      <w:r>
        <w:t xml:space="preserve">Those are, with one substitution, the same six that section 5.9 identifies as firing for fewer than</w:t>
      </w:r>
      <w:r>
        <w:t xml:space="preserve"> </w:t>
      </w:r>
      <w:r>
        <w:t xml:space="preserve">half their own held-out actives. So the flag is doing its job, and the panel already knows which</w:t>
      </w:r>
      <w:r>
        <w:t xml:space="preserve"> </w:t>
      </w:r>
      <w:r>
        <w:t xml:space="preserve">endpoints are weak. What the panel does not do is stop deploying them, and that is a defensible</w:t>
      </w:r>
      <w:r>
        <w:t xml:space="preserve"> </w:t>
      </w:r>
      <w:r>
        <w:t xml:space="preserve">choice only because the flag travels with the prediction. An unreliable endpoint reporting nothing is</w:t>
      </w:r>
      <w:r>
        <w:t xml:space="preserve"> </w:t>
      </w:r>
      <w:r>
        <w:t xml:space="preserve">not evidence of inactivity, and the interface has to say so at exactly those six.</w:t>
      </w:r>
    </w:p>
    <w:bookmarkEnd w:id="18"/>
    <w:bookmarkStart w:id="19" w:name="what-the-tests-pin-and-what-they-missed"/>
    <w:p>
      <w:pPr>
        <w:pStyle w:val="Heading2"/>
      </w:pPr>
      <w:r>
        <w:t xml:space="preserve">5.11 What the tests pin, and what they missed</w:t>
      </w:r>
    </w:p>
    <w:p>
      <w:pPr>
        <w:pStyle w:val="FirstParagraph"/>
      </w:pPr>
      <w:r>
        <w:rPr>
          <w:rStyle w:val="VerbatimChar"/>
        </w:rPr>
        <w:t xml:space="preserve">TestThresholdSequenceIsAtomic</w:t>
      </w:r>
      <w:r>
        <w:t xml:space="preserve"> </w:t>
      </w:r>
      <w:r>
        <w:t xml:space="preserve">holds two subtests: that the four threshold steps stay one unit, and</w:t>
      </w:r>
      <w:r>
        <w:t xml:space="preserve"> </w:t>
      </w:r>
      <w:r>
        <w:t xml:space="preserve">that no member of the sequence depends on a file the sequence itself rewrites. Both pass. They pin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of the sequence, which is the property that stops a threshold being set from a file</w:t>
      </w:r>
      <w:r>
        <w:t xml:space="preserve"> </w:t>
      </w:r>
      <w:r>
        <w:t xml:space="preserve">that a later step will change.</w:t>
      </w:r>
    </w:p>
    <w:p>
      <w:pPr>
        <w:pStyle w:val="BodyText"/>
      </w:pPr>
      <w:r>
        <w:t xml:space="preserve">They do not pin what section 5.8 found, which is that two steps in a correctly ordered sequence write</w:t>
      </w:r>
      <w:r>
        <w:t xml:space="preserve"> </w:t>
      </w:r>
      <w:r>
        <w:t xml:space="preserve">the same field from different populations, and that the label written by the first survives the value</w:t>
      </w:r>
      <w:r>
        <w:t xml:space="preserve"> </w:t>
      </w:r>
      <w:r>
        <w:t xml:space="preserve">written by the second. A test for that is straightforward and is the specific piece of work this</w:t>
      </w:r>
      <w:r>
        <w:t xml:space="preserve"> </w:t>
      </w:r>
      <w:r>
        <w:t xml:space="preserve">chapter recommends: assert that</w:t>
      </w:r>
      <w:r>
        <w:t xml:space="preserve"> </w:t>
      </w:r>
      <w:r>
        <w:rPr>
          <w:rStyle w:val="VerbatimChar"/>
        </w:rPr>
        <w:t xml:space="preserve">sensitivity_basis</w:t>
      </w:r>
      <w:r>
        <w:t xml:space="preserve"> </w:t>
      </w:r>
      <w:r>
        <w:t xml:space="preserve">describes the set the stored</w:t>
      </w:r>
      <w:r>
        <w:t xml:space="preserve"> </w:t>
      </w:r>
      <w:r>
        <w:rPr>
          <w:rStyle w:val="VerbatimChar"/>
        </w:rPr>
        <w:t xml:space="preserve">sensitivity_at_threshold</w:t>
      </w:r>
      <w:r>
        <w:t xml:space="preserve"> </w:t>
      </w:r>
      <w:r>
        <w:t xml:space="preserve">was actually computed on, and that the two scripts agree on what an active</w:t>
      </w:r>
      <w:r>
        <w:t xml:space="preserve"> </w:t>
      </w:r>
      <w:r>
        <w:t xml:space="preserve">is. Four of the 47 thresholds also differ between the registry and</w:t>
      </w:r>
      <w:r>
        <w:t xml:space="preserve"> </w:t>
      </w:r>
      <w:r>
        <w:rPr>
          <w:rStyle w:val="VerbatimChar"/>
        </w:rPr>
        <w:t xml:space="preserve">final_thresholds.csv</w:t>
      </w:r>
      <w:r>
        <w:t xml:space="preserve">, at D3,</w:t>
      </w:r>
      <w:r>
        <w:t xml:space="preserve"> </w:t>
      </w:r>
      <w:r>
        <w:t xml:space="preserve">5-HT1A, Nav1.5 and SIRT1, the registry being higher in each case because it holds the later value;</w:t>
      </w:r>
      <w:r>
        <w:t xml:space="preserve"> </w:t>
      </w:r>
      <w:r>
        <w:t xml:space="preserve">that is correct behaviour, but nothing asserts it.</w:t>
      </w:r>
    </w:p>
    <w:bookmarkEnd w:id="19"/>
    <w:bookmarkEnd w:id="20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2026-09-15T23:54:35Z</dcterms:created>
  <dcterms:modified xsi:type="dcterms:W3CDTF">2026-09-15T23:54:35Z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