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0.7666 on genuinely unseen approved drugs is a substantial drop from the 0.8777 the</w:t>
      </w:r>
      <w:r>
        <w:t xml:space="preserve"> </w:t>
      </w:r>
      <w:r>
        <w:t xml:space="preserve">scaffold split reports for BBB, and it is the most honest single number in this thesis about the</w:t>
      </w:r>
      <w:r>
        <w:t xml:space="preserve"> </w:t>
      </w:r>
      <w:r>
        <w:t xml:space="preserve">barrier 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rPr>
          <w:b/>
          <w:bCs/>
        </w:rPr>
        <w:t xml:space="preserve">The label-permutation null now has an artefact behind it.</w:t>
      </w:r>
      <w:r>
        <w:t xml:space="preserve"> </w:t>
      </w:r>
      <w:r>
        <w:t xml:space="preserve">The technical report had previously</w:t>
      </w:r>
      <w:r>
        <w:t xml:space="preserve"> </w:t>
      </w:r>
      <w:r>
        <w:t xml:space="preserve">stated that with labels permuted the same pipeline returns a mean AUROC of 0.4938 random and 0.4921</w:t>
      </w:r>
      <w:r>
        <w:t xml:space="preserve"> </w:t>
      </w:r>
      <w:r>
        <w:t xml:space="preserve">scaffold, a figure hard-coded in the report generator with no file in the repository holding it; a</w:t>
      </w:r>
      <w:r>
        <w:t xml:space="preserve"> </w:t>
      </w:r>
      <w:r>
        <w:t xml:space="preserve">further claim that an independent re-run reproduced 26 core values to within 4.7 × 10⁻⁵ had no script</w:t>
      </w:r>
      <w:r>
        <w:t xml:space="preserve"> </w:t>
      </w:r>
      <w:r>
        <w:t xml:space="preserve">or artefact behind it at all and is not repeated here. The label-permutation null is the single</w:t>
      </w:r>
      <w:r>
        <w:t xml:space="preserve"> </w:t>
      </w:r>
      <w:r>
        <w:t xml:space="preserve">strongest piece of evidence that the cross-validation is not inflated by leakage, and it is computed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from the same featuriser, deduplication and fold</w:t>
      </w:r>
      <w:r>
        <w:t xml:space="preserve"> </w:t>
      </w:r>
      <w:r>
        <w:t xml:space="preserve">objects as the deployed pipeline, over the eight core classifiers, and written to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: mean AUROC 0.4959 random and 0.5026 scaffold, every one of</w:t>
      </w:r>
      <w:r>
        <w:t xml:space="preserve"> </w:t>
      </w:r>
      <w:r>
        <w:t xml:space="preserve">sixteen values within 0.020 of chance. The two sets of figures corroborate rather than exactly</w:t>
      </w:r>
      <w:r>
        <w:t xml:space="preserve"> </w:t>
      </w:r>
      <w:r>
        <w:t xml:space="preserve">reproduce one another, sitting 0.0021 and 0.0105 apart, which is the size of the sampling noise a</w:t>
      </w:r>
      <w:r>
        <w:t xml:space="preserve"> </w:t>
      </w:r>
      <w:r>
        <w:t xml:space="preserve">single permutation per endpoint carries. Chapter 9 section 9.7 gives the full derivation; this thesis</w:t>
      </w:r>
      <w:r>
        <w:t xml:space="preserve"> </w:t>
      </w:r>
      <w:r>
        <w:t xml:space="preserve">quotes the artefact’s figures throughout, not the technical report’s.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2026-09-15T23:54:36Z</dcterms:created>
  <dcterms:modified xsi:type="dcterms:W3CDTF">2026-09-15T23:54:36Z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