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9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9"/>
    <w:bookmarkStart w:id="10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0"/>
    <w:bookmarkStart w:id="11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227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0.5804</w:t>
            </w:r>
          </w:p>
        </w:tc>
      </w:tr>
    </w:tbl>
    <w:p>
      <w:pPr>
        <w:pStyle w:val="BodyText"/>
      </w:pPr>
      <w:r>
        <w:t xml:space="preserve">The external column is lower throughout than an earlier edition of this table reported, which gave</w:t>
      </w:r>
      <w:r>
        <w:t xml:space="preserve"> </w:t>
      </w:r>
      <w:r>
        <w:t xml:space="preserve">the deployed forest 0.7934 on 241 compounds. The novelty flag defining that set was computed before</w:t>
      </w:r>
      <w:r>
        <w:t xml:space="preserve"> </w:t>
      </w:r>
      <w:r>
        <w:t xml:space="preserve">the featuriser began neutralising charges, so fourteen of the 241 were by then feature-identical to a</w:t>
      </w:r>
      <w:r>
        <w:t xml:space="preserve"> </w:t>
      </w:r>
      <w:r>
        <w:t xml:space="preserve">training row. Removing them lowers every comparator on that population, which is the point: they were</w:t>
      </w:r>
      <w:r>
        <w:t xml:space="preserve"> </w:t>
      </w:r>
      <w:r>
        <w:t xml:space="preserve">inflating all of them, not only the deployed model.</w:t>
      </w:r>
    </w:p>
    <w:p>
      <w:pPr>
        <w:pStyle w:val="BodyText"/>
      </w:pPr>
      <w:r>
        <w:t xml:space="preserve">Read as point estimates the fingerprint wins on both populations, by 0.0338 and 0.0235.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−0.0580 to +0.0154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0.107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227 approved drugs the model has never seen, its advantage over twelve</w:t>
      </w:r>
      <w:r>
        <w:t xml:space="preserve"> </w:t>
      </w:r>
      <w:r>
        <w:t xml:space="preserve">descriptors is not established: the interval crosses zero. Correcting the novelty flag left the</w:t>
      </w:r>
      <w:r>
        <w:t xml:space="preserve"> </w:t>
      </w:r>
      <w:r>
        <w:t xml:space="preserve">margin almost unchanged, 0.0233 to 0.0235, because both models lost the same memorised compounds,</w:t>
      </w:r>
      <w:r>
        <w:t xml:space="preserve"> </w:t>
      </w:r>
      <w:r>
        <w:t xml:space="preserve">and moved the bootstrap p from 0.083 to 0.107. The conclusion is not merely unaltered by the</w:t>
      </w:r>
      <w:r>
        <w:t xml:space="preserve"> </w:t>
      </w:r>
      <w:r>
        <w:t xml:space="preserve">correction; it is slightly further from significance than when it was first drawn.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0.7666</w:t>
      </w:r>
      <w:r>
        <w:t xml:space="preserve"> </w:t>
      </w:r>
      <w:r>
        <w:t xml:space="preserve">against 0.6247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"/>
    <w:bookmarkStart w:id="12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2"/>
    <w:bookmarkStart w:id="13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3"/>
    <w:bookmarkStart w:id="14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0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0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0.57 for unseen drugs against 0.47 for</w:t>
      </w:r>
      <w:r>
        <w:t xml:space="preserve"> </w:t>
      </w:r>
      <w:r>
        <w:t xml:space="preserve">non-drug-like controls (n = 25, Mann-Whitney p = 1.82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4"/>
    <w:bookmarkStart w:id="15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5"/>
    <w:bookmarkStart w:id="16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Twelve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 registry now holds the held-out figure on all 47 endpoints, with a reconciliation gap of +0.000 against the prose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rates, now corrected; the change is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argued in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 described: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jointly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</w:t>
            </w:r>
            <w:r>
              <w:t xml:space="preserve"> </w:t>
            </w:r>
            <w:r>
              <w:t xml:space="preserve">quoted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the values used to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held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unique-compound count of 169,341, keyed by InChIKey of the desalted parent, had never been re-derived</w:t>
            </w:r>
          </w:p>
        </w:tc>
        <w:tc>
          <w:tcPr/>
          <w:p>
            <w:pPr>
              <w:pStyle w:val="Compact"/>
            </w:pPr>
            <w:r>
              <w:t xml:space="preserve">1, 2, 10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src/brainsafe/evaluation/unique_compound_count.py</w:t>
            </w:r>
            <w:r>
              <w:t xml:space="preserve"> </w:t>
            </w:r>
            <w:r>
              <w:t xml:space="preserve">computes it directly from the endpoint tables and reproduces it to the digit: 170,619 distinct SMILES, 2 unparseable, 169,341 distinct InChIKeys of the desalted, neutralised parent (</w:t>
            </w:r>
            <w:r>
              <w:rPr>
                <w:rStyle w:val="VerbatimChar"/>
              </w:rPr>
              <w:t xml:space="preserve">results/tables/unique_compound_count.csv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1 carried two open citation gaps, for a CNS attrition series and for the named comparison servers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Both resolved through the same CrossRef verification pipeline as the rest of the reference list: reference [4] for CNS-specific attrition, and references [36]-[40] for SwissADME, ADMETlab, pkCSM, admetSAR and SwissTargetPrediction</w:t>
            </w:r>
          </w:p>
        </w:tc>
      </w:tr>
    </w:tbl>
    <w:p>
      <w:pPr>
        <w:pStyle w:val="BodyText"/>
      </w:pPr>
      <w:r>
        <w:t xml:space="preserve">One of these resolutions deserves a further sentence, because Chapter 9 posed it as a dilemma and the</w:t>
      </w:r>
      <w:r>
        <w:t xml:space="preserve"> </w:t>
      </w:r>
      <w:r>
        <w:t xml:space="preserve">resolution is narrower than either horn. Four of the specificity file’s six columns were already</w:t>
      </w:r>
      <w:r>
        <w:t xml:space="preserve"> </w:t>
      </w:r>
      <w:r>
        <w:t xml:space="preserve">correct; only the two reported ones were stale, so refreshing those two from the registry avoids</w:t>
      </w:r>
      <w:r>
        <w:t xml:space="preserve"> </w:t>
      </w:r>
      <w:r>
        <w:t xml:space="preserve">re-running the sequence that would rewrite every operating threshold to correct a reported one. And</w:t>
      </w:r>
      <w:r>
        <w:t xml:space="preserve"> </w:t>
      </w:r>
      <w:r>
        <w:t xml:space="preserve">the version a reviewer holds was corrected at the same time as the local one, which is the part that</w:t>
      </w:r>
      <w:r>
        <w:t xml:space="preserve"> </w:t>
      </w:r>
      <w:r>
        <w:t xml:space="preserve">mattered:</w:t>
      </w:r>
      <w:r>
        <w:t xml:space="preserve"> </w:t>
      </w:r>
      <w:r>
        <w:rPr>
          <w:b/>
          <w:bCs/>
        </w:rPr>
        <w:t xml:space="preserve">the disagreement was visible to reviewers before it was visible to the authors.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0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0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0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0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0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0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0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0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0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03"/>
        </w:numPr>
      </w:pPr>
      <w:r>
        <w:t xml:space="preserve">The alternative median in the manuscript should read 3,587.5, not 3,587. (2)</w:t>
      </w:r>
    </w:p>
    <w:bookmarkEnd w:id="16"/>
    <w:bookmarkStart w:id="17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7"/>
    <w:bookmarkStart w:id="18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2026-09-15T23:54:36Z</dcterms:created>
  <dcterms:modified xsi:type="dcterms:W3CDTF">2026-09-15T23:54:36Z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