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Whether a small molecule will act on the brain cannot be read off any single property. It turns at once on passage across the blood–brain barrier (BBB), engagement of disease-relevant central-nervous-system (CNS) targets, developability, safety and clinical precedent, and the public tools in common use each cover only part of that picture (Daina et al., 2017; Fu et al., 2024). Results. We present BrainSafe AI, an open tool that works from chemical structure alone. It brings together eight machine-learning endpoints, every one trained on measured public bioactivity data (ChEMBL_37 pChEMBL values and the B3DB database; Mendez et al., 2019; Meng et al., 2021): BBB penetration, inhibition of AChE, BChE, BACE1, GSK-3β, MAO-A and MAO-B, and the hERG cardiotoxicity liability. Four receptor targets (D2, A2A, 5-HT2A and SERT) are handled instead by potency regression. A deterministic druggability/CNS-MPO layer (Wager et al., 2010) and a clinical-precedent layer of 504 nervous-system compounds with clinical-phase annotations place each prediction in context. Every probability is isotonic-calibrated (Niculescu-Mizil and Caruana, 2005) and carries a Mondrian conformal prediction set (Norinder et al., 2014); each call also returns its nearest measured analogues, and the target scores are folded into BBB-gated per-disease estimates. We assessed the models under four splits of increasing difficulty: random, scaffold, leave-cluster-out and temporal. Random-split AUROC ran from 0.94 to 0.98, scaffold and cluster AUROC from 0.87 to 0.95, and temporal AUROC from 0.61 to 0.92, with conformal coverage between 0.885 and 0.905. We also ran a pre-registered head-to-head against four general-purpose large language models. On well-known drugs they matched or beat BrainSafe at BBB and hERG classification; even so, 45% of the measured-data identifiers they cited proved fabricated or mis-attributed, and all four invented a target and potency for an unpublished compound. BrainSafe tied every prediction to a real measured analogue and reported honest uncertainty. Conclusion. BrainSafe AI delivers calibrated, evidence-grounded, BBB-gated and safety-aware CNS profiling built entirely on measured data. Code, models and data are released; the tool is for research use and remains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now a leading and still-rising cause of global disability (GBD 2021 Nervous System Disorders Collaborators, 2024), yet the discovery of safe, brain-penetrant modulators remains slow. Natural products and flavonoids in particular attract sustained interest for their neuroprotective and antioxidant activity, but what is known about any one compound tends to be scattered across the literature rather than assembled into a single CNS profile (Hasan et al., 2023). That profile has several parts that matter together: whether the compound crosses the BBB, which disease-relevant CNS targets it engages, how developable it is, whether it is safe, and whether anything like it has reached the clinic.</w:t>
      </w:r>
    </w:p>
    <w:p>
      <w:pPr>
        <w:jc w:val="both"/>
      </w:pPr>
      <w:r>
        <w:rPr>
          <w:b w:val="0"/>
          <w:i w:val="0"/>
        </w:rPr>
        <w:t>Public resources already cover pieces of this. General ADMET platforms (Daina et al., 2017; Xiong et al., 2021; Fu et al., 2024; Cheng et al., 2012) predict BBB and hERG, but say nothing about CNS-target activity. Target-prediction servers (Daina et al., 2019; Awale and Reymond, 2019) return likely protein targets from chemical similarity, yet they do not condition those targets on brain penetration, roll them up into a disease-level view, attach calibrated uncertainty, or carry a safety axis. Individual endpoints have their own dedicated QSAR models — AChE and BACE1 (Ponzoni et al., 2019), MAO-B (Kumar et al., 2024), GSK-3β (Galati et al., 2023), BBB permeability (Kumar et al., 2022; Huang et al., 2024) — but no single tool draws them together. BrainSafe AI does exactly that, using models trained on measured public data and tested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curated</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GSK3B</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curated</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curated</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computed with RDKit (RDKit, 2024),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served as regressions.</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and 3.3) reports each endpoint’s standalone performance against its own held-out measured data — absolute discrimination, calibration, conformal coverage and behaviour on reference compounds. Comparative analysis (Sections 3.2, 3.4 and 3.5) benchmarks the same models against external references: published QSAR performance ranges, simpler internal baselines under an identical protocol,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GSK3B</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MAO_A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MAO_B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 the closest algorithmic analogue to associative structural recall — and with L2-regularised logistic regression. The ensemble attained a mean scaffold-split AUROC of 0.912, versus 0.867 for k-nearest-neighbour (mean Δ = +0.045) and 0.808 for logistic regression (mean Δ = +0.104), and was best on every one of the eight endpoints (Table 6; Figure 5B). Exceeding a pure nearest-neighbour read-across indicates the model captures structure–activity relationships not reducible to retrieving the most similar known molecule.</w:t>
      </w:r>
    </w:p>
    <w:p>
      <w:r>
        <w:rPr>
          <w:b w:val="0"/>
          <w:i/>
          <w:sz w:val="18"/>
        </w:rPr>
        <w:t>Table 6.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GSK3B</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MAO_A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MAO_B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and hERG (0.86–0.93) (Kumar et al., 2022; Huang et al., 2024; Figure 6).</w:t>
      </w:r>
    </w:p>
    <w:p>
      <w:pPr>
        <w:pStyle w:val="Heading2"/>
      </w:pPr>
      <w:r>
        <w:t>3.4 Receptor potency regression and antioxidant model (non-comparative)</w:t>
      </w:r>
    </w:p>
    <w:p>
      <w:r>
        <w:rPr>
          <w:b w:val="0"/>
          <w:i/>
          <w:sz w:val="18"/>
        </w:rPr>
        <w:t>Table 5.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5),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Comparison with general-purpose large language models (comparative)</w:t>
      </w:r>
    </w:p>
    <w:p>
      <w:pPr>
        <w:jc w:val="both"/>
      </w:pPr>
      <w:r>
        <w:rPr>
          <w:b w:val="0"/>
          <w:i w:val="0"/>
        </w:rPr>
        <w:t>Because general-purpose large language models (LLMs) can be queried in natural language for chemical information, we assessed whether a dedicated tool remains warranted, along three lines: published benchmark evidence, the scientific basis of the difference, and a reproducible demonstration of grounded output.</w:t>
      </w:r>
    </w:p>
    <w:p>
      <w:pPr>
        <w:jc w:val="both"/>
      </w:pPr>
      <w:r>
        <w:rPr>
          <w:b w:val="0"/>
          <w:i w:val="0"/>
        </w:rPr>
        <w:t>Benchmark evidence. On molecular property prediction — the task class BrainSafe performs —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 guarantees an LLM cannot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1.00 with the nearest measured analogue at Tanimoto 1.00 (donepezil is itself a measured training compound, pChEMBL 7.75) and hERG P = 0.78; terfenadine → hERG P = 1.00, correctly flagging the cardiotoxicity for which it was withdrawn, while correctly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 a calibrated probability, a coverage-guaranteed set, and measured-analogue provenance for any structure, including novel ones — is the scientific justification for a dedicated tool complementary to, not replaced by, general LLMs.</w:t>
      </w:r>
    </w:p>
    <w:p>
      <w:pPr>
        <w:jc w:val="both"/>
      </w:pPr>
      <w:r>
        <w:rPr>
          <w:b w:val="0"/>
          <w:i w:val="0"/>
        </w:rPr>
        <w:t>Pre-registered head-to-head benchmark (executed). We froze a fixed prompt, a 10-compound panel with uncontested ground truth (approved-drug pharmacology plus one unpublished scaffold), and a scoring rubric before any system was run (protocol and key released with the code), then ran the identical prompt on four general-purpose LLMs (Gemini Pro, ChatGPT/GPT-4o, Perplexity, Claude) and scored every reply against the same measured-data key (Table 8; Supplementary Table S13).</w:t>
      </w:r>
    </w:p>
    <w:p>
      <w:r>
        <w:rPr>
          <w:b w:val="0"/>
          <w:i/>
          <w:sz w:val="18"/>
        </w:rPr>
        <w:t>Table 8. Pre-registered LLM head-to-head, scored against the frozen measured-data key. hERG scored on five uncontested compounds; BrainSafe cites measured analogues by structure, not ChEMBL IDs.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System</w:t>
            </w:r>
          </w:p>
        </w:tc>
        <w:tc>
          <w:tcPr>
            <w:tcW w:type="dxa" w:w="1170"/>
          </w:tcPr>
          <w:p>
            <w:r/>
            <w:r>
              <w:rPr>
                <w:b/>
                <w:sz w:val="17"/>
              </w:rPr>
              <w:t>BBB acc</w:t>
            </w:r>
          </w:p>
        </w:tc>
        <w:tc>
          <w:tcPr>
            <w:tcW w:type="dxa" w:w="1170"/>
          </w:tcPr>
          <w:p>
            <w:r/>
            <w:r>
              <w:rPr>
                <w:b/>
                <w:sz w:val="17"/>
              </w:rPr>
              <w:t>hERG acc</w:t>
            </w:r>
          </w:p>
        </w:tc>
        <w:tc>
          <w:tcPr>
            <w:tcW w:type="dxa" w:w="1170"/>
          </w:tcPr>
          <w:p>
            <w:r/>
            <w:r>
              <w:rPr>
                <w:b/>
                <w:sz w:val="17"/>
              </w:rPr>
              <w:t>Brier</w:t>
            </w:r>
          </w:p>
        </w:tc>
        <w:tc>
          <w:tcPr>
            <w:tcW w:type="dxa" w:w="1170"/>
          </w:tcPr>
          <w:p>
            <w:r/>
            <w:r>
              <w:rPr>
                <w:b/>
                <w:sz w:val="17"/>
              </w:rPr>
              <w:t>IDs cited</w:t>
            </w:r>
          </w:p>
        </w:tc>
        <w:tc>
          <w:tcPr>
            <w:tcW w:type="dxa" w:w="1170"/>
          </w:tcPr>
          <w:p>
            <w:r/>
            <w:r>
              <w:rPr>
                <w:b/>
                <w:sz w:val="17"/>
              </w:rPr>
              <w:t>Fabricated</w:t>
            </w:r>
          </w:p>
        </w:tc>
        <w:tc>
          <w:tcPr>
            <w:tcW w:type="dxa" w:w="1170"/>
          </w:tcPr>
          <w:p>
            <w:r/>
            <w:r>
              <w:rPr>
                <w:b/>
                <w:sz w:val="17"/>
              </w:rPr>
              <w:t>Wrong-molecule</w:t>
            </w:r>
          </w:p>
        </w:tc>
        <w:tc>
          <w:tcPr>
            <w:tcW w:type="dxa" w:w="1170"/>
          </w:tcPr>
          <w:p>
            <w:r/>
            <w:r>
              <w:rPr>
                <w:b/>
                <w:sz w:val="17"/>
              </w:rPr>
              <w:t>Novel confabulation</w:t>
            </w:r>
          </w:p>
        </w:tc>
      </w:tr>
      <w:tr>
        <w:tc>
          <w:tcPr>
            <w:tcW w:type="dxa" w:w="1170"/>
          </w:tcPr>
          <w:p>
            <w:r/>
            <w:r>
              <w:rPr>
                <w:sz w:val="17"/>
              </w:rPr>
              <w:t>BrainSafe AI</w:t>
            </w:r>
          </w:p>
        </w:tc>
        <w:tc>
          <w:tcPr>
            <w:tcW w:type="dxa" w:w="1170"/>
          </w:tcPr>
          <w:p>
            <w:r/>
            <w:r>
              <w:rPr>
                <w:sz w:val="17"/>
              </w:rPr>
              <w:t>0.889</w:t>
            </w:r>
          </w:p>
        </w:tc>
        <w:tc>
          <w:tcPr>
            <w:tcW w:type="dxa" w:w="1170"/>
          </w:tcPr>
          <w:p>
            <w:r/>
            <w:r>
              <w:rPr>
                <w:sz w:val="17"/>
              </w:rPr>
              <w:t>1.0</w:t>
            </w:r>
          </w:p>
        </w:tc>
        <w:tc>
          <w:tcPr>
            <w:tcW w:type="dxa" w:w="1170"/>
          </w:tcPr>
          <w:p>
            <w:r/>
            <w:r>
              <w:rPr>
                <w:sz w:val="17"/>
              </w:rPr>
              <w:t>0.088</w:t>
            </w:r>
          </w:p>
        </w:tc>
        <w:tc>
          <w:tcPr>
            <w:tcW w:type="dxa" w:w="1170"/>
          </w:tcPr>
          <w:p>
            <w:r/>
            <w:r>
              <w:rPr>
                <w:sz w:val="17"/>
              </w:rPr>
              <w:t>0</w:t>
            </w:r>
          </w:p>
        </w:tc>
        <w:tc>
          <w:tcPr>
            <w:tcW w:type="dxa" w:w="1170"/>
          </w:tcPr>
          <w:p>
            <w:r/>
            <w:r>
              <w:rPr>
                <w:sz w:val="17"/>
              </w:rPr>
              <w:t>0</w:t>
            </w:r>
          </w:p>
        </w:tc>
        <w:tc>
          <w:tcPr>
            <w:tcW w:type="dxa" w:w="1170"/>
          </w:tcPr>
          <w:p>
            <w:r/>
            <w:r>
              <w:rPr>
                <w:sz w:val="17"/>
              </w:rPr>
              <w:t>0</w:t>
            </w:r>
          </w:p>
        </w:tc>
        <w:tc>
          <w:tcPr>
            <w:tcW w:type="dxa" w:w="1170"/>
          </w:tcPr>
          <w:p>
            <w:r/>
            <w:r>
              <w:rPr>
                <w:sz w:val="17"/>
              </w:rPr>
              <w:t>False</w:t>
            </w:r>
          </w:p>
        </w:tc>
      </w:tr>
      <w:tr>
        <w:tc>
          <w:tcPr>
            <w:tcW w:type="dxa" w:w="1170"/>
          </w:tcPr>
          <w:p>
            <w:r/>
            <w:r>
              <w:rPr>
                <w:sz w:val="17"/>
              </w:rPr>
              <w:t>Gemini Pro (2026-07-03)</w:t>
            </w:r>
          </w:p>
        </w:tc>
        <w:tc>
          <w:tcPr>
            <w:tcW w:type="dxa" w:w="1170"/>
          </w:tcPr>
          <w:p>
            <w:r/>
            <w:r>
              <w:rPr>
                <w:sz w:val="17"/>
              </w:rPr>
              <w:t>0.778</w:t>
            </w:r>
          </w:p>
        </w:tc>
        <w:tc>
          <w:tcPr>
            <w:tcW w:type="dxa" w:w="1170"/>
          </w:tcPr>
          <w:p>
            <w:r/>
            <w:r>
              <w:rPr>
                <w:sz w:val="17"/>
              </w:rPr>
              <w:t>1.0</w:t>
            </w:r>
          </w:p>
        </w:tc>
        <w:tc>
          <w:tcPr>
            <w:tcW w:type="dxa" w:w="1170"/>
          </w:tcPr>
          <w:p>
            <w:r/>
            <w:r>
              <w:rPr>
                <w:sz w:val="17"/>
              </w:rPr>
              <w:t>0.067</w:t>
            </w:r>
          </w:p>
        </w:tc>
        <w:tc>
          <w:tcPr>
            <w:tcW w:type="dxa" w:w="1170"/>
          </w:tcPr>
          <w:p>
            <w:r/>
            <w:r>
              <w:rPr>
                <w:sz w:val="17"/>
              </w:rPr>
              <w:t>10</w:t>
            </w:r>
          </w:p>
        </w:tc>
        <w:tc>
          <w:tcPr>
            <w:tcW w:type="dxa" w:w="1170"/>
          </w:tcPr>
          <w:p>
            <w:r/>
            <w:r>
              <w:rPr>
                <w:sz w:val="17"/>
              </w:rPr>
              <w:t>1</w:t>
            </w:r>
          </w:p>
        </w:tc>
        <w:tc>
          <w:tcPr>
            <w:tcW w:type="dxa" w:w="1170"/>
          </w:tcPr>
          <w:p>
            <w:r/>
            <w:r>
              <w:rPr>
                <w:sz w:val="17"/>
              </w:rPr>
              <w:t>4</w:t>
            </w:r>
          </w:p>
        </w:tc>
        <w:tc>
          <w:tcPr>
            <w:tcW w:type="dxa" w:w="1170"/>
          </w:tcPr>
          <w:p>
            <w:r/>
            <w:r>
              <w:rPr>
                <w:sz w:val="17"/>
              </w:rPr>
              <w:t>True</w:t>
            </w:r>
          </w:p>
        </w:tc>
      </w:tr>
      <w:tr>
        <w:tc>
          <w:tcPr>
            <w:tcW w:type="dxa" w:w="1170"/>
          </w:tcPr>
          <w:p>
            <w:r/>
            <w:r>
              <w:rPr>
                <w:sz w:val="17"/>
              </w:rPr>
              <w:t>ChatGPT (GPT-4o, 2026-07-03)</w:t>
            </w:r>
          </w:p>
        </w:tc>
        <w:tc>
          <w:tcPr>
            <w:tcW w:type="dxa" w:w="1170"/>
          </w:tcPr>
          <w:p>
            <w:r/>
            <w:r>
              <w:rPr>
                <w:sz w:val="17"/>
              </w:rPr>
              <w:t>1.0</w:t>
            </w:r>
          </w:p>
        </w:tc>
        <w:tc>
          <w:tcPr>
            <w:tcW w:type="dxa" w:w="1170"/>
          </w:tcPr>
          <w:p>
            <w:r/>
            <w:r>
              <w:rPr>
                <w:sz w:val="17"/>
              </w:rPr>
              <w:t>1.0</w:t>
            </w:r>
          </w:p>
        </w:tc>
        <w:tc>
          <w:tcPr>
            <w:tcW w:type="dxa" w:w="1170"/>
          </w:tcPr>
          <w:p>
            <w:r/>
            <w:r>
              <w:rPr>
                <w:sz w:val="17"/>
              </w:rPr>
              <w:t>0.035</w:t>
            </w:r>
          </w:p>
        </w:tc>
        <w:tc>
          <w:tcPr>
            <w:tcW w:type="dxa" w:w="1170"/>
          </w:tcPr>
          <w:p>
            <w:r/>
            <w:r>
              <w:rPr>
                <w:sz w:val="17"/>
              </w:rPr>
              <w:t>9</w:t>
            </w:r>
          </w:p>
        </w:tc>
        <w:tc>
          <w:tcPr>
            <w:tcW w:type="dxa" w:w="1170"/>
          </w:tcPr>
          <w:p>
            <w:r/>
            <w:r>
              <w:rPr>
                <w:sz w:val="17"/>
              </w:rPr>
              <w:t>1</w:t>
            </w:r>
          </w:p>
        </w:tc>
        <w:tc>
          <w:tcPr>
            <w:tcW w:type="dxa" w:w="1170"/>
          </w:tcPr>
          <w:p>
            <w:r/>
            <w:r>
              <w:rPr>
                <w:sz w:val="17"/>
              </w:rPr>
              <w:t>3</w:t>
            </w:r>
          </w:p>
        </w:tc>
        <w:tc>
          <w:tcPr>
            <w:tcW w:type="dxa" w:w="1170"/>
          </w:tcPr>
          <w:p>
            <w:r/>
            <w:r>
              <w:rPr>
                <w:sz w:val="17"/>
              </w:rPr>
              <w:t>True</w:t>
            </w:r>
          </w:p>
        </w:tc>
      </w:tr>
      <w:tr>
        <w:tc>
          <w:tcPr>
            <w:tcW w:type="dxa" w:w="1170"/>
          </w:tcPr>
          <w:p>
            <w:r/>
            <w:r>
              <w:rPr>
                <w:sz w:val="17"/>
              </w:rPr>
              <w:t>Perplexity (2026-07-03)</w:t>
            </w:r>
          </w:p>
        </w:tc>
        <w:tc>
          <w:tcPr>
            <w:tcW w:type="dxa" w:w="1170"/>
          </w:tcPr>
          <w:p>
            <w:r/>
            <w:r>
              <w:rPr>
                <w:sz w:val="17"/>
              </w:rPr>
              <w:t>1.0</w:t>
            </w:r>
          </w:p>
        </w:tc>
        <w:tc>
          <w:tcPr>
            <w:tcW w:type="dxa" w:w="1170"/>
          </w:tcPr>
          <w:p>
            <w:r/>
            <w:r>
              <w:rPr>
                <w:sz w:val="17"/>
              </w:rPr>
              <w:t>0.8</w:t>
            </w:r>
          </w:p>
        </w:tc>
        <w:tc>
          <w:tcPr>
            <w:tcW w:type="dxa" w:w="1170"/>
          </w:tcPr>
          <w:p>
            <w:r/>
            <w:r>
              <w:rPr>
                <w:sz w:val="17"/>
              </w:rPr>
              <w:t>0.041</w:t>
            </w:r>
          </w:p>
        </w:tc>
        <w:tc>
          <w:tcPr>
            <w:tcW w:type="dxa" w:w="1170"/>
          </w:tcPr>
          <w:p>
            <w:r/>
            <w:r>
              <w:rPr>
                <w:sz w:val="17"/>
              </w:rPr>
              <w:t>2</w:t>
            </w:r>
          </w:p>
        </w:tc>
        <w:tc>
          <w:tcPr>
            <w:tcW w:type="dxa" w:w="1170"/>
          </w:tcPr>
          <w:p>
            <w:r/>
            <w:r>
              <w:rPr>
                <w:sz w:val="17"/>
              </w:rPr>
              <w:t>1</w:t>
            </w:r>
          </w:p>
        </w:tc>
        <w:tc>
          <w:tcPr>
            <w:tcW w:type="dxa" w:w="1170"/>
          </w:tcPr>
          <w:p>
            <w:r/>
            <w:r>
              <w:rPr>
                <w:sz w:val="17"/>
              </w:rPr>
              <w:t>0</w:t>
            </w:r>
          </w:p>
        </w:tc>
        <w:tc>
          <w:tcPr>
            <w:tcW w:type="dxa" w:w="1170"/>
          </w:tcPr>
          <w:p>
            <w:r/>
            <w:r>
              <w:rPr>
                <w:sz w:val="17"/>
              </w:rPr>
              <w:t>True</w:t>
            </w:r>
          </w:p>
        </w:tc>
      </w:tr>
      <w:tr>
        <w:tc>
          <w:tcPr>
            <w:tcW w:type="dxa" w:w="1170"/>
          </w:tcPr>
          <w:p>
            <w:r/>
            <w:r>
              <w:rPr>
                <w:sz w:val="17"/>
              </w:rPr>
              <w:t>Claude (2026-07-03)</w:t>
            </w:r>
          </w:p>
        </w:tc>
        <w:tc>
          <w:tcPr>
            <w:tcW w:type="dxa" w:w="1170"/>
          </w:tcPr>
          <w:p>
            <w:r/>
            <w:r>
              <w:rPr>
                <w:sz w:val="17"/>
              </w:rPr>
              <w:t>1.0</w:t>
            </w:r>
          </w:p>
        </w:tc>
        <w:tc>
          <w:tcPr>
            <w:tcW w:type="dxa" w:w="1170"/>
          </w:tcPr>
          <w:p>
            <w:r/>
            <w:r>
              <w:rPr>
                <w:sz w:val="17"/>
              </w:rPr>
              <w:t>1.0</w:t>
            </w:r>
          </w:p>
        </w:tc>
        <w:tc>
          <w:tcPr>
            <w:tcW w:type="dxa" w:w="1170"/>
          </w:tcPr>
          <w:p>
            <w:r/>
            <w:r>
              <w:rPr>
                <w:sz w:val="17"/>
              </w:rPr>
              <w:t>0.02</w:t>
            </w:r>
          </w:p>
        </w:tc>
        <w:tc>
          <w:tcPr>
            <w:tcW w:type="dxa" w:w="1170"/>
          </w:tcPr>
          <w:p>
            <w:r/>
            <w:r>
              <w:rPr>
                <w:sz w:val="17"/>
              </w:rPr>
              <w:t>10</w:t>
            </w:r>
          </w:p>
        </w:tc>
        <w:tc>
          <w:tcPr>
            <w:tcW w:type="dxa" w:w="1170"/>
          </w:tcPr>
          <w:p>
            <w:r/>
            <w:r>
              <w:rPr>
                <w:sz w:val="17"/>
              </w:rPr>
              <w:t>1</w:t>
            </w:r>
          </w:p>
        </w:tc>
        <w:tc>
          <w:tcPr>
            <w:tcW w:type="dxa" w:w="1170"/>
          </w:tcPr>
          <w:p>
            <w:r/>
            <w:r>
              <w:rPr>
                <w:sz w:val="17"/>
              </w:rPr>
              <w:t>3</w:t>
            </w:r>
          </w:p>
        </w:tc>
        <w:tc>
          <w:tcPr>
            <w:tcW w:type="dxa" w:w="1170"/>
          </w:tcPr>
          <w:p>
            <w:r/>
            <w:r>
              <w:rPr>
                <w:sz w:val="17"/>
              </w:rPr>
              <w:t>True</w:t>
            </w:r>
          </w:p>
        </w:tc>
      </w:tr>
    </w:tbl>
    <w:p>
      <w:r>
        <w:rPr>
          <w:b w:val="0"/>
          <w:i w:val="0"/>
        </w:rPr>
      </w:r>
    </w:p>
    <w:p>
      <w:pPr>
        <w:jc w:val="both"/>
      </w:pPr>
      <w:r>
        <w:rPr>
          <w:b w:val="0"/>
          <w:i w:val="0"/>
        </w:rPr>
        <w:t>Two findings are reported honestly. First, on classification of well-known approved drugs the LLMs are strong: three of four matched or exceeded BrainSafe on BBB (9/9 vs 8/9; BrainSafe mis-called the borderline-lipophilic astemizole) and their Brier scores were as good or better (Claude 0.020, ChatGPT 0.035) — so a dedicated tool is not justified by raw accuracy on famous compounds. Second, the LLMs fail where grounding and novelty matter: across the four models, 14 of 31 (45%) of the ChEMBL identifiers volunteered as provenance were fabricated or resolved to the wrong molecule — for example, one model's cited ‘rasagiline’ identifier is in fact fluticasone propionate and its ‘selegiline’ identifier is propranolol; another's ‘rivastigmine’ identifier is pyridoxine and its ‘terfenadine’ identifier is the antibiotic cefdinir — and all four confabulated a specific target and potency for the unpublished compound, disagreeing on the target (three AChE, one D2). BrainSafe fabricated nothing, grounded every prediction in a real measured analogue, and returned an honest conformal ‘uncertain’ set for the novel compound. An LLM can thus approximate textbook classifications but cannot be trusted for verifiable provenance or for novel chemistry — precisely what the dedicated tool provides.</w:t>
      </w:r>
    </w:p>
    <w:p>
      <w:pPr>
        <w:pStyle w:val="Heading1"/>
      </w:pPr>
      <w:r>
        <w:t>4. Discussion</w:t>
      </w:r>
    </w:p>
    <w:p>
      <w:pPr>
        <w:jc w:val="both"/>
      </w:pPr>
      <w:r>
        <w:rPr>
          <w:b w:val="0"/>
          <w:i w:val="0"/>
        </w:rPr>
        <w:t>What BrainSafe AI contributes is the assembly, not the parts. Fingerprint and tree-ensemble QSAR, the BBB and hERG models, conformal prediction, the QED and CNS-MPO druggability rules — each is well established in its own right (Rogers and Hahn, 2010; Breiman, 2001; Norinder et al., 2014; Wager et al., 2010). What we have not found elsewhere is all of them working as one measured-data CNS profiler that is at the same time calibrated, conformal, evidence-grounded, BBB-gated, safety-aware and clinically contextualised (Daina et al., 2017, 2019; Fu et al., 2024; Awale and Reymond, 2019).</w:t>
      </w:r>
    </w:p>
    <w:p>
      <w:pPr>
        <w:jc w:val="both"/>
      </w:pPr>
      <w:r>
        <w:rPr>
          <w:b w:val="0"/>
          <w:i w:val="0"/>
        </w:rPr>
        <w:t>AUROC fell from the random split (0.94–0.98) to the temporal one (0.61–0.92), and the size of that drop tracks how much new chemistry each test set contained: between 71% and 91% of the recent compounds carried Bemis–Murcko scaffolds the model had never seen. The two extremes are instructive. BACE1 held up at 0.92, but its recent test set was 93% active, which flatters the score; MAO-A, with a balanced 45%-active test set, gives the more honest figure of 0.61. Reporting all four regimes is what lets a reader see generalisation across both chemical space and time (Sheridan, 2013; Tropsha, 2010).</w:t>
      </w:r>
    </w:p>
    <w:p>
      <w:pPr>
        <w:jc w:val="both"/>
      </w:pPr>
      <w:r>
        <w:rPr>
          <w:b w:val="0"/>
          <w:i w:val="0"/>
        </w:rPr>
        <w:t>Why build a dedicated tool when a general-purpose LLM can be asked the same questions in plain language? Our head-to-head (Section 3.6) answers with results rather than assertion, and the answer comes in two parts. On the task itself, molecular property prediction, general LLMs are known to trail specialised machine learning (Guo et al., 2023; Zhong et al., 2024); fine-tuning narrows the gap only when data are scarce (Jablonka et al., 2024), and BrainSafe works from 64,474 measured records. That much was expected. What the benchmark adds is the failure mode that matters in practice. Four current models matched or beat BrainSafe at classifying well-known drugs, yet 45% of the ChEMBL identifiers they offered as evidence were fabricated or pointed to the wrong molecule, and every one of them invented a target and potency for an unpublished compound, disagreeing with each other along the way. The deeper reason is architectural. An LLM generates fluent text; it does not compute a fingerprint, fit structure to measured activity, or attach a calibrated probability, a coverage guarantee or a domain boundary, and it will hallucinate with confidence (Ji et al., 2023). BrainSafe returns, for any structure, a calibrated probability, a conformal set with roughly 90% empirical coverage, an explicit in- or out-of-domain flag, and the nearest measured analogue with its pChEMBL. The two are complementary, not interchangeable, wherever a decision has to be auditable and anchored in measurement.</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 including the most heterogeneous, GSK-3β (pooled 0.919 vs IC50-only 0.913; MAO-B −0.006; hERG 0.000; Supplementary Table S12) — so pooling on the standardised pChEMBL scale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 not a learned layer —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Some limitations remain, and they bound how the tool should be read. It predicts that a molecule engages a target, not whether it activates or blocks it (agonism versus antagonism), and engagement is not the same thing as clinical benefit; the clinical-precedent layer reports structural similarity to compounds that reached documented trial phases, which is context, not a prediction of efficacy. No prospective wet-lab validation has yet been done. GSK-3β and MAO-A generalise less well over time and are flagged as lower-confidence, and the pooled DPPH antioxidant data transfer only weakly across time. The tool is meant for research hypothesis generation and prioritisation, not for clinical or diagnostic use.</w:t>
      </w:r>
    </w:p>
    <w:p>
      <w:pPr>
        <w:pStyle w:val="Heading1"/>
      </w:pPr>
      <w:r>
        <w:t>5. Conclusion</w:t>
      </w:r>
    </w:p>
    <w:p>
      <w:pPr>
        <w:jc w:val="both"/>
      </w:pPr>
      <w:r>
        <w:rPr>
          <w:b w:val="0"/>
          <w:i w:val="0"/>
        </w:rPr>
        <w:t>BrainSafe AI is a calibrated, evidence-grounded, multi-endpoint CNS profiler built entirely on measured public data. On like-for-like splits its per-endpoint performance sits within or above published ranges, and we report the harder scaffold, cluster and temporal numbers next to those rather than in place of them. The limitations are stated plainly. On that basis the tool is ready to serve both as a resource publication and as a practical aid to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