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60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72 estimators, 70 of them deployed, trained on 227,146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0.948</w:t>
      </w:r>
      <w:r>
        <w:t xml:space="preserve"> </w:t>
      </w:r>
      <w:r>
        <w:t xml:space="preserve">(95% CI 0.932 to 0.960). The binder panel, validated against compounds measured and found inactive at</w:t>
      </w:r>
      <w:r>
        <w:t xml:space="preserve"> </w:t>
      </w:r>
      <w:r>
        <w:t xml:space="preserve">the same target rather than against decoys, reaches a mean AUROC of 0.904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52 targets drive more than one condition and structure alone does not resolve which. BrainSafe AI is</w:t>
      </w:r>
      <w:r>
        <w:t xml:space="preserve"> </w:t>
      </w:r>
      <w:r>
        <w:t xml:space="preserve">freely available without registration at [SERVER URL TO BE</w:t>
      </w:r>
      <w:r>
        <w:t xml:space="preserve"> </w:t>
      </w:r>
      <w:r>
        <w:t xml:space="preserve">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Two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227,146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60 endpoints above 90 per cent active, which is a property</w:t>
      </w:r>
      <w:r>
        <w:t xml:space="preserve"> </w:t>
      </w:r>
      <w:r>
        <w:t xml:space="preserve">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71 cross-validated endpoints this is 1,420 fitted models standing behind the 70 that</w:t>
      </w:r>
      <w:r>
        <w:t xml:space="preserve"> </w:t>
      </w:r>
      <w:r>
        <w:t xml:space="preserve">are deployed.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Each prediction additionally 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0.0249 and reaches 0.0631, exceeding its</w:t>
      </w:r>
      <w:r>
        <w:t xml:space="preserve"> </w:t>
      </w:r>
      <w:r>
        <w:t xml:space="preserve">0.05 target for three endpoints, which under the previous procedure was arithmetically impossible.</w:t>
      </w:r>
      <w:r>
        <w:t xml:space="preserve"> </w:t>
      </w:r>
      <w:r>
        <w:t xml:space="preserve">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49 binder classifiers are validated not against the decoys used to train them but against</w:t>
      </w:r>
      <w:r>
        <w:t xml:space="preserve"> </w:t>
      </w:r>
      <w:r>
        <w:t xml:space="preserve">compounds experimentally tested at the same target and found inactive. They reach a mean AUROC of</w:t>
      </w:r>
      <w:r>
        <w:t xml:space="preserve"> </w:t>
      </w:r>
      <w:r>
        <w:t xml:space="preserve">0.904 and a mean sensitivity of 0.866 on actives withheld by scaffold, at thresholds constrained</w:t>
      </w:r>
      <w:r>
        <w:t xml:space="preserve"> </w:t>
      </w:r>
      <w:r>
        <w:t xml:space="preserve">simultaneously by held-out measured inactives and by the false-positive rate on a disjoint pool of</w:t>
      </w:r>
      <w:r>
        <w:t xml:space="preserve"> </w:t>
      </w:r>
      <w:r>
        <w:t xml:space="preserve">unrelated chemistry; 47 of 49 are deployed. Measured on that disjoint pool the background</w:t>
      </w:r>
      <w:r>
        <w:t xml:space="preserve"> </w:t>
      </w:r>
      <w:r>
        <w:t xml:space="preserve">false-positive rate has a median of 0.0249.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0.814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0.761 on all 306, and 0.788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948 returned no actionable disease signal, a specificity of</w:t>
      </w:r>
      <w:r>
        <w:t xml:space="preserve"> </w:t>
      </w:r>
      <w:r>
        <w:t xml:space="preserve">0.948 (95% CI 0.932 to 0.960). Of the 52 false positives, 36 fired on a single condition rather than</w:t>
      </w:r>
      <w:r>
        <w:t xml:space="preserve"> </w:t>
      </w:r>
      <w:r>
        <w:t xml:space="preserve">producing a diffuse profile, and the median score among them was 0.426,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cross-validated endpoints, by 0.038 mean AUROC on the scaffold</w:t>
      </w:r>
      <w:r>
        <w:t xml:space="preserve"> </w:t>
      </w:r>
      <w:r>
        <w:t xml:space="preserve">split.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a set of fifteen external reference compounds the server was correctly</w:t>
      </w:r>
      <w:r>
        <w:t xml:space="preserve"> </w:t>
      </w:r>
      <w:r>
        <w:t xml:space="preserve">silent on 7 of 7 non-CNS controls.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0.804 against a</w:t>
      </w:r>
      <w:r>
        <w:t xml:space="preserve"> </w:t>
      </w:r>
      <w:r>
        <w:t xml:space="preserve">permutation null of 0.157.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panel targets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never-seen drugs is 4: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Three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the disease layer, and it is a limit of the question rather than of the fitting. Clinical</w:t>
      </w:r>
      <w:r>
        <w:t xml:space="preserve"> </w:t>
      </w:r>
      <w:r>
        <w:t xml:space="preserve">indication is not a function of structure: 27 of the 52 panel targets drive more than 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49-endpoint binder panel and two auxiliary</w:t>
      </w:r>
      <w:r>
        <w:t xml:space="preserve"> </w:t>
      </w:r>
      <w:r>
        <w:t xml:space="preserve">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deployed</w:t>
      </w:r>
      <w:r>
        <w:t xml:space="preserve"> </w:t>
      </w:r>
      <w:r>
        <w:t xml:space="preserve">estimators; each was preceded by twenty fits that never serve a prediction and exist only to measure</w:t>
      </w:r>
      <w:r>
        <w:t xml:space="preserve"> </w:t>
      </w:r>
      <w:r>
        <w:t xml:space="preserve">how the twenty-first behaves on withheld compounds, 1,420 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deployed estimator placed by the number of measured compounds it was 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two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0.936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S1 to S5 give the recovery of the measured negative class and its effect per</w:t>
      </w:r>
      <w:r>
        <w:t xml:space="preserve"> </w:t>
      </w:r>
      <w:r>
        <w:t xml:space="preserve">endpoint, the feature vector computed for a worked molecule, the two cross-validation schemes, the</w:t>
      </w:r>
      <w:r>
        <w:t xml:space="preserve"> </w:t>
      </w:r>
      <w:r>
        <w:t xml:space="preserve">three disjoint background pools, and the complete 49-endpoint binder panel with every endpoint named.</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2026-08-17T10:00:14Z</dcterms:created>
  <dcterms:modified xsi:type="dcterms:W3CDTF">2026-08-17T10:00:14Z</dcterms:modified>
</cp:coreProperties>
</file>

<file path=docProps/custom.xml><?xml version="1.0" encoding="utf-8"?>
<Properties xmlns="http://schemas.openxmlformats.org/officeDocument/2006/custom-properties" xmlns:vt="http://schemas.openxmlformats.org/officeDocument/2006/docPropsVTypes"/>
</file>