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Whether a small molecule will act on the brain cannot be read off any single property. It depends at once on passage across the blood–brain barrier (BBB), engagement of disease-relevant central-nervous-system (CNS) targets, developability, safety and clinical precedent. The public tools in common use each cover only part of that picture (Daina et al., 2017; Fu et al., 2024). Results. We present BrainSafe AI, an open tool that works from chemical structure alone. It brings together eight machine-learning endpoints, every one trained on measured public bioactivity data (ChEMBL_37 pChEMBL values and the B3DB database; Mendez et al., 2019; Meng et al., 2021): BBB penetration, inhibition of AChE, BChE, BACE1, GSK-3β, MAO-A and MAO-B, and the hERG cardiotoxicity liability. Four receptor targets (D2, A2A, 5-HT2A and SERT) are handled instead by potency regression. A deterministic druggability/CNS-MPO layer (Wager et al., 2010) and a clinical-precedent layer of 504 nervous-system compounds with clinical-phase annotations place each prediction in context. Every probability is isotonic-calibrated (Niculescu-Mizil and Caruana, 2005) and carries a Mondrian conformal prediction set (Norinder et al., 2014); each call also returns its nearest measured analogues, and the target scores are combined into BBB-gated per-disease estimates. We assessed the models under four splits of increasing difficulty: random, scaffold, leave-cluster-out and temporal. Random-split AUROC ran from 0.94 to 0.98, scaffold and cluster AUROC from 0.87 to 0.95, and temporal AUROC from 0.61 to 0.92, with conformal coverage between 0.885 and 0.905. We also ran a pre-registered head-to-head against four general-purpose large language models. On well-known drugs they matched or beat BrainSafe at BBB and hERG classification; even so, 45% of the measured-data identifiers they cited proved fabricated or mis-attributed, and all four invented a target and potency for an unpublished compound. BrainSafe tied every prediction to a real measured analogue and reported honest uncertainty. Conclusion. BrainSafe AI delivers calibrated, evidence-grounded, BBB-gated and safety-aware CNS profiling built entirely on measured data. Code, models and data are released; the tool is for research use and remains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AChE and BACE1 (Ponzoni et al., 2019), MAO-B (Kumar et al., 2024), GSK-3β (Galati et al., 2023), and BBB permeability (Kumar et al., 2022; Huang et al., 2024). No single tool, though,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 ‘n/a’ in the year column marks sources without per-compound ChEMBL document years.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n/a</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GSK-3β</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5-HT2A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n/a</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n/a</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modelled as regressions instead.</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3.4 and 3.5) reports each endpoint’s standalone performance against its own held-out measured data: absolute discrimination, calibration, conformal coverage, receptor-potency and antioxidant regression, and behaviour on reference compounds. Comparative analysis (Sections 3.2, 3.3 and 3.6) benchmarks the same models against external references: simpler internal baselines under an identical protocol, published QSAR performance ranges,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 rate</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GSK-3β</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(the closest algorithmic analogue to associative structural recall) and with L2-regularised logistic regression. The ensemble attained a mean scaffold-split AUROC of 0.912, versus 0.867 for k-nearest-neighbour (mean Δ = +0.045) and 0.808 for logistic regression (mean Δ = +0.104), and was best on every one of the eight endpoints (Table 5; Figure 5B). Exceeding a pure nearest-neighbour read-across indicates that the model captures structure–activity relationships not reducible to retrieving the most similar known molecule.</w:t>
      </w:r>
    </w:p>
    <w:p>
      <w:r>
        <w:rPr>
          <w:b w:val="0"/>
          <w:i/>
          <w:sz w:val="18"/>
        </w:rPr>
        <w:t>Table 5.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GSK-3β</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Kumar et al., 2022; Huang et al., 2024) and hERG (0.86–0.93). The full per-endpoint comparison against the collected literature ranges is given in Supplementary Table S7 (Figure 6).</w:t>
      </w:r>
    </w:p>
    <w:p>
      <w:pPr>
        <w:pStyle w:val="Heading2"/>
      </w:pPr>
      <w:r>
        <w:t>3.4 Receptor potency regression and antioxidant model (non-comparative)</w:t>
      </w:r>
    </w:p>
    <w:p>
      <w:r>
        <w:rPr>
          <w:b w:val="0"/>
          <w:i/>
          <w:sz w:val="18"/>
        </w:rPr>
        <w:t>Table 6.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5-HT2A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6),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(the task class BrainSafe performs),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none of which an LLM can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also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(a calibrated probability, a coverage-guaranteed set, and measured-analogue provenance for any structure, including novel ones) is the scientific justification for a dedicated tool complementary to, not replaced by, general LLMs.</w:t>
      </w:r>
    </w:p>
    <w:p>
      <w:pPr>
        <w:jc w:val="both"/>
      </w:pPr>
      <w:r>
        <w:rPr>
          <w:b w:val="0"/>
          <w:i w:val="0"/>
        </w:rPr>
        <w:t>Pre-registered head-to-head benchmark (executed). We froze a fixed prompt, a 10-compound panel with uncontested ground truth (approved-drug pharmacology plus one unpublished scaffold), and a scoring rubric before any system was run (protocol and key released with the code), then ran the identical prompt on four general-purpose LLMs (Gemini Pro, ChatGPT/GPT-4o, Perplexity, Claude) and scored every reply against the same measured-data key (Table 8; Supplementary Table S13).</w:t>
      </w:r>
    </w:p>
    <w:p>
      <w:r>
        <w:rPr>
          <w:b w:val="0"/>
          <w:i/>
          <w:sz w:val="18"/>
        </w:rPr>
        <w:t>Table 8. Pre-registered LLM head-to-head, scored against the frozen measured-data key. hERG scored on five uncontested compounds; BrainSafe cites measured analogues by structure, not ChEMBL IDs.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System</w:t>
            </w:r>
          </w:p>
        </w:tc>
        <w:tc>
          <w:tcPr>
            <w:tcW w:type="dxa" w:w="1170"/>
          </w:tcPr>
          <w:p>
            <w:r/>
            <w:r>
              <w:rPr>
                <w:b/>
                <w:sz w:val="17"/>
              </w:rPr>
              <w:t>BBB acc</w:t>
            </w:r>
          </w:p>
        </w:tc>
        <w:tc>
          <w:tcPr>
            <w:tcW w:type="dxa" w:w="1170"/>
          </w:tcPr>
          <w:p>
            <w:r/>
            <w:r>
              <w:rPr>
                <w:b/>
                <w:sz w:val="17"/>
              </w:rPr>
              <w:t>hERG acc</w:t>
            </w:r>
          </w:p>
        </w:tc>
        <w:tc>
          <w:tcPr>
            <w:tcW w:type="dxa" w:w="1170"/>
          </w:tcPr>
          <w:p>
            <w:r/>
            <w:r>
              <w:rPr>
                <w:b/>
                <w:sz w:val="17"/>
              </w:rPr>
              <w:t>Brier</w:t>
            </w:r>
          </w:p>
        </w:tc>
        <w:tc>
          <w:tcPr>
            <w:tcW w:type="dxa" w:w="1170"/>
          </w:tcPr>
          <w:p>
            <w:r/>
            <w:r>
              <w:rPr>
                <w:b/>
                <w:sz w:val="17"/>
              </w:rPr>
              <w:t>IDs cited</w:t>
            </w:r>
          </w:p>
        </w:tc>
        <w:tc>
          <w:tcPr>
            <w:tcW w:type="dxa" w:w="1170"/>
          </w:tcPr>
          <w:p>
            <w:r/>
            <w:r>
              <w:rPr>
                <w:b/>
                <w:sz w:val="17"/>
              </w:rPr>
              <w:t>Fabricated</w:t>
            </w:r>
          </w:p>
        </w:tc>
        <w:tc>
          <w:tcPr>
            <w:tcW w:type="dxa" w:w="1170"/>
          </w:tcPr>
          <w:p>
            <w:r/>
            <w:r>
              <w:rPr>
                <w:b/>
                <w:sz w:val="17"/>
              </w:rPr>
              <w:t>Wrong-molecule</w:t>
            </w:r>
          </w:p>
        </w:tc>
        <w:tc>
          <w:tcPr>
            <w:tcW w:type="dxa" w:w="1170"/>
          </w:tcPr>
          <w:p>
            <w:r/>
            <w:r>
              <w:rPr>
                <w:b/>
                <w:sz w:val="17"/>
              </w:rPr>
              <w:t>Novel confabulation</w:t>
            </w:r>
          </w:p>
        </w:tc>
      </w:tr>
      <w:tr>
        <w:tc>
          <w:tcPr>
            <w:tcW w:type="dxa" w:w="1170"/>
          </w:tcPr>
          <w:p>
            <w:r/>
            <w:r>
              <w:rPr>
                <w:sz w:val="17"/>
              </w:rPr>
              <w:t>BrainSafe AI</w:t>
            </w:r>
          </w:p>
        </w:tc>
        <w:tc>
          <w:tcPr>
            <w:tcW w:type="dxa" w:w="1170"/>
          </w:tcPr>
          <w:p>
            <w:r/>
            <w:r>
              <w:rPr>
                <w:sz w:val="17"/>
              </w:rPr>
              <w:t>0.889</w:t>
            </w:r>
          </w:p>
        </w:tc>
        <w:tc>
          <w:tcPr>
            <w:tcW w:type="dxa" w:w="1170"/>
          </w:tcPr>
          <w:p>
            <w:r/>
            <w:r>
              <w:rPr>
                <w:sz w:val="17"/>
              </w:rPr>
              <w:t>1.0</w:t>
            </w:r>
          </w:p>
        </w:tc>
        <w:tc>
          <w:tcPr>
            <w:tcW w:type="dxa" w:w="1170"/>
          </w:tcPr>
          <w:p>
            <w:r/>
            <w:r>
              <w:rPr>
                <w:sz w:val="17"/>
              </w:rPr>
              <w:t>0.088</w:t>
            </w:r>
          </w:p>
        </w:tc>
        <w:tc>
          <w:tcPr>
            <w:tcW w:type="dxa" w:w="1170"/>
          </w:tcPr>
          <w:p>
            <w:r/>
            <w:r>
              <w:rPr>
                <w:sz w:val="17"/>
              </w:rPr>
              <w:t>0</w:t>
            </w:r>
          </w:p>
        </w:tc>
        <w:tc>
          <w:tcPr>
            <w:tcW w:type="dxa" w:w="1170"/>
          </w:tcPr>
          <w:p>
            <w:r/>
            <w:r>
              <w:rPr>
                <w:sz w:val="17"/>
              </w:rPr>
              <w:t>0</w:t>
            </w:r>
          </w:p>
        </w:tc>
        <w:tc>
          <w:tcPr>
            <w:tcW w:type="dxa" w:w="1170"/>
          </w:tcPr>
          <w:p>
            <w:r/>
            <w:r>
              <w:rPr>
                <w:sz w:val="17"/>
              </w:rPr>
              <w:t>0</w:t>
            </w:r>
          </w:p>
        </w:tc>
        <w:tc>
          <w:tcPr>
            <w:tcW w:type="dxa" w:w="1170"/>
          </w:tcPr>
          <w:p>
            <w:r/>
            <w:r>
              <w:rPr>
                <w:sz w:val="17"/>
              </w:rPr>
              <w:t>False</w:t>
            </w:r>
          </w:p>
        </w:tc>
      </w:tr>
      <w:tr>
        <w:tc>
          <w:tcPr>
            <w:tcW w:type="dxa" w:w="1170"/>
          </w:tcPr>
          <w:p>
            <w:r/>
            <w:r>
              <w:rPr>
                <w:sz w:val="17"/>
              </w:rPr>
              <w:t>Gemini Pro (2026-07-03)</w:t>
            </w:r>
          </w:p>
        </w:tc>
        <w:tc>
          <w:tcPr>
            <w:tcW w:type="dxa" w:w="1170"/>
          </w:tcPr>
          <w:p>
            <w:r/>
            <w:r>
              <w:rPr>
                <w:sz w:val="17"/>
              </w:rPr>
              <w:t>0.778</w:t>
            </w:r>
          </w:p>
        </w:tc>
        <w:tc>
          <w:tcPr>
            <w:tcW w:type="dxa" w:w="1170"/>
          </w:tcPr>
          <w:p>
            <w:r/>
            <w:r>
              <w:rPr>
                <w:sz w:val="17"/>
              </w:rPr>
              <w:t>1.0</w:t>
            </w:r>
          </w:p>
        </w:tc>
        <w:tc>
          <w:tcPr>
            <w:tcW w:type="dxa" w:w="1170"/>
          </w:tcPr>
          <w:p>
            <w:r/>
            <w:r>
              <w:rPr>
                <w:sz w:val="17"/>
              </w:rPr>
              <w:t>0.067</w:t>
            </w:r>
          </w:p>
        </w:tc>
        <w:tc>
          <w:tcPr>
            <w:tcW w:type="dxa" w:w="1170"/>
          </w:tcPr>
          <w:p>
            <w:r/>
            <w:r>
              <w:rPr>
                <w:sz w:val="17"/>
              </w:rPr>
              <w:t>10</w:t>
            </w:r>
          </w:p>
        </w:tc>
        <w:tc>
          <w:tcPr>
            <w:tcW w:type="dxa" w:w="1170"/>
          </w:tcPr>
          <w:p>
            <w:r/>
            <w:r>
              <w:rPr>
                <w:sz w:val="17"/>
              </w:rPr>
              <w:t>1</w:t>
            </w:r>
          </w:p>
        </w:tc>
        <w:tc>
          <w:tcPr>
            <w:tcW w:type="dxa" w:w="1170"/>
          </w:tcPr>
          <w:p>
            <w:r/>
            <w:r>
              <w:rPr>
                <w:sz w:val="17"/>
              </w:rPr>
              <w:t>4</w:t>
            </w:r>
          </w:p>
        </w:tc>
        <w:tc>
          <w:tcPr>
            <w:tcW w:type="dxa" w:w="1170"/>
          </w:tcPr>
          <w:p>
            <w:r/>
            <w:r>
              <w:rPr>
                <w:sz w:val="17"/>
              </w:rPr>
              <w:t>True</w:t>
            </w:r>
          </w:p>
        </w:tc>
      </w:tr>
      <w:tr>
        <w:tc>
          <w:tcPr>
            <w:tcW w:type="dxa" w:w="1170"/>
          </w:tcPr>
          <w:p>
            <w:r/>
            <w:r>
              <w:rPr>
                <w:sz w:val="17"/>
              </w:rPr>
              <w:t>ChatGPT (GPT-4o, 2026-07-03)</w:t>
            </w:r>
          </w:p>
        </w:tc>
        <w:tc>
          <w:tcPr>
            <w:tcW w:type="dxa" w:w="1170"/>
          </w:tcPr>
          <w:p>
            <w:r/>
            <w:r>
              <w:rPr>
                <w:sz w:val="17"/>
              </w:rPr>
              <w:t>1.0</w:t>
            </w:r>
          </w:p>
        </w:tc>
        <w:tc>
          <w:tcPr>
            <w:tcW w:type="dxa" w:w="1170"/>
          </w:tcPr>
          <w:p>
            <w:r/>
            <w:r>
              <w:rPr>
                <w:sz w:val="17"/>
              </w:rPr>
              <w:t>1.0</w:t>
            </w:r>
          </w:p>
        </w:tc>
        <w:tc>
          <w:tcPr>
            <w:tcW w:type="dxa" w:w="1170"/>
          </w:tcPr>
          <w:p>
            <w:r/>
            <w:r>
              <w:rPr>
                <w:sz w:val="17"/>
              </w:rPr>
              <w:t>0.035</w:t>
            </w:r>
          </w:p>
        </w:tc>
        <w:tc>
          <w:tcPr>
            <w:tcW w:type="dxa" w:w="1170"/>
          </w:tcPr>
          <w:p>
            <w:r/>
            <w:r>
              <w:rPr>
                <w:sz w:val="17"/>
              </w:rPr>
              <w:t>9</w:t>
            </w:r>
          </w:p>
        </w:tc>
        <w:tc>
          <w:tcPr>
            <w:tcW w:type="dxa" w:w="1170"/>
          </w:tcPr>
          <w:p>
            <w:r/>
            <w:r>
              <w:rPr>
                <w:sz w:val="17"/>
              </w:rPr>
              <w:t>1</w:t>
            </w:r>
          </w:p>
        </w:tc>
        <w:tc>
          <w:tcPr>
            <w:tcW w:type="dxa" w:w="1170"/>
          </w:tcPr>
          <w:p>
            <w:r/>
            <w:r>
              <w:rPr>
                <w:sz w:val="17"/>
              </w:rPr>
              <w:t>3</w:t>
            </w:r>
          </w:p>
        </w:tc>
        <w:tc>
          <w:tcPr>
            <w:tcW w:type="dxa" w:w="1170"/>
          </w:tcPr>
          <w:p>
            <w:r/>
            <w:r>
              <w:rPr>
                <w:sz w:val="17"/>
              </w:rPr>
              <w:t>True</w:t>
            </w:r>
          </w:p>
        </w:tc>
      </w:tr>
      <w:tr>
        <w:tc>
          <w:tcPr>
            <w:tcW w:type="dxa" w:w="1170"/>
          </w:tcPr>
          <w:p>
            <w:r/>
            <w:r>
              <w:rPr>
                <w:sz w:val="17"/>
              </w:rPr>
              <w:t>Perplexity (2026-07-03)</w:t>
            </w:r>
          </w:p>
        </w:tc>
        <w:tc>
          <w:tcPr>
            <w:tcW w:type="dxa" w:w="1170"/>
          </w:tcPr>
          <w:p>
            <w:r/>
            <w:r>
              <w:rPr>
                <w:sz w:val="17"/>
              </w:rPr>
              <w:t>1.0</w:t>
            </w:r>
          </w:p>
        </w:tc>
        <w:tc>
          <w:tcPr>
            <w:tcW w:type="dxa" w:w="1170"/>
          </w:tcPr>
          <w:p>
            <w:r/>
            <w:r>
              <w:rPr>
                <w:sz w:val="17"/>
              </w:rPr>
              <w:t>0.8</w:t>
            </w:r>
          </w:p>
        </w:tc>
        <w:tc>
          <w:tcPr>
            <w:tcW w:type="dxa" w:w="1170"/>
          </w:tcPr>
          <w:p>
            <w:r/>
            <w:r>
              <w:rPr>
                <w:sz w:val="17"/>
              </w:rPr>
              <w:t>0.041</w:t>
            </w:r>
          </w:p>
        </w:tc>
        <w:tc>
          <w:tcPr>
            <w:tcW w:type="dxa" w:w="1170"/>
          </w:tcPr>
          <w:p>
            <w:r/>
            <w:r>
              <w:rPr>
                <w:sz w:val="17"/>
              </w:rPr>
              <w:t>2</w:t>
            </w:r>
          </w:p>
        </w:tc>
        <w:tc>
          <w:tcPr>
            <w:tcW w:type="dxa" w:w="1170"/>
          </w:tcPr>
          <w:p>
            <w:r/>
            <w:r>
              <w:rPr>
                <w:sz w:val="17"/>
              </w:rPr>
              <w:t>1</w:t>
            </w:r>
          </w:p>
        </w:tc>
        <w:tc>
          <w:tcPr>
            <w:tcW w:type="dxa" w:w="1170"/>
          </w:tcPr>
          <w:p>
            <w:r/>
            <w:r>
              <w:rPr>
                <w:sz w:val="17"/>
              </w:rPr>
              <w:t>0</w:t>
            </w:r>
          </w:p>
        </w:tc>
        <w:tc>
          <w:tcPr>
            <w:tcW w:type="dxa" w:w="1170"/>
          </w:tcPr>
          <w:p>
            <w:r/>
            <w:r>
              <w:rPr>
                <w:sz w:val="17"/>
              </w:rPr>
              <w:t>True</w:t>
            </w:r>
          </w:p>
        </w:tc>
      </w:tr>
      <w:tr>
        <w:tc>
          <w:tcPr>
            <w:tcW w:type="dxa" w:w="1170"/>
          </w:tcPr>
          <w:p>
            <w:r/>
            <w:r>
              <w:rPr>
                <w:sz w:val="17"/>
              </w:rPr>
              <w:t>Claude (2026-07-03)</w:t>
            </w:r>
          </w:p>
        </w:tc>
        <w:tc>
          <w:tcPr>
            <w:tcW w:type="dxa" w:w="1170"/>
          </w:tcPr>
          <w:p>
            <w:r/>
            <w:r>
              <w:rPr>
                <w:sz w:val="17"/>
              </w:rPr>
              <w:t>1.0</w:t>
            </w:r>
          </w:p>
        </w:tc>
        <w:tc>
          <w:tcPr>
            <w:tcW w:type="dxa" w:w="1170"/>
          </w:tcPr>
          <w:p>
            <w:r/>
            <w:r>
              <w:rPr>
                <w:sz w:val="17"/>
              </w:rPr>
              <w:t>1.0</w:t>
            </w:r>
          </w:p>
        </w:tc>
        <w:tc>
          <w:tcPr>
            <w:tcW w:type="dxa" w:w="1170"/>
          </w:tcPr>
          <w:p>
            <w:r/>
            <w:r>
              <w:rPr>
                <w:sz w:val="17"/>
              </w:rPr>
              <w:t>0.02</w:t>
            </w:r>
          </w:p>
        </w:tc>
        <w:tc>
          <w:tcPr>
            <w:tcW w:type="dxa" w:w="1170"/>
          </w:tcPr>
          <w:p>
            <w:r/>
            <w:r>
              <w:rPr>
                <w:sz w:val="17"/>
              </w:rPr>
              <w:t>10</w:t>
            </w:r>
          </w:p>
        </w:tc>
        <w:tc>
          <w:tcPr>
            <w:tcW w:type="dxa" w:w="1170"/>
          </w:tcPr>
          <w:p>
            <w:r/>
            <w:r>
              <w:rPr>
                <w:sz w:val="17"/>
              </w:rPr>
              <w:t>1</w:t>
            </w:r>
          </w:p>
        </w:tc>
        <w:tc>
          <w:tcPr>
            <w:tcW w:type="dxa" w:w="1170"/>
          </w:tcPr>
          <w:p>
            <w:r/>
            <w:r>
              <w:rPr>
                <w:sz w:val="17"/>
              </w:rPr>
              <w:t>3</w:t>
            </w:r>
          </w:p>
        </w:tc>
        <w:tc>
          <w:tcPr>
            <w:tcW w:type="dxa" w:w="1170"/>
          </w:tcPr>
          <w:p>
            <w:r/>
            <w:r>
              <w:rPr>
                <w:sz w:val="17"/>
              </w:rPr>
              <w:t>True</w:t>
            </w:r>
          </w:p>
        </w:tc>
      </w:tr>
    </w:tbl>
    <w:p>
      <w:r>
        <w:rPr>
          <w:b w:val="0"/>
          <w:i w:val="0"/>
        </w:rPr>
      </w:r>
    </w:p>
    <w:p>
      <w:pPr>
        <w:jc w:val="both"/>
      </w:pPr>
      <w:r>
        <w:rPr>
          <w:b w:val="0"/>
          <w:i w:val="0"/>
        </w:rPr>
        <w:t>Two findings stand out. First, on classification of well-known approved drugs the LLMs are strong: three of four matched or exceeded BrainSafe on BBB (9/9 vs 8/9; BrainSafe mis-called the borderline-lipophilic astemizole) and their Brier scores were as good or better (Claude 0.020, ChatGPT 0.035); a dedicated tool is therefore not justified by raw accuracy on famous compounds. Second, the LLMs fail where grounding and novelty matter: across the four models, 14 of 31 (45%) of the ChEMBL identifiers volunteered as provenance were fabricated or resolved to the wrong molecule. For example, one model's cited ‘rasagiline’ identifier is in fact fluticasone propionate and its ‘selegiline’ identifier is propranolol; another's ‘rivastigmine’ identifier is pyridoxine and its ‘terfenadine’ identifier is the antibiotic cefdinir. All four also confabulated a specific target and potency for the unpublished compound, disagreeing on the target (three AChE, one D2). BrainSafe fabricated nothing, grounded every prediction in a real measured analogue, and returned a conformal ‘uncertain’ set for the novel compound. An LLM can thus approximate textbook classifications but cannot be trusted for verifiable provenance or for novel chemistry, which is precisely what the dedicated tool provides.</w:t>
      </w:r>
    </w:p>
    <w:p>
      <w:pPr>
        <w:pStyle w:val="Heading1"/>
      </w:pPr>
      <w:r>
        <w:t>4. Discussion</w:t>
      </w:r>
    </w:p>
    <w:p>
      <w:pPr>
        <w:jc w:val="both"/>
      </w:pPr>
      <w:r>
        <w:rPr>
          <w:b w:val="0"/>
          <w:i w:val="0"/>
        </w:rPr>
        <w:t>What BrainSafe AI contributes is the assembly, not the parts. Its components are individually familiar: fingerprint and tree-ensemble QSAR, the BBB and hERG models, conformal prediction, and the QED and CNS-MPO druggability rules, each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representative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including the most heterogeneous, GSK-3β (pooled 0.919 vs IC50-only 0.913; MAO-B −0.006; hERG 0.000; Supplementary Table S12). Pooling on the standardised pChEMBL scale therefore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(not a learned layer),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On like-for-like splits its per-endpoint performance sits within or above published ranges, and we report the harder scaffold, cluster and temporal numbers next to those rather than in place of them. The limitations are stated plainly. On that basis the tool is ready to serve both as a resource publication and as a practical aid to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