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63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52 targets in the pathway graph drive more than one condition and structure alone does not</w:t>
      </w:r>
      <w:r>
        <w:t xml:space="preserve"> </w:t>
      </w:r>
      <w:r>
        <w:t xml:space="preserve">resolve which. BrainSafe AI is freely available without registration at [SERVER URL TO BE SUPPLIED],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Five pass, including exact</w:t>
      </w:r>
      <w:r>
        <w:t xml:space="preserve"> </w:t>
      </w:r>
      <w:r>
        <w:t xml:space="preserve">reproducibility of a retrained endpoint. The sixth fails: the applicability-domain flag does not</w:t>
      </w:r>
      <w:r>
        <w:t xml:space="preserve"> </w:t>
      </w:r>
      <w:r>
        <w:t xml:space="preserve">separate non-drug-like chemistry from unseen drugs (median maximum similarity 0.44 against 0.48,</w:t>
      </w:r>
      <w:r>
        <w:t xml:space="preserve"> </w:t>
      </w:r>
      <w:r>
        <w:t xml:space="preserve">p = 0.87). It is reported rather than retuned.</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0.786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The reason is structural rather than a deficiency of fitting, and it is visible in the graph: 27 of</w:t>
      </w:r>
      <w:r>
        <w:t xml:space="preserve"> </w:t>
      </w:r>
      <w:r>
        <w:t xml:space="preserve">the 52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0.786 against a</w:t>
      </w:r>
      <w:r>
        <w:t xml:space="preserve"> </w:t>
      </w:r>
      <w:r>
        <w:t xml:space="preserve">permutation null of 0.154. Its curated edge weights do not: uniform and randomly permuted weights</w:t>
      </w:r>
      <w:r>
        <w:t xml:space="preserve"> </w:t>
      </w:r>
      <w:r>
        <w:t xml:space="preserve">score 0.7861 and 0.7844 against 0.7865,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Four limitations bound its use. The applicability-domain flag does not currently separate</w:t>
      </w:r>
      <w:r>
        <w:t xml:space="preserve"> </w:t>
      </w:r>
      <w:r>
        <w:t xml:space="preserve">non-drug-like chemistry from unseen drugs, so the conformal interval and the nearest-analogue</w:t>
      </w:r>
      <w:r>
        <w:t xml:space="preserve"> </w:t>
      </w:r>
      <w:r>
        <w:t xml:space="preserve">distance, rather than the flag, should be read as the statement of confidence. The specificity</w:t>
      </w:r>
      <w:r>
        <w:t xml:space="preserve"> </w:t>
      </w:r>
      <w:r>
        <w:t xml:space="preserve">estimate rests on compounds presumed inactive because nothing is recorded about them, drawn from</w:t>
      </w:r>
      <w:r>
        <w:t xml:space="preserve"> </w:t>
      </w:r>
      <w:r>
        <w:t xml:space="preserve">within the reference library, so it does not bound behaviour on genuinely distant chemistry.</w:t>
      </w:r>
    </w:p>
    <w:p>
      <w:pPr>
        <w:pStyle w:val="BodyText"/>
      </w:pPr>
      <w:r>
        <w:t xml:space="preserve">The third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fourth is the disease layer, and it is a limit of the question rather than of the fitting. Clinical</w:t>
      </w:r>
      <w:r>
        <w:t xml:space="preserve"> </w:t>
      </w:r>
      <w:r>
        <w:t xml:space="preserve">indication is not a function of structure: 27 of the 52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1"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1"/>
    <w:bookmarkStart w:id="42"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2026-08-21T04:23:08Z</dcterms:created>
  <dcterms:modified xsi:type="dcterms:W3CDTF">2026-08-21T04:23:08Z</dcterms:modified>
</cp:coreProperties>
</file>

<file path=docProps/custom.xml><?xml version="1.0" encoding="utf-8"?>
<Properties xmlns="http://schemas.openxmlformats.org/officeDocument/2006/custom-properties" xmlns:vt="http://schemas.openxmlformats.org/officeDocument/2006/docPropsVTypes"/>
</file>