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35.png" ContentType="image/png"/>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6"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[TO BE SUPPLIED]</w:t>
      </w:r>
    </w:p>
    <w:p>
      <w:pPr>
        <w:pStyle w:val="BodyText"/>
      </w:pPr>
      <w:r>
        <w:rPr>
          <w:b/>
          <w:bCs/>
        </w:rPr>
        <w:t xml:space="preserve">Affiliation:</w:t>
      </w:r>
      <w:r>
        <w:t xml:space="preserve"> </w:t>
      </w:r>
      <w:r>
        <w:t xml:space="preserve">SAI-Net initiative, Sri Sathya Sai Institute of Higher Learning (SSSIHL), Prasanthi Nilayam, India.</w:t>
      </w:r>
    </w:p>
    <w:p>
      <w:pPr>
        <w:pStyle w:val="BodyText"/>
      </w:pPr>
      <w:r>
        <w:rPr>
          <w:b/>
          <w:bCs/>
        </w:rPr>
        <w:t xml:space="preserve">Correspondence:</w:t>
      </w:r>
      <w:r>
        <w:t xml:space="preserve"> </w:t>
      </w:r>
      <w:r>
        <w:t xml:space="preserve">[TO BE SUPPLIED]</w:t>
      </w:r>
    </w:p>
    <w:p>
      <w:pPr>
        <w:pStyle w:val="BodyText"/>
      </w:pPr>
      <w:r>
        <w:rPr>
          <w:b/>
          <w:bCs/>
        </w:rPr>
        <w:t xml:space="preserve">Manuscript type:</w:t>
      </w:r>
      <w:r>
        <w:t xml:space="preserve"> </w:t>
      </w:r>
      <w:r>
        <w:t xml:space="preserve">NAR Web Server Issue.</w:t>
      </w:r>
    </w:p>
    <w:p>
      <w:r>
        <w:pict>
          <v:rect style="width:0;height:1.5pt" o:hralign="center" o:hrstd="t" o:hr="t"/>
        </w:pict>
      </w:r>
    </w:p>
    <w:bookmarkStart w:id="9"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54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and validated under both random and</w:t>
      </w:r>
      <w:r>
        <w:t xml:space="preserve"> </w:t>
      </w:r>
      <w:r>
        <w:t xml:space="preserve">scaffold-grouped 10-fold cross-validation: mean AUROC 0.958 and 0.925 respectively across the</w:t>
      </w:r>
      <w:r>
        <w:t xml:space="preserve"> </w:t>
      </w:r>
      <w:r>
        <w:t xml:space="preserve">measured-label classifiers,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0.949</w:t>
      </w:r>
      <w:r>
        <w:t xml:space="preserve"> </w:t>
      </w:r>
      <w:r>
        <w:t xml:space="preserve">(95% CI 0.934 to 0.961).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51 targets in the pathway graph drive more than one condition and structure alone does not</w:t>
      </w:r>
      <w:r>
        <w:t xml:space="preserve"> </w:t>
      </w:r>
      <w:r>
        <w:t xml:space="preserve">resolve which. BrainSafe AI is freely available without registration at https://huggingface.co/spaces/Krishnag999/brainsafe-ai, with source code, trained models and all validation artefacts at</w:t>
      </w:r>
      <w:r>
        <w:t xml:space="preserve"> </w:t>
      </w:r>
      <w:r>
        <w:t xml:space="preserve">https://github.com/krishna-g-999/brainsafe-ai.</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 nervous system drug discovery fails in a characteristic way. A compound can be potent at its</w:t>
      </w:r>
      <w:r>
        <w:t xml:space="preserve"> </w:t>
      </w:r>
      <w:r>
        <w:t xml:space="preserve">intended target and never reach the brain, or reach it and carry an unacceptable liability, or engage</w:t>
      </w:r>
      <w:r>
        <w:t xml:space="preserve"> </w:t>
      </w:r>
      <w:r>
        <w:t xml:space="preserve">targets nobody tested and acquire a clinical profile nobody predicted. Pharmacokinetics and the</w:t>
      </w:r>
      <w:r>
        <w:t xml:space="preserve"> </w:t>
      </w:r>
      <w:r>
        <w:t xml:space="preserve">barrier itself, rather than target affinity, account for a large share of central attrition</w:t>
      </w:r>
      <w:r>
        <w:t xml:space="preserve"> </w:t>
      </w:r>
      <w:r>
        <w:t xml:space="preserve">(4), and the quantity that governs central action is not total brain concentration but</w:t>
      </w:r>
      <w:r>
        <w:t xml:space="preserve"> </w:t>
      </w:r>
      <w:r>
        <w:t xml:space="preserve">the unbound brain-to-plasma ratio (5).</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(6)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one adversarial check fails and is reported as failing; and the server stays</w:t>
      </w:r>
      <w:r>
        <w:t xml:space="preserve"> </w:t>
      </w:r>
      <w:r>
        <w:t xml:space="preserve">silent rather than guessing on chemistry it cannot place.</w:t>
      </w:r>
    </w:p>
    <w:p>
      <w:r>
        <w:pict>
          <v:rect style="width:0;height:1.5pt" o:hralign="center" o:hrstd="t" o:hr="t"/>
        </w:pict>
      </w:r>
    </w:p>
    <w:bookmarkEnd w:id="10"/>
    <w:bookmarkStart w:id="17" w:name="materials-and-methods"/>
    <w:p>
      <w:pPr>
        <w:pStyle w:val="Heading2"/>
      </w:pPr>
      <w:r>
        <w:t xml:space="preserve">Materials and Methods</w:t>
      </w:r>
    </w:p>
    <w:bookmarkStart w:id="11"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(7), and the amyloid and tau axes (8); monoamine oxidase B (9) and LRRK2</w:t>
      </w:r>
      <w:r>
        <w:t xml:space="preserve"> </w:t>
      </w:r>
      <w:r>
        <w:t xml:space="preserve">(10)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(11); and three axes implicated across several</w:t>
      </w:r>
      <w:r>
        <w:t xml:space="preserve"> </w:t>
      </w:r>
      <w:r>
        <w:t xml:space="preserve">neurodegenerative conditions rather than tied to one, NLRP3-driven neuroinflammation</w:t>
      </w:r>
      <w:r>
        <w:t xml:space="preserve"> </w:t>
      </w:r>
      <w:r>
        <w:t xml:space="preserve">(12), KEAP1-NRF2 antioxidant signalling (13), and histone deacetylase activity,</w:t>
      </w:r>
      <w:r>
        <w:t xml:space="preserve"> </w:t>
      </w:r>
      <w:r>
        <w:t xml:space="preserve">whose genetic removal modifies pathology in Huntington’s disease models (14). Glutamatergic</w:t>
      </w:r>
      <w:r>
        <w:t xml:space="preserve"> </w:t>
      </w:r>
      <w:r>
        <w:t xml:space="preserve">targets are included on the same basis, riluzole being the long-standing approved agent acting on</w:t>
      </w:r>
      <w:r>
        <w:t xml:space="preserve"> </w:t>
      </w:r>
      <w:r>
        <w:t xml:space="preserve">that axis (15).</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(16).</w:t>
      </w:r>
      <w:r>
        <w:t xml:space="preserve"> </w:t>
      </w:r>
      <w:r>
        <w:rPr>
          <w:i/>
          <w:iCs/>
        </w:rPr>
        <w:t xml:space="preserve">Developability</w:t>
      </w:r>
      <w:r>
        <w:t xml:space="preserve"> </w:t>
      </w:r>
      <w:r>
        <w:t xml:space="preserve">is covered by the</w:t>
      </w:r>
      <w:r>
        <w:t xml:space="preserve"> </w:t>
      </w:r>
      <w:r>
        <w:t xml:space="preserve">ADME layer.</w:t>
      </w:r>
    </w:p>
    <w:bookmarkEnd w:id="11"/>
    <w:bookmarkStart w:id="12"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(17),</w:t>
      </w:r>
      <w:r>
        <w:t xml:space="preserve"> </w:t>
      </w:r>
      <w:r>
        <w:t xml:space="preserve">MoleculeNet (18), B3DB and ChEMBL. The panel holds 228,200 measured compound-endpoint</w:t>
      </w:r>
      <w:r>
        <w:t xml:space="preserve"> </w:t>
      </w:r>
      <w:r>
        <w:t xml:space="preserve">records over 169,341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387 compounds (KEAP1) to 10,276 (hERG).</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21,994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12"/>
    <w:bookmarkStart w:id="13"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(19)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For a CNS panel this exclusion needs a measured bound rather than a disclaimer. Of 228,198 training</w:t>
      </w:r>
      <w:r>
        <w:t xml:space="preserve"> </w:t>
      </w:r>
      <w:r>
        <w:t xml:space="preserve">structures, 40.8 per cent carry an assigned stereocentre, so the data could in principle support a</w:t>
      </w:r>
      <w:r>
        <w:t xml:space="preserve"> </w:t>
      </w:r>
      <w:r>
        <w:t xml:space="preserve">chirality-aware fingerprint. Where one flat skeleton appears as two or more stereoisomers measured at</w:t>
      </w:r>
      <w:r>
        <w:t xml:space="preserve"> </w:t>
      </w:r>
      <w:r>
        <w:t xml:space="preserve">the same endpoint, however, which is the only situation in which chirality has anything to resolve,</w:t>
      </w:r>
      <w:r>
        <w:t xml:space="preserve"> </w:t>
      </w:r>
      <w:r>
        <w:t xml:space="preserve">the measured labels agree in 94.6 per cent of the 8,013 such cases. Stereochemistry is therefore</w:t>
      </w:r>
      <w:r>
        <w:t xml:space="preserve"> </w:t>
      </w:r>
      <w:r>
        <w:t xml:space="preserve">mostly not what separates an active from an inactive in this data, and the share of the whole panel</w:t>
      </w:r>
      <w:r>
        <w:t xml:space="preserve"> </w:t>
      </w:r>
      <w:r>
        <w:t xml:space="preserve">where it could change a class call is 0.19 per cent. That bound is not an absolution: a quarter of</w:t>
      </w:r>
      <w:r>
        <w:t xml:space="preserve"> </w:t>
      </w:r>
      <w:r>
        <w:t xml:space="preserve">the comparable pairs differ by more than one log unit in potency, and the disagreements concentrate</w:t>
      </w:r>
      <w:r>
        <w:t xml:space="preserve"> </w:t>
      </w:r>
      <w:r>
        <w:t xml:space="preserve">where a pharmacologist would expect them, at the barrier model, BACE1, D2, OX2, the mu-opioid</w:t>
      </w:r>
      <w:r>
        <w:t xml:space="preserve"> </w:t>
      </w:r>
      <w:r>
        <w:t xml:space="preserve">receptor and CB1. Predictions are made on the flat skeleton and should be read as applying to the</w:t>
      </w:r>
      <w:r>
        <w:t xml:space="preserve"> </w:t>
      </w:r>
      <w:r>
        <w:t xml:space="preserve">racemate.</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(20),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(21), XGBoost (22) and histogram gradient boosting. On the scaffold</w:t>
      </w:r>
      <w:r>
        <w:t xml:space="preserve"> </w:t>
      </w:r>
      <w:r>
        <w:t xml:space="preserve">split the random forest leads classification at 0.9228 mean AUROC, ahead of histogram gradient</w:t>
      </w:r>
      <w:r>
        <w:t xml:space="preserve"> </w:t>
      </w:r>
      <w:r>
        <w:t xml:space="preserve">boosting (0.9160), XGBoost (0.9144), the read-across (0.8844) and logistic regression (0.8338), and</w:t>
      </w:r>
      <w:r>
        <w:t xml:space="preserve"> </w:t>
      </w:r>
      <w:r>
        <w:t xml:space="preserve">it exceeds the read-across on all thirteen endpoints. It does not lead regression: XGBoost and</w:t>
      </w:r>
      <w:r>
        <w:t xml:space="preserve"> </w:t>
      </w:r>
      <w:r>
        <w:t xml:space="preserve">histogram gradient boosting reach mean scaffold R² of 0.5453 and 0.5452 against 0.5186. A random</w:t>
      </w:r>
      <w:r>
        <w:t xml:space="preserve"> </w:t>
      </w:r>
      <w:r>
        <w:t xml:space="preserve">forest is nonetheless deployed everywhere, because it leads where the principal claims are made,</w:t>
      </w:r>
      <w:r>
        <w:t xml:space="preserve"> </w:t>
      </w:r>
      <w:r>
        <w:t xml:space="preserve">calibrates stably, supplies the vote distribution the conformal layer consumes, and needs no GPU. The</w:t>
      </w:r>
      <w:r>
        <w:t xml:space="preserve"> </w:t>
      </w:r>
      <w:r>
        <w:t xml:space="preserve">cost of that uniformity is about 0.03 R² on the potency regressions and is stated rather than left</w:t>
      </w:r>
      <w:r>
        <w:t xml:space="preserve"> </w:t>
      </w:r>
      <w:r>
        <w:t xml:space="preserve">for a reader to find.</w:t>
      </w:r>
    </w:p>
    <w:bookmarkEnd w:id="13"/>
    <w:bookmarkStart w:id="14" w:name="X6ebadc4fd089f5317e68d5759e76c72c82f11ad"/>
    <w:p>
      <w:pPr>
        <w:pStyle w:val="Heading3"/>
      </w:pPr>
      <w:r>
        <w:t xml:space="preserve">Cross-validation, calibration and uncertainty</w:t>
      </w:r>
    </w:p>
    <w:p>
      <w:pPr>
        <w:pStyle w:val="FirstParagraph"/>
      </w:pPr>
      <w:r>
        <w:t xml:space="preserve">Every endpoint is cross-validated ten-fold in two regimes: a random split, and a split grouped on</w:t>
      </w:r>
      <w:r>
        <w:t xml:space="preserve"> </w:t>
      </w:r>
      <w:r>
        <w:t xml:space="preserve">Bemis-Murcko scaffolds (23) that withholds entire structural classes. The two answer</w:t>
      </w:r>
      <w:r>
        <w:t xml:space="preserve"> </w:t>
      </w:r>
      <w:r>
        <w:t xml:space="preserve">different questions, and the distance between them is the honest statement of how far a model</w:t>
      </w:r>
      <w:r>
        <w:t xml:space="preserve"> </w:t>
      </w:r>
      <w:r>
        <w:t xml:space="preserve">travels. Across 74 cross-validated estimators, spanning 70 distinct endpoints because four</w:t>
      </w:r>
      <w:r>
        <w:t xml:space="preserve"> </w:t>
      </w:r>
      <w:r>
        <w:t xml:space="preserve">receptors carry both a potency regression and a binder classifier, this is 1,480 fitted models</w:t>
      </w:r>
      <w:r>
        <w:t xml:space="preserve"> </w:t>
      </w:r>
      <w:r>
        <w:t xml:space="preserve">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(24)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isotonic regression is fitted by five-fold</w:t>
      </w:r>
      <w:r>
        <w:t xml:space="preserve"> </w:t>
      </w:r>
      <w:r>
        <w:rPr>
          <w:rStyle w:val="VerbatimChar"/>
        </w:rPr>
        <w:t xml:space="preserve">cross_val_predict</w:t>
      </w:r>
      <w:r>
        <w:t xml:space="preserve"> </w:t>
      </w:r>
      <w:r>
        <w:t xml:space="preserve">over the pooled out-of-fold</w:t>
      </w:r>
      <w:r>
        <w:t xml:space="preserve"> </w:t>
      </w:r>
      <w:r>
        <w:t xml:space="preserve">prediction vector. Fitting it instead on the other nine folds’ out-of-fold predictions, an equally</w:t>
      </w:r>
      <w:r>
        <w:t xml:space="preserve"> </w:t>
      </w:r>
      <w:r>
        <w:t xml:space="preserve">defensible nesting, gives 0.0063 on the same data. Both are honest estimates of different</w:t>
      </w:r>
      <w:r>
        <w:t xml:space="preserve"> </w:t>
      </w:r>
      <w:r>
        <w:t xml:space="preserve">estimators, and the difference is larger than any of the calibration gains it might be used to</w:t>
      </w:r>
      <w:r>
        <w:t xml:space="preserve"> </w:t>
      </w:r>
      <w:r>
        <w:t xml:space="preserve">compare, so the protocol is reported rather than the number alone. Each prediction additionally</w:t>
      </w:r>
      <w:r>
        <w:t xml:space="preserve"> </w:t>
      </w:r>
      <w:r>
        <w:t xml:space="preserve">carries a Mondrian conformal interval, which converts the</w:t>
      </w:r>
      <w:r>
        <w:t xml:space="preserve"> </w:t>
      </w:r>
      <w:r>
        <w:t xml:space="preserve">applicability domain from a caveat into a coverage statement (25): empirical coverage is</w:t>
      </w:r>
      <w:r>
        <w:t xml:space="preserve"> </w:t>
      </w:r>
      <w:r>
        <w:t xml:space="preserve">0.889 to 0.921 against a 0.90 target. The applicability domain itself is the maximum ECFP-4 Tanimoto</w:t>
      </w:r>
      <w:r>
        <w:t xml:space="preserve"> </w:t>
      </w:r>
      <w:r>
        <w:t xml:space="preserve">similarity of the query to that endpoint’s own measured chemistry (26), reported with the</w:t>
      </w:r>
      <w:r>
        <w:t xml:space="preserve"> </w:t>
      </w:r>
      <w:r>
        <w:t xml:space="preserve">nearest measured analogue and its structure.</w:t>
      </w:r>
    </w:p>
    <w:bookmarkEnd w:id="14"/>
    <w:bookmarkStart w:id="15"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(27) with Tanimoto below 0.35 to any positive. Binder classifiers use</w:t>
      </w:r>
      <w:r>
        <w:t xml:space="preserve"> </w:t>
      </w:r>
      <w:r>
        <w:t xml:space="preserve">sigmoid calibration (28),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0.0259 across the 43 deployed endpoints</w:t>
      </w:r>
      <w:r>
        <w:t xml:space="preserve"> </w:t>
      </w:r>
      <w:r>
        <w:t xml:space="preserve">that carry one, and reaches 0.0621, exceeding its 0.05 target for four endpoints, which under the</w:t>
      </w:r>
      <w:r>
        <w:t xml:space="preserve"> </w:t>
      </w:r>
      <w:r>
        <w:t xml:space="preserve">previous procedure was arithmetically impossible. That the number can now disagree with its target is the evidence that it is a measurement.</w:t>
      </w:r>
    </w:p>
    <w:bookmarkEnd w:id="15"/>
    <w:bookmarkStart w:id="16"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(29), the Reactome KEAP1-NFE2L2 oxidative</w:t>
      </w:r>
      <w:r>
        <w:t xml:space="preserve"> </w:t>
      </w:r>
      <w:r>
        <w:t xml:space="preserve">stress response (30) and IUPHAR/BPS Guide to Pharmacology associations (31).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(32) and RDKit (33),</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16"/>
    <w:bookmarkEnd w:id="17"/>
    <w:bookmarkStart w:id="24"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18"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0.898 on actives withheld by</w:t>
      </w:r>
      <w:r>
        <w:t xml:space="preserve"> </w:t>
      </w:r>
      <w:r>
        <w:t xml:space="preserve">scaffold, at thresholds constrained simultaneously by held-out measured inactives and by the</w:t>
      </w:r>
      <w:r>
        <w:t xml:space="preserve"> </w:t>
      </w:r>
      <w:r>
        <w:t xml:space="preserve">false-positive rate on a disjoint pool of unrelated chemistry. Five are withdrawn: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 Measured on that disjoint pool the background</w:t>
      </w:r>
      <w:r>
        <w:t xml:space="preserve"> </w:t>
      </w:r>
      <w:r>
        <w:t xml:space="preserve">false-positive rate has a median of 0.0259.</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(34), which is exact for a random forest rather than an approximation, recover</w:t>
      </w:r>
      <w:r>
        <w:t xml:space="preserve"> </w:t>
      </w:r>
      <w:r>
        <w:t xml:space="preserve">known physicochemistry that was never supplied to the models. For the barrier model, larger TPSA,</w:t>
      </w:r>
      <w:r>
        <w:t xml:space="preserve"> </w:t>
      </w:r>
      <w:r>
        <w:t xml:space="preserve">molecular weight and hydrogen-bond donor count all push away from penetration (Spearman correlation</w:t>
      </w:r>
      <w:r>
        <w:t xml:space="preserve"> </w:t>
      </w:r>
      <w:r>
        <w:t xml:space="preserve">between feature value and SHAP value of -0.93, -0.95 and -0.90) while drug-likeness pushes towards it</w:t>
      </w:r>
      <w:r>
        <w:t xml:space="preserve"> </w:t>
      </w:r>
      <w:r>
        <w:t xml:space="preserve">(+0.93); for hERG, lipophilicity pushes towards blockade (+0.95).</w:t>
      </w:r>
    </w:p>
    <w:p>
      <w:pPr>
        <w:pStyle w:val="BodyText"/>
      </w:pPr>
      <w:r>
        <w:t xml:space="preserve">An independent reproduction re-ran the entire cross-validation from the endpoint tables and scored it</w:t>
      </w:r>
      <w:r>
        <w:t xml:space="preserve"> </w:t>
      </w:r>
      <w:r>
        <w:t xml:space="preserve">with separately written metric code. All 26 core values reproduced exactly, with a maximum deviation</w:t>
      </w:r>
      <w:r>
        <w:t xml:space="preserve"> </w:t>
      </w:r>
      <w:r>
        <w:t xml:space="preserve">of 4.7 x 10⁻⁵, attributable to rounding in the stored summary.</w:t>
      </w:r>
    </w:p>
    <w:bookmarkEnd w:id="18"/>
    <w:bookmarkStart w:id="19"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table the feature-vector overlap reaches 544, which is precisely what deduplication</w:t>
      </w:r>
      <w:r>
        <w:t xml:space="preserve"> </w:t>
      </w:r>
      <w:r>
        <w:t xml:space="preserve">removes.</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0.4938 (random) and 0.4921 (scaffold), with a worst single endpoint of 0.5174. Whole scaffold classes</w:t>
      </w:r>
      <w:r>
        <w:t xml:space="preserve"> </w:t>
      </w:r>
      <w:r>
        <w:t xml:space="preserve">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0.793 on the 241 that are also distinguishable from the</w:t>
      </w:r>
      <w:r>
        <w:t xml:space="preserve"> </w:t>
      </w:r>
      <w:r>
        <w:t xml:space="preserve">training set in feature space, which is the subset that supports an external claim (Figure 3C). The</w:t>
      </w:r>
      <w:r>
        <w:t xml:space="preserve"> </w:t>
      </w:r>
      <w:r>
        <w:t xml:space="preserve">65 excluded by that second criterion are feature-identical to a training compound and score 0.710,</w:t>
      </w:r>
      <w:r>
        <w:t xml:space="preserve"> </w:t>
      </w:r>
      <w:r>
        <w:t xml:space="preserve">which is the size of the memorisation the first figure contains.</w:t>
      </w:r>
    </w:p>
    <w:p>
      <w:pPr>
        <w:pStyle w:val="BodyText"/>
      </w:pPr>
      <w:r>
        <w:t xml:space="preserve">For the target panel no external set of comparable size exists, because for most of these targets the</w:t>
      </w:r>
      <w:r>
        <w:t xml:space="preserve"> </w:t>
      </w:r>
      <w:r>
        <w:t xml:space="preserve">public measured chemistry</w:t>
      </w:r>
      <w:r>
        <w:t xml:space="preserve"> </w:t>
      </w:r>
      <w:r>
        <w:rPr>
          <w:i/>
          <w:iCs/>
        </w:rPr>
        <w:t xml:space="preserve">is</w:t>
      </w:r>
      <w:r>
        <w:t xml:space="preserve"> </w:t>
      </w:r>
      <w:r>
        <w:t xml:space="preserve">the training set. Two kinds of independence were therefore constructed</w:t>
      </w:r>
      <w:r>
        <w:t xml:space="preserve"> </w:t>
      </w:r>
      <w:r>
        <w:t xml:space="preserve">from the data that does exist, with every model refitted rather than scored, since the deployed models</w:t>
      </w:r>
      <w:r>
        <w:t xml:space="preserve"> </w:t>
      </w:r>
      <w:r>
        <w:t xml:space="preserve">were fitted on all of it (Figure 5).</w:t>
      </w:r>
      <w:r>
        <w:t xml:space="preserve"> </w:t>
      </w:r>
      <w:r>
        <w:rPr>
          <w:b/>
          <w:bCs/>
        </w:rPr>
        <w:t xml:space="preserve">By date:</w:t>
      </w:r>
      <w:r>
        <w:t xml:space="preserve"> </w:t>
      </w:r>
      <w:r>
        <w:t xml:space="preserve">each endpoint was refitted on its pre-cutoff rows</w:t>
      </w:r>
      <w:r>
        <w:t xml:space="preserve"> </w:t>
      </w:r>
      <w:r>
        <w:t xml:space="preserve">alone, with its decision threshold also frozen before the cutoff, and tested on compounds first</w:t>
      </w:r>
      <w:r>
        <w:t xml:space="preserve"> </w:t>
      </w:r>
      <w:r>
        <w:t xml:space="preserve">published afterwards; 39 of the 47 deployed endpoints carry enough dated chemistry on both sides of</w:t>
      </w:r>
      <w:r>
        <w:t xml:space="preserve"> </w:t>
      </w:r>
      <w:r>
        <w:t xml:space="preserve">the wall, giving 45,244 test compounds. Each was refitted a second time on a size-matched random</w:t>
      </w:r>
      <w:r>
        <w:t xml:space="preserve"> </w:t>
      </w:r>
      <w:r>
        <w:t xml:space="preserve">split, because a time split trains on less data as well as none of the future.</w:t>
      </w:r>
      <w:r>
        <w:t xml:space="preserve"> </w:t>
      </w:r>
      <w:r>
        <w:rPr>
          <w:b/>
          <w:bCs/>
        </w:rPr>
        <w:t xml:space="preserve">By curator:</w:t>
      </w:r>
      <w:r>
        <w:t xml:space="preserve"> </w:t>
      </w:r>
      <w:r>
        <w:t xml:space="preserve">compounds deposited in BindingDB and absent from ChEMBL were withheld entirely and the panel refitted</w:t>
      </w:r>
      <w:r>
        <w:t xml:space="preserve"> </w:t>
      </w:r>
      <w:r>
        <w:t xml:space="preserve">on the ChEMBL side, which is available for three endpoints at 1,303 actives.</w:t>
      </w:r>
    </w:p>
    <w:p>
      <w:pPr>
        <w:pStyle w:val="BodyText"/>
      </w:pPr>
      <w:r>
        <w:t xml:space="preserve">Read in aggregate the time split looks like prospective decay: mean AUROC 0.823 against 0.951 for the</w:t>
      </w:r>
      <w:r>
        <w:t xml:space="preserve"> </w:t>
      </w:r>
      <w:r>
        <w:t xml:space="preserve">size-matched random control, and mean sensitivity 0.489 against 0.872. It is not decay. The</w:t>
      </w:r>
      <w:r>
        <w:t xml:space="preserve"> </w:t>
      </w:r>
      <w:r>
        <w:t xml:space="preserve">false-positive rate on background chemistry is unchanged (0.037 against 0.038), and the gap closes</w:t>
      </w:r>
      <w:r>
        <w:t xml:space="preserve"> </w:t>
      </w:r>
      <w:r>
        <w:t xml:space="preserve">once test compounds are stratified by maximum Tanimoto similarity to the training actives. A random</w:t>
      </w:r>
      <w:r>
        <w:t xml:space="preserve"> </w:t>
      </w:r>
      <w:r>
        <w:t xml:space="preserve">split of medicinal-chemistry data holds out 83 per cent close analogues of its own training set,</w:t>
      </w:r>
      <w:r>
        <w:t xml:space="preserve"> </w:t>
      </w:r>
      <w:r>
        <w:t xml:space="preserve">because the published record is series; a time split holds out 28 per cent chemistry below Tanimoto</w:t>
      </w:r>
      <w:r>
        <w:t xml:space="preserve"> </w:t>
      </w:r>
      <w:r>
        <w:t xml:space="preserve">0.40. Within a novelty band the two splits differ by at most 0.081 in AUROC and 0.071 in recall</w:t>
      </w:r>
      <w:r>
        <w:t xml:space="preserve"> </w:t>
      </w:r>
      <w:r>
        <w:t xml:space="preserve">against aggregate gaps of 0.128 and 0.383. Three test sets built by unrelated rules, withheld by</w:t>
      </w:r>
      <w:r>
        <w:t xml:space="preserve"> </w:t>
      </w:r>
      <w:r>
        <w:t xml:space="preserve">date, at random, and by curator, trace one recall curve: 0.16, 0.55, 0.74 and 0.86 by date across the</w:t>
      </w:r>
      <w:r>
        <w:t xml:space="preserve"> </w:t>
      </w:r>
      <w:r>
        <w:t xml:space="preserve">four bands, against 0.12, 0.52, 0.77 and 0.93 at random and 0.05, 0.46, 0.83 and 0.90 by curator</w:t>
      </w:r>
      <w:r>
        <w:t xml:space="preserve"> </w:t>
      </w:r>
      <w:r>
        <w:t xml:space="preserve">(Figure 5D).</w:t>
      </w:r>
    </w:p>
    <w:p>
      <w:pPr>
        <w:pStyle w:val="BodyText"/>
      </w:pPr>
      <w:r>
        <w:t xml:space="preserve">Recall is therefore a function of chemical distance rather than of publication date, which has three</w:t>
      </w:r>
      <w:r>
        <w:t xml:space="preserve"> </w:t>
      </w:r>
      <w:r>
        <w:t xml:space="preserve">consequences. The reported scores do not expire. The deployed sensitivity describes a held-out</w:t>
      </w:r>
      <w:r>
        <w:t xml:space="preserve"> </w:t>
      </w:r>
      <w:r>
        <w:t xml:space="preserve">population that is mostly close analogues, so it overstates what a novel scaffold should expect. And</w:t>
      </w:r>
      <w:r>
        <w:t xml:space="preserve"> </w:t>
      </w:r>
      <w:r>
        <w:t xml:space="preserve">the expected recall for a submitted compound is knowable at query time from a quantity the server</w:t>
      </w:r>
      <w:r>
        <w:t xml:space="preserve"> </w:t>
      </w:r>
      <w:r>
        <w:t xml:space="preserve">already computes and displays, which is how the interface now reports it. On genuinely distant</w:t>
      </w:r>
      <w:r>
        <w:t xml:space="preserve"> </w:t>
      </w:r>
      <w:r>
        <w:t xml:space="preserve">chemistry that expectation is poor in absolute terms, near 0.16, and the finding is that the poor</w:t>
      </w:r>
      <w:r>
        <w:t xml:space="preserve"> </w:t>
      </w:r>
      <w:r>
        <w:t xml:space="preserve">number is predictable rather than that it is better than it appeared.</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949 returned no actionable disease signal, a specificity of</w:t>
      </w:r>
      <w:r>
        <w:t xml:space="preserve"> </w:t>
      </w:r>
      <w:r>
        <w:t xml:space="preserve">0.949 (95% CI 0.934 to 0.961). Of the 51 false positives, 28 fired on a single condition rather than</w:t>
      </w:r>
      <w:r>
        <w:t xml:space="preserve"> </w:t>
      </w:r>
      <w:r>
        <w:t xml:space="preserve">producing a diffuse profile, and the median score among them was 0.448,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and all six pass, including</w:t>
      </w:r>
      <w:r>
        <w:t xml:space="preserve"> </w:t>
      </w:r>
      <w:r>
        <w:t xml:space="preserve">exact reproducibility of a retrained endpoint. The domain-flag check initially failed and passes only</w:t>
      </w:r>
      <w:r>
        <w:t xml:space="preserve"> </w:t>
      </w:r>
      <w:r>
        <w:t xml:space="preserve">after its control set was corrected: 28 of the original controls are measured compounds inside the</w:t>
      </w:r>
      <w:r>
        <w:t xml:space="preserve"> </w:t>
      </w:r>
      <w:r>
        <w:t xml:space="preserve">flag’s own reference library, where calling them in domain is the truthful answer rather than a</w:t>
      </w:r>
      <w:r>
        <w:t xml:space="preserve"> </w:t>
      </w:r>
      <w:r>
        <w:t xml:space="preserve">failure. The passing criterion was not moved. Against chemistry genuinely absent from the reference</w:t>
      </w:r>
      <w:r>
        <w:t xml:space="preserve"> </w:t>
      </w:r>
      <w:r>
        <w:t xml:space="preserve">the flag separates at median maximum similarity 0.47 against 0.59 for unseen drugs (n = 25,</w:t>
      </w:r>
      <w:r>
        <w:t xml:space="preserve"> </w:t>
      </w:r>
      <w:r>
        <w:t xml:space="preserve">p = 1.1e-03), which is a weak signal and is described as one.</w:t>
      </w:r>
    </w:p>
    <w:p>
      <w:pPr>
        <w:pStyle w:val="BodyText"/>
      </w:pPr>
      <w:r>
        <w:rPr>
          <w:b/>
          <w:bCs/>
        </w:rPr>
        <w:t xml:space="preserve">Attribution.</w:t>
      </w:r>
      <w:r>
        <w:t xml:space="preserve"> </w:t>
      </w:r>
      <w:r>
        <w:t xml:space="preserve">SHAP attributions computed with TreeExplainer (34),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-0.95 and -0.90) while drug-likeness pushes towards it (+0.93); for hERG,</w:t>
      </w:r>
      <w:r>
        <w:t xml:space="preserve"> </w:t>
      </w:r>
      <w:r>
        <w:t xml:space="preserve">lipophilicity pushes towards blockade (+0.95). These directions were not supplied to the models.</w:t>
      </w:r>
    </w:p>
    <w:bookmarkEnd w:id="19"/>
    <w:bookmarkStart w:id="20"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(6), which addresses exposure only, BrainSafe AI</w:t>
      </w:r>
      <w:r>
        <w:t xml:space="preserve"> </w:t>
      </w:r>
      <w:r>
        <w:t xml:space="preserve">adds mechanism and liability but is not a replacement for expert medicinal-chemistry judgement on</w:t>
      </w:r>
      <w:r>
        <w:t xml:space="preserve"> </w:t>
      </w:r>
      <w:r>
        <w:t xml:space="preserve">either axis. Against single-endpoint QSAR servers, the difference is the gating: a target score here</w:t>
      </w:r>
      <w:r>
        <w:t xml:space="preserve"> </w:t>
      </w:r>
      <w:r>
        <w:t xml:space="preserve">is admitted only in proportion to predicted exposure, so a potent binder that does not reach the</w:t>
      </w:r>
      <w:r>
        <w:t xml:space="preserve"> </w:t>
      </w:r>
      <w:r>
        <w:t xml:space="preserve">brain is reported as such rather than as a hit. We are not aware of another freely available server</w:t>
      </w:r>
      <w:r>
        <w:t xml:space="preserve"> </w:t>
      </w:r>
      <w:r>
        <w:t xml:space="preserve">that returns exposure-gated, calibrated, mechanism-resolved profiles across this many CNS endpoints</w:t>
      </w:r>
      <w:r>
        <w:t xml:space="preserve"> </w:t>
      </w:r>
      <w:r>
        <w:t xml:space="preserve">with an explicit applicability-domain statement on every value.</w:t>
      </w:r>
    </w:p>
    <w:bookmarkEnd w:id="20"/>
    <w:bookmarkStart w:id="21"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0.95; morphine returns the mu-opioid receptor and chronic pain at 0.99;</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21"/>
    <w:bookmarkStart w:id="22"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0.790 against a</w:t>
      </w:r>
      <w:r>
        <w:t xml:space="preserve"> </w:t>
      </w:r>
      <w:r>
        <w:t xml:space="preserve">permutation null of 0.154.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Top-k accuracy is, however, the metric on which a constant answer is strongest, and it is worth</w:t>
      </w:r>
      <w:r>
        <w:t xml:space="preserve"> </w:t>
      </w:r>
      <w:r>
        <w:t xml:space="preserve">recording what the layer does on two metrics a constant answer cannot pass. Per-indication AUROC asks</w:t>
      </w:r>
      <w:r>
        <w:t xml:space="preserve"> </w:t>
      </w:r>
      <w:r>
        <w:t xml:space="preserve">whether the drugs that treat a condition score above the drugs that do not, and any constant</w:t>
      </w:r>
      <w:r>
        <w:t xml:space="preserve"> </w:t>
      </w:r>
      <w:r>
        <w:t xml:space="preserve">predictor scores 0.500 by construction; over the nine indications carrying at least five of these</w:t>
      </w:r>
      <w:r>
        <w:t xml:space="preserve"> </w:t>
      </w:r>
      <w:r>
        <w:t xml:space="preserve">drugs the layer averages 0.603 and beats chance on seven. Macro-averaged top-3 recall, which averages</w:t>
      </w:r>
      <w:r>
        <w:t xml:space="preserve"> </w:t>
      </w:r>
      <w:r>
        <w:t xml:space="preserve">per indication rather than pooling and so cannot be carried by naming the common conditions, is 0.385</w:t>
      </w:r>
      <w:r>
        <w:t xml:space="preserve"> </w:t>
      </w:r>
      <w:r>
        <w:t xml:space="preserve">against 0.333. The spread is wide and is the substance of the result: depression and anxiety reach</w:t>
      </w:r>
      <w:r>
        <w:t xml:space="preserve"> </w:t>
      </w:r>
      <w:r>
        <w:t xml:space="preserve">0.794 and psychosis 0.765, while epilepsy at 0.490 and sleep at 0.499 sit at or just below chance. The layer therefore does respond to</w:t>
      </w:r>
      <w:r>
        <w:t xml:space="preserve"> </w:t>
      </w:r>
      <w:r>
        <w:t xml:space="preserve">the compound, decisively for some conditions and not at all for others, which is why it is offered as</w:t>
      </w:r>
      <w:r>
        <w:t xml:space="preserve"> </w:t>
      </w:r>
      <w:r>
        <w:t xml:space="preserve">a route from mechanism to condition and not as an indication prediction.</w:t>
      </w:r>
    </w:p>
    <w:p>
      <w:pPr>
        <w:pStyle w:val="BodyText"/>
      </w:pPr>
      <w:r>
        <w:t xml:space="preserve">The reason is structural rather than a deficiency of fitting, and it is visible in the graph: 27 of</w:t>
      </w:r>
      <w:r>
        <w:t xml:space="preserve"> </w:t>
      </w:r>
      <w:r>
        <w:t xml:space="preserve">the 51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22"/>
    <w:bookmarkStart w:id="23"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0.790 against a</w:t>
      </w:r>
      <w:r>
        <w:t xml:space="preserve"> </w:t>
      </w:r>
      <w:r>
        <w:t xml:space="preserve">permutation null of 0.163. Its curated edge weights do not: uniform and randomly permuted weights</w:t>
      </w:r>
      <w:r>
        <w:t xml:space="preserve"> </w:t>
      </w:r>
      <w:r>
        <w:t xml:space="preserve">score 0.7897 and 0.7874 against 0.7901,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23"/>
    <w:bookmarkEnd w:id="24"/>
    <w:bookmarkStart w:id="25"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Five limitations bound its use. The applicability-domain flag is a weak signal rather than a</w:t>
      </w:r>
      <w:r>
        <w:t xml:space="preserve"> </w:t>
      </w:r>
      <w:r>
        <w:t xml:space="preserve">decisive one: against chemistry genuinely absent from the reference library it scores a median</w:t>
      </w:r>
      <w:r>
        <w:t xml:space="preserve"> </w:t>
      </w:r>
      <w:r>
        <w:t xml:space="preserve">maximum similarity of 0.47 against 0.59 for unseen approved drugs (n = 25, one-sided Mann-Whitney</w:t>
      </w:r>
      <w:r>
        <w:t xml:space="preserve"> </w:t>
      </w:r>
      <w:r>
        <w:t xml:space="preserve">p = 1.1e-03), but at a threshold that rejects a tenth of genuine drugs it catches only a fifth of</w:t>
      </w:r>
      <w:r>
        <w:t xml:space="preserve"> </w:t>
      </w:r>
      <w:r>
        <w:t xml:space="preserve">distant chemistry. The conformal interval and the nearest-analogue distance remain the stronger</w:t>
      </w:r>
      <w:r>
        <w:t xml:space="preserve"> </w:t>
      </w:r>
      <w:r>
        <w:t xml:space="preserve">statements of confidence and the interface presents them as such. What the flag does predict well is</w:t>
      </w:r>
      <w:r>
        <w:t xml:space="preserve"> </w:t>
      </w:r>
      <w:r>
        <w:t xml:space="preserve">sensitivity: the distance it measures is the variable that recall tracks, so it is best read as a</w:t>
      </w:r>
      <w:r>
        <w:t xml:space="preserve"> </w:t>
      </w:r>
      <w:r>
        <w:t xml:space="preserve">statement about how likely the panel is to miss a real activity rather than about whether an answer</w:t>
      </w:r>
      <w:r>
        <w:t xml:space="preserve"> </w:t>
      </w:r>
      <w:r>
        <w:t xml:space="preserve">can be trusted.</w:t>
      </w:r>
    </w:p>
    <w:p>
      <w:pPr>
        <w:pStyle w:val="BodyText"/>
      </w:pPr>
      <w:r>
        <w:t xml:space="preserve">The second is the size of that effect. On chemistry more than a Tanimoto of 0.40 from anything the</w:t>
      </w:r>
      <w:r>
        <w:t xml:space="preserve"> </w:t>
      </w:r>
      <w:r>
        <w:t xml:space="preserve">panel has measured, recall at the deployed operating point is near 0.16, and no analysis here</w:t>
      </w:r>
      <w:r>
        <w:t xml:space="preserve"> </w:t>
      </w:r>
      <w:r>
        <w:t xml:space="preserve">improves it; what the prospective work establishes is that the figure is predictable, not that it is</w:t>
      </w:r>
      <w:r>
        <w:t xml:space="preserve"> </w:t>
      </w:r>
      <w:r>
        <w:t xml:space="preserve">better than it looked. A negative result on a novel scaffold is close to uninformative, which is why</w:t>
      </w:r>
      <w:r>
        <w:t xml:space="preserve"> </w:t>
      </w:r>
      <w:r>
        <w:t xml:space="preserve">the server now reports the expected recall beside it.</w:t>
      </w:r>
    </w:p>
    <w:p>
      <w:pPr>
        <w:pStyle w:val="BodyText"/>
      </w:pPr>
      <w:r>
        <w:t xml:space="preserve">The third is that the specificity estimate rests on compounds presumed inactive because nothing is</w:t>
      </w:r>
      <w:r>
        <w:t xml:space="preserve"> </w:t>
      </w:r>
      <w:r>
        <w:t xml:space="preserve">recorded about them, drawn from within the reference library, so it does not bound behaviour on</w:t>
      </w:r>
      <w:r>
        <w:t xml:space="preserve"> </w:t>
      </w:r>
      <w:r>
        <w:t xml:space="preserve">genuinely distant chemistry.</w:t>
      </w:r>
    </w:p>
    <w:p>
      <w:pPr>
        <w:pStyle w:val="BodyText"/>
      </w:pPr>
      <w:r>
        <w:t xml:space="preserve">The fourth is natural-product chemistry, and it is stated here because a reader will reasonably ask.</w:t>
      </w:r>
      <w:r>
        <w:t xml:space="preserve"> </w:t>
      </w:r>
      <w:r>
        <w:t xml:space="preserve">The training library has a median fraction-sp3 of 0.34 and only 9.2 per cent of it is both</w:t>
      </w:r>
      <w:r>
        <w:t xml:space="preserve"> </w:t>
      </w:r>
      <w:r>
        <w:t xml:space="preserve">sp3-rich and free of aromatic rings, so terpenoid and steroidal natural products are largely outside it: a</w:t>
      </w:r>
      <w:r>
        <w:t xml:space="preserve"> </w:t>
      </w:r>
      <w:r>
        <w:t xml:space="preserve">withanolide submitted to the server returns a maximum Tanimoto of 0.31 and no engagement call, with</w:t>
      </w:r>
      <w:r>
        <w:t xml:space="preserve"> </w:t>
      </w:r>
      <w:r>
        <w:t xml:space="preserve">a bile acid as its nearest measured neighbour. Measured activity for such 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0.719, 0.711 and 0.596 for NRF2, NFKB1 and NR3C1. But the fold-to-fold standard deviations are</w:t>
      </w:r>
      <w:r>
        <w:t xml:space="preserve"> </w:t>
      </w:r>
      <w:r>
        <w:t xml:space="preserve">0.157, 0.151 and 0.152, so that signal is not stable, and it does not survive the step that makes an</w:t>
      </w:r>
      <w:r>
        <w:t xml:space="preserve"> </w:t>
      </w:r>
      <w:r>
        <w:t xml:space="preserve">endpoint deployable. Against their own held-out measured inactives they reach AUROC 0.539, 0.392 and</w:t>
      </w:r>
      <w:r>
        <w:t xml:space="preserve"> </w:t>
      </w:r>
      <w:r>
        <w:t xml:space="preserve">0.479, and at a threshold constrained to control the false-positive rate on the disjoint background</w:t>
      </w:r>
      <w:r>
        <w:t xml:space="preserve"> </w:t>
      </w:r>
      <w:r>
        <w:t xml:space="preserve">pool they recover almost no actives at all: sensitivity 0.250, 0.048 and 0.000. An endpoint that</w:t>
      </w:r>
      <w:r>
        <w:t xml:space="preserve"> </w:t>
      </w:r>
      <w:r>
        <w:t xml:space="preserve">cannot be given a threshold that finds actives without firing on everything else is not usable,</w:t>
      </w:r>
      <w:r>
        <w:t xml:space="preserve"> </w:t>
      </w:r>
      <w:r>
        <w:t xml:space="preserve">whatever its cross-validated AUROC. The cause is visible in what the</w:t>
      </w:r>
      <w:r>
        <w:t xml:space="preserve"> </w:t>
      </w:r>
      <w:r>
        <w:t xml:space="preserve">labels are made of. A binder classifier is fitted to reproduce a direct binding constant, and</w:t>
      </w:r>
      <w:r>
        <w:t xml:space="preserve"> </w:t>
      </w:r>
      <w:r>
        <w:t xml:space="preserve">for two of these three there is essentially none: of the labelled records, Ki or Kd accounts for</w:t>
      </w:r>
      <w:r>
        <w:t xml:space="preserve"> </w:t>
      </w:r>
      <w:r>
        <w:t xml:space="preserve">0.0 per cent at NRF2, 0.3 per cent at NFKB1 and 14.8 per cent at NR3C1, the remainder being</w:t>
      </w:r>
      <w:r>
        <w:t xml:space="preserve"> </w:t>
      </w:r>
      <w:r>
        <w:t xml:space="preserve">almost entirely</w:t>
      </w:r>
      <w:r>
        <w:t xml:space="preserve"> </w:t>
      </w:r>
      <w:r>
        <w:rPr>
          <w:rStyle w:val="VerbatimChar"/>
        </w:rPr>
        <w:t xml:space="preserve">Potency</w:t>
      </w:r>
      <w:r>
        <w:t xml:space="preserve">, a pooled functional readout that mixes assay formats and does not</w:t>
      </w:r>
      <w:r>
        <w:t xml:space="preserve"> </w:t>
      </w:r>
      <w:r>
        <w:t xml:space="preserve">define a binding class a ligand fingerprint can separate. NR3C1, the one with real binding data,</w:t>
      </w:r>
      <w:r>
        <w:t xml:space="preserve"> </w:t>
      </w:r>
      <w:r>
        <w:t xml:space="preserve">is also the one with too few compounds to fit. The gap is therefore not one that adding targets</w:t>
      </w:r>
      <w:r>
        <w:t xml:space="preserve"> </w:t>
      </w:r>
      <w:r>
        <w:t xml:space="preserve">closes. It requires measured binding affinity on sp3-rich scaffolds, which is what does not</w:t>
      </w:r>
      <w:r>
        <w:t xml:space="preserve"> </w:t>
      </w:r>
      <w:r>
        <w:t xml:space="preserve">exist.</w:t>
      </w:r>
    </w:p>
    <w:p>
      <w:pPr>
        <w:pStyle w:val="BodyText"/>
      </w:pPr>
      <w:r>
        <w:t xml:space="preserve">The fifth is the disease layer, and it is a limit of the question rather than of the fitting. Clinical</w:t>
      </w:r>
      <w:r>
        <w:t xml:space="preserve"> </w:t>
      </w:r>
      <w:r>
        <w:t xml:space="preserve">indication is not a function of structure: 27 of the 51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25"/>
    <w:bookmarkStart w:id="26" w:name="data-availability"/>
    <w:p>
      <w:pPr>
        <w:pStyle w:val="Heading2"/>
      </w:pPr>
      <w:r>
        <w:t xml:space="preserve">Data availability</w:t>
      </w:r>
    </w:p>
    <w:p>
      <w:pPr>
        <w:pStyle w:val="FirstParagraph"/>
      </w:pPr>
      <w:r>
        <w:t xml:space="preserve">All code, the curated knowledge graph, per-fold validation artefacts, the independent reproduction</w:t>
      </w:r>
      <w:r>
        <w:t xml:space="preserve"> </w:t>
      </w:r>
      <w:r>
        <w:t xml:space="preserve">and the scripts that regenerate every table and figure are at</w:t>
      </w:r>
      <w:r>
        <w:t xml:space="preserve"> </w:t>
      </w:r>
      <w:r>
        <w:t xml:space="preserve">https://github.com/krishna-g-999/brainsafe-ai under the MIT licence. Trained estimators and the raw</w:t>
      </w:r>
      <w:r>
        <w:t xml:space="preserve"> </w:t>
      </w:r>
      <w:r>
        <w:t xml:space="preserve">API responses are deposited separately, each with a committed manifest recording the SHA-256 of the</w:t>
      </w:r>
      <w:r>
        <w:t xml:space="preserve"> </w:t>
      </w:r>
      <w:r>
        <w:t xml:space="preserve">archive and of every file inside it, so a download is verified rather than trusted.</w:t>
      </w:r>
    </w:p>
    <w:p>
      <w:pPr>
        <w:pStyle w:val="BodyText"/>
      </w:pPr>
      <w:r>
        <w:rPr>
          <w:b/>
          <w:bCs/>
        </w:rPr>
        <w:t xml:space="preserve">[TO BE SUPPLIED BEFORE SUBMISSION]</w:t>
      </w:r>
      <w:r>
        <w:t xml:space="preserve"> </w:t>
      </w:r>
      <w:r>
        <w:t xml:space="preserve">the public server URL (required in the abstract by NAR), the</w:t>
      </w:r>
      <w:r>
        <w:t xml:space="preserve"> </w:t>
      </w:r>
      <w:r>
        <w:t xml:space="preserve">deposit DOI, the author list, the corresponding address, and the funding statement. Every other value</w:t>
      </w:r>
      <w:r>
        <w:t xml:space="preserve"> </w:t>
      </w:r>
      <w:r>
        <w:t xml:space="preserve">in this manuscript is computed from an artefact in the repository.</w:t>
      </w:r>
    </w:p>
    <w:bookmarkEnd w:id="26"/>
    <w:bookmarkStart w:id="27" w:name="funding"/>
    <w:p>
      <w:pPr>
        <w:pStyle w:val="Heading2"/>
      </w:pPr>
      <w:r>
        <w:t xml:space="preserve">Funding</w:t>
      </w:r>
    </w:p>
    <w:p>
      <w:pPr>
        <w:pStyle w:val="FirstParagraph"/>
      </w:pPr>
      <w:r>
        <w:t xml:space="preserve">[TO BE SUPPLIED]</w:t>
      </w:r>
    </w:p>
    <w:bookmarkEnd w:id="27"/>
    <w:bookmarkStart w:id="28"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28"/>
    <w:bookmarkStart w:id="44" w:name="figure-legends"/>
    <w:p>
      <w:pPr>
        <w:pStyle w:val="Heading2"/>
      </w:pPr>
      <w:r>
        <w:t xml:space="preserve">Figure legends</w:t>
      </w:r>
    </w:p>
    <w:p>
      <w:pPr>
        <w:pStyle w:val="CaptionedFigure"/>
      </w:pPr>
      <w:r>
        <w:drawing>
          <wp:inline>
            <wp:extent cx="5334000" cy="4471716"/>
            <wp:effectExtent b="0" l="0" r="0" t="0"/>
            <wp:docPr descr="Figure 1" title="" id="30" name="Picture"/>
            <a:graphic>
              <a:graphicData uri="http://schemas.openxmlformats.org/drawingml/2006/picture">
                <pic:pic>
                  <pic:nvPicPr>
                    <pic:cNvPr descr="figures/Figure1_architecture.png" id="31" name="Picture"/>
                    <pic:cNvPicPr>
                      <a:picLocks noChangeArrowheads="1" noChangeAspect="1"/>
                    </pic:cNvPicPr>
                  </pic:nvPicPr>
                  <pic:blipFill>
                    <a:blip r:embed="rId29"/>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nine exposure and ADME endpoints,</w:t>
      </w:r>
      <w:r>
        <w:t xml:space="preserve"> </w:t>
      </w:r>
      <w:r>
        <w:t xml:space="preserve">twelve target potency and activity endpoints, the 52-endpoint binder panel of which 47 are deployed,</w:t>
      </w:r>
      <w:r>
        <w:t xml:space="preserve"> </w:t>
      </w:r>
      <w:r>
        <w:t xml:space="preserve">and two auxiliary regressions. Every target score is admitted only in proportion to the predicted probability that the</w:t>
      </w:r>
      <w:r>
        <w:t xml:space="preserve"> </w:t>
      </w:r>
      <w:r>
        <w:t xml:space="preserve">compound reaches the brain, and surviving scores are ranked by enrichment over each endpoint’s base</w:t>
      </w:r>
      <w:r>
        <w:t xml:space="preserve"> </w:t>
      </w:r>
      <w:r>
        <w:t xml:space="preserve">rate rather than by raw probability. Every reported value carries a calibrated probability, a</w:t>
      </w:r>
      <w:r>
        <w:t xml:space="preserve"> </w:t>
      </w:r>
      <w:r>
        <w:t xml:space="preserve">conformal interval and an applicability-domain distance. (</w:t>
      </w:r>
      <w:r>
        <w:rPr>
          <w:b/>
          <w:bCs/>
        </w:rPr>
        <w:t xml:space="preserve">B</w:t>
      </w:r>
      <w:r>
        <w:t xml:space="preserve">) The counts in (</w:t>
      </w:r>
      <w:r>
        <w:rPr>
          <w:b/>
          <w:bCs/>
        </w:rPr>
        <w:t xml:space="preserve">A</w:t>
      </w:r>
      <w:r>
        <w:t xml:space="preserve">) are trained</w:t>
      </w:r>
      <w:r>
        <w:t xml:space="preserve"> </w:t>
      </w:r>
      <w:r>
        <w:t xml:space="preserve">estimators, 75 in total, of which 70 are deployed. Each was preceded by twenty fits that never serve</w:t>
      </w:r>
      <w:r>
        <w:t xml:space="preserve"> </w:t>
      </w:r>
      <w:r>
        <w:t xml:space="preserve">a prediction and exist only to measure how the twenty-first behaves on withheld compounds, 1,480</w:t>
      </w:r>
      <w:r>
        <w:t xml:space="preserve"> </w:t>
      </w:r>
      <w:r>
        <w:t xml:space="preserve">across the panel.</w:t>
      </w:r>
    </w:p>
    <w:p>
      <w:pPr>
        <w:pStyle w:val="CaptionedFigure"/>
      </w:pPr>
      <w:r>
        <w:drawing>
          <wp:inline>
            <wp:extent cx="5334000" cy="4095332"/>
            <wp:effectExtent b="0" l="0" r="0" t="0"/>
            <wp:docPr descr="Figure 2" title="" id="33" name="Picture"/>
            <a:graphic>
              <a:graphicData uri="http://schemas.openxmlformats.org/drawingml/2006/picture">
                <pic:pic>
                  <pic:nvPicPr>
                    <pic:cNvPr descr="figures/Figure9_model_atlas.png" id="34" name="Picture"/>
                    <pic:cNvPicPr>
                      <a:picLocks noChangeArrowheads="1" noChangeAspect="1"/>
                    </pic:cNvPicPr>
                  </pic:nvPicPr>
                  <pic:blipFill>
                    <a:blip r:embed="rId32"/>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68 to 15,723 rows;</w:t>
      </w:r>
      <w:r>
        <w:t xml:space="preserve"> </w:t>
      </w:r>
      <w:r>
        <w:t xml:space="preserve">binder training sets include property-matched decoys while the others are measured compounds only,</w:t>
      </w:r>
      <w:r>
        <w:t xml:space="preserve"> </w:t>
      </w:r>
      <w:r>
        <w:t xml:space="preserve">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0.935 while</w:t>
      </w:r>
      <w:r>
        <w:t xml:space="preserve"> </w:t>
      </w:r>
      <w:r>
        <w:t xml:space="preserve">the exposure and ADME regressions have a median R² of 0.575,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957286"/>
            <wp:effectExtent b="0" l="0" r="0" t="0"/>
            <wp:docPr descr="Figure 3" title="" id="36" name="Picture"/>
            <a:graphic>
              <a:graphicData uri="http://schemas.openxmlformats.org/drawingml/2006/picture">
                <pic:pic>
                  <pic:nvPicPr>
                    <pic:cNvPr descr="figures/Figure6_validation.png" id="37" name="Picture"/>
                    <pic:cNvPicPr>
                      <a:picLocks noChangeArrowheads="1" noChangeAspect="1"/>
                    </pic:cNvPicPr>
                  </pic:nvPicPr>
                  <pic:blipFill>
                    <a:blip r:embed="rId35"/>
                    <a:stretch>
                      <a:fillRect/>
                    </a:stretch>
                  </pic:blipFill>
                  <pic:spPr bwMode="auto">
                    <a:xfrm>
                      <a:off x="0" y="0"/>
                      <a:ext cx="5334000" cy="395728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(35)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Five of six pass; the sixth, shown at the same</w:t>
      </w:r>
      <w:r>
        <w:t xml:space="preserve"> </w:t>
      </w:r>
      <w:r>
        <w:t xml:space="preserve">size as the rest, is the applicability-domain flag, reported rather than retuned.</w:t>
      </w:r>
    </w:p>
    <w:p>
      <w:pPr>
        <w:pStyle w:val="CaptionedFigure"/>
      </w:pPr>
      <w:r>
        <w:drawing>
          <wp:inline>
            <wp:extent cx="5334000" cy="2786264"/>
            <wp:effectExtent b="0" l="0" r="0" t="0"/>
            <wp:docPr descr="Figure 4" title="" id="39" name="Picture"/>
            <a:graphic>
              <a:graphicData uri="http://schemas.openxmlformats.org/drawingml/2006/picture">
                <pic:pic>
                  <pic:nvPicPr>
                    <pic:cNvPr descr="figures/Figure8_use_case.png" id="40" name="Picture"/>
                    <pic:cNvPicPr>
                      <a:picLocks noChangeArrowheads="1" noChangeAspect="1"/>
                    </pic:cNvPicPr>
                  </pic:nvPicPr>
                  <pic:blipFill>
                    <a:blip r:embed="rId38"/>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334000" cy="4759684"/>
            <wp:effectExtent b="0" l="0" r="0" t="0"/>
            <wp:docPr descr="Figure 5" title="" id="42" name="Picture"/>
            <a:graphic>
              <a:graphicData uri="http://schemas.openxmlformats.org/drawingml/2006/picture">
                <pic:pic>
                  <pic:nvPicPr>
                    <pic:cNvPr descr="figures/Figure11_external_validation.png" id="43" name="Picture"/>
                    <pic:cNvPicPr>
                      <a:picLocks noChangeArrowheads="1" noChangeAspect="1"/>
                    </pic:cNvPicPr>
                  </pic:nvPicPr>
                  <pic:blipFill>
                    <a:blip r:embed="rId41"/>
                    <a:stretch>
                      <a:fillRect/>
                    </a:stretch>
                  </pic:blipFill>
                  <pic:spPr bwMode="auto">
                    <a:xfrm>
                      <a:off x="0" y="0"/>
                      <a:ext cx="5334000" cy="475968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44"/>
    <w:bookmarkStart w:id="45"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w:t>
      </w:r>
    </w:p>
    <w:p>
      <w:pPr>
        <w:pStyle w:val="Compact"/>
        <w:numPr>
          <w:ilvl w:val="0"/>
          <w:numId w:val="1001"/>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1"/>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1"/>
        </w:numPr>
      </w:pPr>
      <w:r>
        <w:t xml:space="preserve">Meng F, Xi Y, Huang J et al. A curated diverse molecular database of blood-brain barrier permeability with chemical descriptors. Scientific Data. 2021. doi:10.1038/s41597-021-01069-5.</w:t>
      </w:r>
    </w:p>
    <w:p>
      <w:pPr>
        <w:pStyle w:val="Compact"/>
        <w:numPr>
          <w:ilvl w:val="0"/>
          <w:numId w:val="1001"/>
        </w:numPr>
      </w:pPr>
      <w:r>
        <w:t xml:space="preserve">Alavijeh M, Chishty M, Qaiser M et al. Drug metabolism and pharmacokinetics, the blood-brain barrier, and central nervous system drug discovery. NeuroRX. 2005. doi:10.1602/neurorx.2.4.554.</w:t>
      </w:r>
    </w:p>
    <w:p>
      <w:pPr>
        <w:pStyle w:val="Compact"/>
        <w:numPr>
          <w:ilvl w:val="0"/>
          <w:numId w:val="1001"/>
        </w:numPr>
      </w:pPr>
      <w:r>
        <w:t xml:space="preserve">Loryan I, Reichel A, Feng B et al. Unbound Brain-to-Plasma Partition Coefficient, Kp,uu,brain—a Game Changing Parameter for CNS Drug Discovery and Development. Pharmaceutical Research. 2022. doi:10.1007/s11095-022-03246-6.</w:t>
      </w:r>
    </w:p>
    <w:p>
      <w:pPr>
        <w:pStyle w:val="Compact"/>
        <w:numPr>
          <w:ilvl w:val="0"/>
          <w:numId w:val="1001"/>
        </w:numPr>
      </w:pPr>
      <w:r>
        <w:t xml:space="preserve">Wager T, Hou X, Verhoest P et al. Moving beyond Rules: The Development of a Central Nervous System Multiparameter Optimization (CNS MPO) Approach To Enable Alignment of Druglike Properties. ACS Chemical Neuroscience. 2010. doi:10.1021/cn100008c.</w:t>
      </w:r>
    </w:p>
    <w:p>
      <w:pPr>
        <w:pStyle w:val="Compact"/>
        <w:numPr>
          <w:ilvl w:val="0"/>
          <w:numId w:val="1001"/>
        </w:numPr>
      </w:pPr>
      <w:r>
        <w:t xml:space="preserve">Saify Z, Sultana N. Role of Acetylcholinesterase Inhibitors and Alzheimer Disease. Drug Design and Discovery in Alzheimer’s Disease. 2014. doi:10.1016/b978-0-12-803959-5.50007-6.</w:t>
      </w:r>
    </w:p>
    <w:p>
      <w:pPr>
        <w:pStyle w:val="Compact"/>
        <w:numPr>
          <w:ilvl w:val="0"/>
          <w:numId w:val="1001"/>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1"/>
        </w:numPr>
      </w:pPr>
      <w:r>
        <w:t xml:space="preserve">Dezsi L, Vecsei L. Monoamine Oxidase B Inhibitors in Parkinson’s Disease. CNS &amp; neurological disorders drug targets. 2017. doi:10.2174/1871527316666170124165222.</w:t>
      </w:r>
    </w:p>
    <w:p>
      <w:pPr>
        <w:pStyle w:val="Compact"/>
        <w:numPr>
          <w:ilvl w:val="0"/>
          <w:numId w:val="1001"/>
        </w:numPr>
      </w:pPr>
      <w:r>
        <w:t xml:space="preserve">West A. Achieving neuroprotection with LRRK2 kinase inhibitors in Parkinson disease. Experimental Neurology. 2017. doi:10.1016/j.expneurol.2017.07.019.</w:t>
      </w:r>
    </w:p>
    <w:p>
      <w:pPr>
        <w:pStyle w:val="Compact"/>
        <w:numPr>
          <w:ilvl w:val="0"/>
          <w:numId w:val="1001"/>
        </w:numPr>
      </w:pPr>
      <w:r>
        <w:t xml:space="preserve">Riemann D, Spiegelhalder K. Orexin receptor antagonists: a new treatment for insomnia?. The Lancet Neurology. 2014. doi:10.1016/s1474-4422(13)70311-9.</w:t>
      </w:r>
    </w:p>
    <w:p>
      <w:pPr>
        <w:pStyle w:val="Compact"/>
        <w:numPr>
          <w:ilvl w:val="0"/>
          <w:numId w:val="1001"/>
        </w:numPr>
      </w:pPr>
      <w:r>
        <w:t xml:space="preserve">Duan Y, Kelley N, He Y. Role of the NLRP3 inflammasome in neurodegenerative diseases and therapeutic implications. Neural Regeneration Research. 2020. doi:10.4103/1673-5374.272576.</w:t>
      </w:r>
    </w:p>
    <w:p>
      <w:pPr>
        <w:pStyle w:val="Compact"/>
        <w:numPr>
          <w:ilvl w:val="0"/>
          <w:numId w:val="1001"/>
        </w:numPr>
      </w:pPr>
      <w:r>
        <w:t xml:space="preserve">Yamazaki H, Tanji K, Wakabayashi K, Matsuura S, Itoh K. Role of the Keap1/Nrf2 pathway in neurodegenerative diseases. Pathology international. 2015. doi:10.1111/pin.12261.</w:t>
      </w:r>
    </w:p>
    <w:p>
      <w:pPr>
        <w:pStyle w:val="Compact"/>
        <w:numPr>
          <w:ilvl w:val="0"/>
          <w:numId w:val="1001"/>
        </w:numPr>
      </w:pPr>
      <w:r>
        <w:t xml:space="preserve">Kovalenko M, Erdin S, Andrew M et al. Histone deacetylase knockouts modify transcription, CAG instability and nuclear pathology in Huntington disease mice. eLife. 2020. doi:10.7554/elife.55911.</w:t>
      </w:r>
    </w:p>
    <w:p>
      <w:pPr>
        <w:pStyle w:val="Compact"/>
        <w:numPr>
          <w:ilvl w:val="0"/>
          <w:numId w:val="1001"/>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1"/>
        </w:numPr>
      </w:pPr>
      <w:r>
        <w:t xml:space="preserve">Ritter J. Cardiac safety, drug‐induced QT prolongation and torsade de pointes (TdP). British Journal of Clinical Pharmacology. 2012. doi:10.1111/j.1365-2125.2012.04193.x.</w:t>
      </w:r>
    </w:p>
    <w:p>
      <w:pPr>
        <w:pStyle w:val="Compact"/>
        <w:numPr>
          <w:ilvl w:val="0"/>
          <w:numId w:val="1001"/>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1"/>
        </w:numPr>
      </w:pPr>
      <w:r>
        <w:t xml:space="preserve">Wu Z, Ramsundar B, Feinberg E et al. MoleculeNet: a benchmark for molecular machine learning. Chemical Science. 2018. doi:10.1039/c7sc02664a.</w:t>
      </w:r>
    </w:p>
    <w:p>
      <w:pPr>
        <w:pStyle w:val="Compact"/>
        <w:numPr>
          <w:ilvl w:val="0"/>
          <w:numId w:val="1001"/>
        </w:numPr>
      </w:pPr>
      <w:r>
        <w:t xml:space="preserve">Rogers D, Hahn M. Extended-Connectivity Fingerprints. Journal of Chemical Information and Modeling. 2010. doi:10.1021/ci100050t.</w:t>
      </w:r>
    </w:p>
    <w:p>
      <w:pPr>
        <w:pStyle w:val="Compact"/>
        <w:numPr>
          <w:ilvl w:val="0"/>
          <w:numId w:val="1001"/>
        </w:numPr>
      </w:pPr>
      <w:r>
        <w:t xml:space="preserve">Pedregosa F, Varoquaux G, Gramfort A et al. Scikit-learn: Machine Learning in Python. Journal of Machine Learning Research. 2011;12:2825-2830. https://www.jmlr.org/papers/v12/pedregosa11a.html</w:t>
      </w:r>
    </w:p>
    <w:p>
      <w:pPr>
        <w:pStyle w:val="Compact"/>
        <w:numPr>
          <w:ilvl w:val="0"/>
          <w:numId w:val="1001"/>
        </w:numPr>
      </w:pPr>
      <w:r>
        <w:t xml:space="preserve">Breiman L. Random Forests. Machine Learning. 2001. doi:10.1023/a:1010933404324.</w:t>
      </w:r>
    </w:p>
    <w:p>
      <w:pPr>
        <w:pStyle w:val="Compact"/>
        <w:numPr>
          <w:ilvl w:val="0"/>
          <w:numId w:val="1001"/>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1"/>
        </w:numPr>
      </w:pPr>
      <w:r>
        <w:t xml:space="preserve">Bemis G, Murcko M. The Properties of Known Drugs. 1. Molecular Frameworks. Journal of Medicinal Chemistry. 1996. doi:10.1021/jm9602928.</w:t>
      </w:r>
    </w:p>
    <w:p>
      <w:pPr>
        <w:pStyle w:val="Compact"/>
        <w:numPr>
          <w:ilvl w:val="0"/>
          <w:numId w:val="1001"/>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1"/>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p>
      <w:pPr>
        <w:pStyle w:val="Compact"/>
        <w:numPr>
          <w:ilvl w:val="0"/>
          <w:numId w:val="1001"/>
        </w:numPr>
      </w:pPr>
      <w:r>
        <w:t xml:space="preserve">Jaworska J, Nikolova-Jeliazkova N, Aldenberg T. QSAR Applicability Domain Estimation by Projection of the Training Set in Descriptor Space: A Review. Alternatives to Laboratory Animals. 2005. doi:10.1177/026119290503300508.</w:t>
      </w:r>
    </w:p>
    <w:p>
      <w:pPr>
        <w:pStyle w:val="Compact"/>
        <w:numPr>
          <w:ilvl w:val="0"/>
          <w:numId w:val="1001"/>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1"/>
        </w:numPr>
      </w:pPr>
      <w:r>
        <w:t xml:space="preserve">Lin H, Lin C, Weng R. A note on Platt’s probabilistic outputs for support vector machines. Machine Learning. 2007. doi:10.1007/s10994-007-5018-6.</w:t>
      </w:r>
    </w:p>
    <w:p>
      <w:pPr>
        <w:pStyle w:val="Compact"/>
        <w:numPr>
          <w:ilvl w:val="0"/>
          <w:numId w:val="1001"/>
        </w:numPr>
      </w:pPr>
      <w:r>
        <w:t xml:space="preserve">Kanehisa M, Goto S. KEGG: kyoto encyclopedia of genes and genomes. Nucleic acids research. 2000. doi:10.1093/nar/28.1.27.</w:t>
      </w:r>
    </w:p>
    <w:p>
      <w:pPr>
        <w:pStyle w:val="Compact"/>
        <w:numPr>
          <w:ilvl w:val="0"/>
          <w:numId w:val="1001"/>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1"/>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1"/>
        </w:numPr>
      </w:pPr>
      <w:r>
        <w:t xml:space="preserve">Streamlit: an open-source app framework. https://streamlit.io</w:t>
      </w:r>
    </w:p>
    <w:p>
      <w:pPr>
        <w:pStyle w:val="Compact"/>
        <w:numPr>
          <w:ilvl w:val="0"/>
          <w:numId w:val="1001"/>
        </w:numPr>
      </w:pPr>
      <w:r>
        <w:t xml:space="preserve">RDKit: Open-source cheminformatics. https://www.rdkit.org</w:t>
      </w:r>
    </w:p>
    <w:p>
      <w:pPr>
        <w:pStyle w:val="Compact"/>
        <w:numPr>
          <w:ilvl w:val="0"/>
          <w:numId w:val="1001"/>
        </w:numPr>
      </w:pPr>
      <w:r>
        <w:t xml:space="preserve">Lundberg S, Erion G, Chen H et al. From local explanations to global understanding with explainable AI for trees. Nature Machine Intelligence. 2020. doi:10.1038/s42256-019-0138-9.</w:t>
      </w:r>
    </w:p>
    <w:p>
      <w:pPr>
        <w:pStyle w:val="Compact"/>
        <w:numPr>
          <w:ilvl w:val="0"/>
          <w:numId w:val="1001"/>
        </w:numPr>
      </w:pPr>
      <w:r>
        <w:t xml:space="preserve">Wilson E. Probable Inference, the Law of Succession, and Statistical Inference. Journal of the American Statistical Association. 1927. doi:10.1080/01621459.1927.10502953.</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2026-08-25T06:13:21Z</dcterms:created>
  <dcterms:modified xsi:type="dcterms:W3CDTF">2026-08-25T06:13:21Z</dcterms:modified>
</cp:coreProperties>
</file>

<file path=docProps/custom.xml><?xml version="1.0" encoding="utf-8"?>
<Properties xmlns="http://schemas.openxmlformats.org/officeDocument/2006/custom-properties" xmlns:vt="http://schemas.openxmlformats.org/officeDocument/2006/docPropsVTypes"/>
</file>