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60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72 estimators, 70 of them deployed, trained on 227,146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The binder panel, validated against compounds measured and found inactive at</w:t>
      </w:r>
      <w:r>
        <w:t xml:space="preserve"> </w:t>
      </w:r>
      <w:r>
        <w:t xml:space="preserve">the same target rather than against decoys, reaches a mean AUROC of 0.904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52 targets drive more than one condition and structure alone does not resolve which. BrainSafe AI is</w:t>
      </w:r>
      <w:r>
        <w:t xml:space="preserve"> </w:t>
      </w:r>
      <w:r>
        <w:t xml:space="preserve">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70 that</w:t>
      </w:r>
      <w:r>
        <w:t xml:space="preserve"> </w:t>
      </w:r>
      <w:r>
        <w:t xml:space="preserve">are deployed.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49 binder classifiers are validated not against the decoys used to train them but against</w:t>
      </w:r>
      <w:r>
        <w:t xml:space="preserve"> </w:t>
      </w:r>
      <w:r>
        <w:t xml:space="preserve">compounds experimentally tested at the same target and found inactive. They reach a mean AUROC of</w:t>
      </w:r>
      <w:r>
        <w:t xml:space="preserve"> </w:t>
      </w:r>
      <w:r>
        <w:t xml:space="preserve">0.904 and a mean sensitivity of 0.866 on actives withheld by scaffold, at thresholds constrained</w:t>
      </w:r>
      <w:r>
        <w:t xml:space="preserve"> </w:t>
      </w:r>
      <w:r>
        <w:t xml:space="preserve">simultaneously by held-out measured inactives and by the false-positive rate on a disjoint pool of</w:t>
      </w:r>
      <w:r>
        <w:t xml:space="preserve"> </w:t>
      </w:r>
      <w:r>
        <w:t xml:space="preserve">unrelated chemistry; 47 of 49 are deployed. Measured on that disjoint pool the background</w:t>
      </w:r>
      <w:r>
        <w:t xml:space="preserve"> </w:t>
      </w:r>
      <w:r>
        <w:t xml:space="preserve">false-positive rate has a median of 0.0249.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0.814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0.761 on all 306, and 0.788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panel targets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never-seen drugs is 4: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Three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the disease layer, and it is a limit of the question rather than of the fitting. Clinical</w:t>
      </w:r>
      <w:r>
        <w:t xml:space="preserve"> </w:t>
      </w:r>
      <w:r>
        <w:t xml:space="preserve">indication is not a function of structure: 27 of the 52 panel targets drive more than 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deployed estimator placed by the number of measured compounds it was 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two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0.936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S5 give the recovery of the measured negative class and its effect per</w:t>
      </w:r>
      <w:r>
        <w:t xml:space="preserve"> </w:t>
      </w:r>
      <w:r>
        <w:t xml:space="preserve">endpoint, the feature vector computed for a worked molecule, the two cross-validation schemes, the</w:t>
      </w:r>
      <w:r>
        <w:t xml:space="preserve"> </w:t>
      </w:r>
      <w:r>
        <w:t xml:space="preserve">three disjoint background pools, and the complete 49-endpoint binder panel with every endpoint named.</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2026-08-17T09:21:49Z</dcterms:created>
  <dcterms:modified xsi:type="dcterms:W3CDTF">2026-08-17T09:21:49Z</dcterms:modified>
</cp:coreProperties>
</file>

<file path=docProps/custom.xml><?xml version="1.0" encoding="utf-8"?>
<Properties xmlns="http://schemas.openxmlformats.org/officeDocument/2006/custom-properties" xmlns:vt="http://schemas.openxmlformats.org/officeDocument/2006/docPropsVTypes"/>
</file>