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54.png" ContentType="image/png"/>
  <Override PartName="/word/media/rId51.png" ContentType="image/png"/>
  <Override PartName="/word/media/rId42.png" ContentType="image/png"/>
  <Override PartName="/word/media/rId48.png" ContentType="image/png"/>
  <Override PartName="/word/media/rId45.png" ContentType="image/png"/>
  <Override PartName="/word/media/rId60.png" ContentType="image/png"/>
  <Override PartName="/word/media/rId66.png" ContentType="image/png"/>
  <Override PartName="/word/media/rId57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X3940dccd6e4a76754b626e6cc5d34c1248e9c38"/>
    <w:p>
      <w:pPr>
        <w:pStyle w:val="Heading1"/>
      </w:pPr>
      <w:r>
        <w:t xml:space="preserve">BrainSafe AI: an evidence-grounded, calibrated, BBB-gated multi-endpoint predictor of small-molecule effects on the human brain</w:t>
      </w:r>
    </w:p>
    <w:p>
      <w:pPr>
        <w:pStyle w:val="FirstParagraph"/>
      </w:pPr>
      <w:r>
        <w:rPr>
          <w:i/>
          <w:iCs/>
        </w:rPr>
        <w:t xml:space="preserve">Complete methodology, results, and discussion. All figures/values are produced by the</w:t>
      </w:r>
      <w:r>
        <w:rPr>
          <w:i/>
          <w:iCs/>
        </w:rPr>
        <w:t xml:space="preserve"> </w:t>
      </w:r>
      <w:r>
        <w:rPr>
          <w:i/>
          <w:iCs/>
        </w:rPr>
        <w:t xml:space="preserve">reproducible scripts in this repository; numbers are read from the saved validation</w:t>
      </w:r>
      <w:r>
        <w:rPr>
          <w:i/>
          <w:iCs/>
        </w:rPr>
        <w:t xml:space="preserve"> </w:t>
      </w:r>
      <w:r>
        <w:rPr>
          <w:i/>
          <w:iCs/>
        </w:rPr>
        <w:t xml:space="preserve">artifacts, not estimated.</w:t>
      </w:r>
    </w:p>
    <w:p>
      <w:r>
        <w:pict>
          <v:rect style="width:0;height:1.5pt" o:hralign="center" o:hrstd="t" o:hr="t"/>
        </w:pict>
      </w:r>
    </w:p>
    <w:bookmarkStart w:id="1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BrainSafe AI is an open computational tool that estimates a compound’s profile of brain-relevant</w:t>
      </w:r>
      <w:r>
        <w:t xml:space="preserve"> </w:t>
      </w:r>
      <w:r>
        <w:t xml:space="preserve">effects from its chemical structure alone. It brings together eight machine-learning endpoints, every</w:t>
      </w:r>
      <w:r>
        <w:t xml:space="preserve"> </w:t>
      </w:r>
      <w:r>
        <w:t xml:space="preserve">one trained on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public bioactivity data (ChEMBL pChEMBL values and the B3DB</w:t>
      </w:r>
      <w:r>
        <w:t xml:space="preserve"> </w:t>
      </w:r>
      <w:r>
        <w:t xml:space="preserve">blood–brain-barrier database): blood–brain-barrier (BBB) penetration, inhibition of AChE, BChE,</w:t>
      </w:r>
      <w:r>
        <w:t xml:space="preserve"> </w:t>
      </w:r>
      <w:r>
        <w:t xml:space="preserve">BACE1, GSK-3β, MAO-A and MAO-B, and the hERG cardiotoxicity liability. Four further receptor targets</w:t>
      </w:r>
      <w:r>
        <w:t xml:space="preserve"> </w:t>
      </w:r>
      <w:r>
        <w:t xml:space="preserve">(D2, A2A, 5-HT2A and SERT) are handled instead as potency regressions. A deterministic</w:t>
      </w:r>
      <w:r>
        <w:t xml:space="preserve"> </w:t>
      </w:r>
      <w:r>
        <w:t xml:space="preserve">druggability/CNS-MPO layer, a measured-data antioxidant (DPPH) model, and a clinical-precedent layer</w:t>
      </w:r>
      <w:r>
        <w:t xml:space="preserve"> </w:t>
      </w:r>
      <w:r>
        <w:t xml:space="preserve">of 504 nervous-system compounds with real clinical-phase data round out the system. Every prediction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isotonic-calibrated</w:t>
      </w:r>
      <w:r>
        <w:t xml:space="preserve">, carries a</w:t>
      </w:r>
      <w:r>
        <w:t xml:space="preserve"> </w:t>
      </w:r>
      <w:r>
        <w:rPr>
          <w:b/>
          <w:bCs/>
        </w:rPr>
        <w:t xml:space="preserve">Mondrian conformal prediction set</w:t>
      </w:r>
      <w:r>
        <w:t xml:space="preserve"> </w:t>
      </w:r>
      <w:r>
        <w:t xml:space="preserve">with empirically verified</w:t>
      </w:r>
      <w:r>
        <w:t xml:space="preserve"> </w:t>
      </w:r>
      <w:r>
        <w:t xml:space="preserve">~90% coverage, is</w:t>
      </w:r>
      <w:r>
        <w:t xml:space="preserve"> </w:t>
      </w:r>
      <w:r>
        <w:rPr>
          <w:b/>
          <w:bCs/>
        </w:rPr>
        <w:t xml:space="preserve">grounded in the nearest real measured analogues</w:t>
      </w:r>
      <w:r>
        <w:t xml:space="preserve">, and feeds into</w:t>
      </w:r>
      <w:r>
        <w:t xml:space="preserve"> </w:t>
      </w:r>
      <w:r>
        <w:rPr>
          <w:b/>
          <w:bCs/>
        </w:rPr>
        <w:t xml:space="preserve">BBB-gated</w:t>
      </w:r>
      <w:r>
        <w:rPr>
          <w:b/>
          <w:bCs/>
        </w:rPr>
        <w:t xml:space="preserve"> </w:t>
      </w:r>
      <w:r>
        <w:rPr>
          <w:b/>
          <w:bCs/>
        </w:rPr>
        <w:t xml:space="preserve">per-disease scores</w:t>
      </w:r>
      <w:r>
        <w:t xml:space="preserve">. We validated the models under a hierarchy of increasingly demanding splits:</w:t>
      </w:r>
      <w:r>
        <w:t xml:space="preserve"> </w:t>
      </w:r>
      <w:r>
        <w:t xml:space="preserve">random, scaffold, leave-cluster-out and temporal. On like-for-like random splits the classifiers</w:t>
      </w:r>
      <w:r>
        <w:t xml:space="preserve"> </w:t>
      </w:r>
      <w:r>
        <w:t xml:space="preserve">reach AUROC 0.94–0.98, at or above published state of the art; under scaffold and cluster splits</w:t>
      </w:r>
      <w:r>
        <w:t xml:space="preserve"> </w:t>
      </w:r>
      <w:r>
        <w:t xml:space="preserve">0.87–0.95; and under a true temporal (future-compound) split 0.61–0.92, which shows plainly where</w:t>
      </w:r>
      <w:r>
        <w:t xml:space="preserve"> </w:t>
      </w:r>
      <w:r>
        <w:t xml:space="preserve">generalisation runs out. Under an identical protocol the deployed ensemble beats both a</w:t>
      </w:r>
      <w:r>
        <w:t xml:space="preserve"> </w:t>
      </w:r>
      <w:r>
        <w:t xml:space="preserve">k-nearest-neighbour Tanimoto read-across (mean AUROC 0.912 vs 0.867) and logistic regression (0.808)</w:t>
      </w:r>
      <w:r>
        <w:t xml:space="preserve"> </w:t>
      </w:r>
      <w:r>
        <w:t xml:space="preserve">on every endpoint. We also ran a pre-registered head-to-head against four general-purpose large</w:t>
      </w:r>
      <w:r>
        <w:t xml:space="preserve"> </w:t>
      </w:r>
      <w:r>
        <w:t xml:space="preserve">language models: on well-known drugs they matched or exceeded BrainSafe at BBB and hERG</w:t>
      </w:r>
      <w:r>
        <w:t xml:space="preserve"> </w:t>
      </w:r>
      <w:r>
        <w:t xml:space="preserve">classification, yet 45% of the measured-data identifiers they cited were fabricated or mis-attributed</w:t>
      </w:r>
      <w:r>
        <w:t xml:space="preserve"> </w:t>
      </w:r>
      <w:r>
        <w:t xml:space="preserve">and all four invented a target and potency for an unpublished compound, whereas BrainSafe returned,</w:t>
      </w:r>
      <w:r>
        <w:t xml:space="preserve"> </w:t>
      </w:r>
      <w:r>
        <w:t xml:space="preserve">for every structure, a calibrated probability, a conformal set, and the nearest measured analogue,</w:t>
      </w:r>
      <w:r>
        <w:t xml:space="preserve"> </w:t>
      </w:r>
      <w:r>
        <w:t xml:space="preserve">the kind of grounded, auditable output an LLM does not supply. The contribution here is the</w:t>
      </w:r>
      <w:r>
        <w:t xml:space="preserve"> </w:t>
      </w:r>
      <w:r>
        <w:rPr>
          <w:b/>
          <w:bCs/>
        </w:rPr>
        <w:t xml:space="preserve">integration</w:t>
      </w:r>
      <w:r>
        <w:t xml:space="preserve">, calibrated, evidence-grounded, BBB-gated and safety-aware CNS profiling from measured</w:t>
      </w:r>
      <w:r>
        <w:t xml:space="preserve"> </w:t>
      </w:r>
      <w:r>
        <w:t xml:space="preserve">data, rather than any one new algorithm.</w:t>
      </w:r>
    </w:p>
    <w:bookmarkStart w:id="9" w:name="Xaa0a0529cb1d1e442698fa80233e74ca2092fd1"/>
    <w:p>
      <w:pPr>
        <w:pStyle w:val="Heading3"/>
      </w:pPr>
      <w:r>
        <w:t xml:space="preserve">Note added in revision (2026-07-21): data expansion and a Random-forest, ten-fold model</w:t>
      </w:r>
    </w:p>
    <w:p>
      <w:pPr>
        <w:pStyle w:val="FirstParagraph"/>
      </w:pPr>
      <w:r>
        <w:t xml:space="preserve">In response to review we (i) added a second independent measured source,</w:t>
      </w:r>
      <w:r>
        <w:t xml:space="preserve"> </w:t>
      </w:r>
      <w:r>
        <w:rPr>
          <w:b/>
          <w:bCs/>
        </w:rPr>
        <w:t xml:space="preserve">BindingDB</w:t>
      </w:r>
      <w:r>
        <w:t xml:space="preserve">, to the eleven</w:t>
      </w:r>
      <w:r>
        <w:t xml:space="preserve"> </w:t>
      </w:r>
      <w:r>
        <w:t xml:space="preserve">protein-target endpoints, pooling it with ChEMBL at the compound level. The training corpus grew to</w:t>
      </w:r>
      <w:r>
        <w:t xml:space="preserve"> </w:t>
      </w:r>
      <w:r>
        <w:rPr>
          <w:b/>
          <w:bCs/>
        </w:rPr>
        <w:t xml:space="preserve">61,317 unique compounds across 67,982 measured records</w:t>
      </w:r>
      <w:r>
        <w:t xml:space="preserve"> </w:t>
      </w:r>
      <w:r>
        <w:t xml:space="preserve">(18,573 compounds are measured by both</w:t>
      </w:r>
      <w:r>
        <w:t xml:space="preserve"> </w:t>
      </w:r>
      <w:r>
        <w:t xml:space="preserve">databases; 4,246 are contributed by BindingDB alone). (ii) We report a</w:t>
      </w:r>
      <w:r>
        <w:t xml:space="preserve"> </w:t>
      </w:r>
      <w:r>
        <w:rPr>
          <w:b/>
          <w:bCs/>
        </w:rPr>
        <w:t xml:space="preserve">Random forest trained under</w:t>
      </w:r>
      <w:r>
        <w:rPr>
          <w:b/>
          <w:bCs/>
        </w:rPr>
        <w:t xml:space="preserve"> </w:t>
      </w:r>
      <w:r>
        <w:rPr>
          <w:b/>
          <w:bCs/>
        </w:rPr>
        <w:t xml:space="preserve">ten-fold cross-validation</w:t>
      </w:r>
      <w:r>
        <w:t xml:space="preserve"> </w:t>
      </w:r>
      <w:r>
        <w:t xml:space="preserve">for every endpoint, under both random and scaffold-grouped splits; mean</w:t>
      </w:r>
      <w:r>
        <w:t xml:space="preserve"> </w:t>
      </w:r>
      <w:r>
        <w:t xml:space="preserve">classifier AUROC is</w:t>
      </w:r>
      <w:r>
        <w:t xml:space="preserve"> </w:t>
      </w:r>
      <w:r>
        <w:rPr>
          <w:b/>
          <w:bCs/>
        </w:rPr>
        <w:t xml:space="preserve">0.960 (random)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0.919 (scaffold)</w:t>
      </w:r>
      <w:r>
        <w:t xml:space="preserve">, and receptor-regression R² is</w:t>
      </w:r>
      <w:r>
        <w:t xml:space="preserve"> </w:t>
      </w:r>
      <w:r>
        <w:t xml:space="preserve">0.60–0.68 (random) and 0.39–0.58 (scaffold). (iii) Because the BindingDB export contributes actives,</w:t>
      </w:r>
      <w:r>
        <w:t xml:space="preserve"> </w:t>
      </w:r>
      <w:r>
        <w:t xml:space="preserve">we audited the addition against the ChEMBL-only baseline: the scaffold-split headline changed by a</w:t>
      </w:r>
      <w:r>
        <w:t xml:space="preserve"> </w:t>
      </w:r>
      <w:r>
        <w:t xml:space="preserve">mean of</w:t>
      </w:r>
      <w:r>
        <w:t xml:space="preserve"> </w:t>
      </w:r>
      <w:r>
        <w:rPr>
          <w:b/>
          <w:bCs/>
        </w:rPr>
        <w:t xml:space="preserve">−0.0002</w:t>
      </w:r>
      <w:r>
        <w:t xml:space="preserve">, i.e. the added data neither inflates nor degrades performance. (iv) We</w:t>
      </w:r>
      <w:r>
        <w:t xml:space="preserve"> </w:t>
      </w:r>
      <w:r>
        <w:t xml:space="preserve">strengthened two methodology points: isotonic</w:t>
      </w:r>
      <w:r>
        <w:t xml:space="preserve"> </w:t>
      </w:r>
      <w:r>
        <w:rPr>
          <w:b/>
          <w:bCs/>
        </w:rPr>
        <w:t xml:space="preserve">probability calibration</w:t>
      </w:r>
      <w:r>
        <w:t xml:space="preserve"> </w:t>
      </w:r>
      <w:r>
        <w:t xml:space="preserve">(mean expected calibration</w:t>
      </w:r>
      <w:r>
        <w:t xml:space="preserve"> </w:t>
      </w:r>
      <w:r>
        <w:t xml:space="preserve">error 0.072 → 0.012) and an explicit</w:t>
      </w:r>
      <w:r>
        <w:t xml:space="preserve"> </w:t>
      </w:r>
      <w:r>
        <w:rPr>
          <w:b/>
          <w:bCs/>
        </w:rPr>
        <w:t xml:space="preserve">applicability-domain</w:t>
      </w:r>
      <w:r>
        <w:t xml:space="preserve"> </w:t>
      </w:r>
      <w:r>
        <w:t xml:space="preserve">flag (nearest-neighbour Tanimoto), which</w:t>
      </w:r>
      <w:r>
        <w:t xml:space="preserve"> </w:t>
      </w:r>
      <w:r>
        <w:t xml:space="preserve">shows that arbitrary drug libraries are largely outside the target-specific models’ domain and must be</w:t>
      </w:r>
      <w:r>
        <w:t xml:space="preserve"> </w:t>
      </w:r>
      <w:r>
        <w:t xml:space="preserve">flagged as extrapolation. (v) An</w:t>
      </w:r>
      <w:r>
        <w:t xml:space="preserve"> </w:t>
      </w:r>
      <w:r>
        <w:rPr>
          <w:b/>
          <w:bCs/>
        </w:rPr>
        <w:t xml:space="preserve">external test</w:t>
      </w:r>
      <w:r>
        <w:t xml:space="preserve"> </w:t>
      </w:r>
      <w:r>
        <w:t xml:space="preserve">of the BBB model on 306 FDA-curated approved drugs</w:t>
      </w:r>
      <w:r>
        <w:t xml:space="preserve"> </w:t>
      </w:r>
      <w:r>
        <w:t xml:space="preserve">absent from training gives AUROC</w:t>
      </w:r>
      <w:r>
        <w:t xml:space="preserve"> </w:t>
      </w:r>
      <w:r>
        <w:rPr>
          <w:b/>
          <w:bCs/>
        </w:rPr>
        <w:t xml:space="preserve">0.774</w:t>
      </w:r>
      <w:r>
        <w:t xml:space="preserve">. Full detail and every supporting table are in</w:t>
      </w:r>
      <w:r>
        <w:t xml:space="preserve"> </w:t>
      </w:r>
      <w:r>
        <w:rPr>
          <w:rStyle w:val="VerbatimChar"/>
        </w:rPr>
        <w:t xml:space="preserve">docs/RF_CV_RESULTS.md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docs/METHODOLOGY_AUDIT.md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docs/DATA_MANIFEST.md</w:t>
      </w:r>
      <w:r>
        <w:t xml:space="preserve">.</w:t>
      </w:r>
    </w:p>
    <w:bookmarkEnd w:id="9"/>
    <w:bookmarkStart w:id="10" w:name="X2007991958803439c19e8ca75a86068c1027c6a"/>
    <w:p>
      <w:pPr>
        <w:pStyle w:val="Heading3"/>
      </w:pPr>
      <w:r>
        <w:t xml:space="preserve">Note added in revision (2026-07-22): an ADME / exposure layer toward K_p,uu</w:t>
      </w:r>
    </w:p>
    <w:p>
      <w:pPr>
        <w:pStyle w:val="FirstParagraph"/>
      </w:pPr>
      <w:r>
        <w:t xml:space="preserve">Target engagement and BBB penetration do not, on their own, say whether an achievable dose delivers</w:t>
      </w:r>
      <w:r>
        <w:t xml:space="preserve"> </w:t>
      </w:r>
      <w:r>
        <w:rPr>
          <w:i/>
          <w:iCs/>
        </w:rPr>
        <w:t xml:space="preserve">free</w:t>
      </w:r>
      <w:r>
        <w:t xml:space="preserve"> </w:t>
      </w:r>
      <w:r>
        <w:t xml:space="preserve">drug to a brain target. We therefore added nine measured ADME / exposure endpoints, trained with</w:t>
      </w:r>
      <w:r>
        <w:t xml:space="preserve"> </w:t>
      </w:r>
      <w:r>
        <w:t xml:space="preserve">the identical random-forest, scaffold-10-fold protocol (~23,000 measured compounds from TDC / Harvard</w:t>
      </w:r>
      <w:r>
        <w:t xml:space="preserve"> </w:t>
      </w:r>
      <w:r>
        <w:t xml:space="preserve">Dataverse, MoleculeNet, B3DB and ChEMBL): aqueous solubility, lipophilicity, Caco-2 permeability,</w:t>
      </w:r>
      <w:r>
        <w:t xml:space="preserve"> </w:t>
      </w:r>
      <w:r>
        <w:t xml:space="preserve">P-glycoprotein inhibition and substrate (efflux), plasma-protein binding, hepatocyte clearance, logBB,</w:t>
      </w:r>
      <w:r>
        <w:t xml:space="preserve"> </w:t>
      </w:r>
      <w:r>
        <w:t xml:space="preserve">and, directly, the unbound brain-to-plasma partition coefficient</w:t>
      </w:r>
      <w:r>
        <w:t xml:space="preserve"> </w:t>
      </w:r>
      <w:r>
        <w:rPr>
          <w:b/>
          <w:bCs/>
        </w:rPr>
        <w:t xml:space="preserve">K_p,uu</w:t>
      </w:r>
      <w:r>
        <w:t xml:space="preserve"> </w:t>
      </w:r>
      <w:r>
        <w:t xml:space="preserve">(566 measured compounds,</w:t>
      </w:r>
      <w:r>
        <w:t xml:space="preserve"> </w:t>
      </w:r>
      <w:r>
        <w:t xml:space="preserve">ChEMBL</w:t>
      </w:r>
      <w:r>
        <w:t xml:space="preserve"> </w:t>
      </w:r>
      <w:r>
        <w:rPr>
          <w:rStyle w:val="VerbatimChar"/>
        </w:rPr>
        <w:t xml:space="preserve">K(p,uu,brain)</w:t>
      </w:r>
      <w:r>
        <w:t xml:space="preserve">; scaffold R² 0.35). Scaffold performance ranges from strong (P-gp inhibition</w:t>
      </w:r>
      <w:r>
        <w:t xml:space="preserve"> </w:t>
      </w:r>
      <w:r>
        <w:t xml:space="preserve">AUROC 0.937, solubility R² 0.76) to weak and disclosed (clearance R² 0.19). The directly-modelled</w:t>
      </w:r>
      <w:r>
        <w:t xml:space="preserve"> </w:t>
      </w:r>
      <w:r>
        <w:t xml:space="preserve">K_p,uu drives a combined free-brain-exposure readout (K_p,uu ≥ 0.3 taken as meaningful exposure) that,</w:t>
      </w:r>
      <w:r>
        <w:t xml:space="preserve"> </w:t>
      </w:r>
      <w:r>
        <w:t xml:space="preserve">on known drugs, correctly separates central compounds (diazepam K_p,uu 0.94, donepezil 0.84) from</w:t>
      </w:r>
      <w:r>
        <w:t xml:space="preserve"> </w:t>
      </w:r>
      <w:r>
        <w:t xml:space="preserve">peripheral or P-gp-effluxed ones (atenolol 0.07, loperamide 0.04). This moves the tool from</w:t>
      </w:r>
      <w:r>
        <w:t xml:space="preserve"> </w:t>
      </w:r>
      <w:r>
        <w:rPr>
          <w:i/>
          <w:iCs/>
        </w:rPr>
        <w:t xml:space="preserve">“does it</w:t>
      </w:r>
      <w:r>
        <w:rPr>
          <w:i/>
          <w:iCs/>
        </w:rPr>
        <w:t xml:space="preserve"> </w:t>
      </w:r>
      <w:r>
        <w:rPr>
          <w:i/>
          <w:iCs/>
        </w:rPr>
        <w:t xml:space="preserve">bind”</w:t>
      </w:r>
      <w:r>
        <w:t xml:space="preserve"> </w:t>
      </w:r>
      <w:r>
        <w:t xml:space="preserve">toward</w:t>
      </w:r>
      <w:r>
        <w:t xml:space="preserve"> </w:t>
      </w:r>
      <w:r>
        <w:rPr>
          <w:i/>
          <w:iCs/>
        </w:rPr>
        <w:t xml:space="preserve">“does an achievable dose reach the target in the brain”</w:t>
      </w:r>
      <w:r>
        <w:t xml:space="preserve">. Detail:</w:t>
      </w:r>
      <w:r>
        <w:t xml:space="preserve"> </w:t>
      </w:r>
      <w:r>
        <w:rPr>
          <w:rStyle w:val="VerbatimChar"/>
        </w:rPr>
        <w:t xml:space="preserve">docs/ADME_RESULTS.md</w:t>
      </w:r>
      <w:r>
        <w:t xml:space="preserve">.</w:t>
      </w:r>
    </w:p>
    <w:bookmarkEnd w:id="10"/>
    <w:bookmarkEnd w:id="11"/>
    <w:bookmarkStart w:id="1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Deciding whether a small molecule, whether a drug or a natural product such as a flavonoid, is</w:t>
      </w:r>
      <w:r>
        <w:t xml:space="preserve"> </w:t>
      </w:r>
      <w:r>
        <w:t xml:space="preserve">likely to act on the brain means answering several questions at once. Can it cross the BBB? Does</w:t>
      </w:r>
      <w:r>
        <w:t xml:space="preserve"> </w:t>
      </w:r>
      <w:r>
        <w:t xml:space="preserve">it engage disease-relevant CNS targets? Is it developable, is it safe, and has anything like it</w:t>
      </w:r>
      <w:r>
        <w:t xml:space="preserve"> </w:t>
      </w:r>
      <w:r>
        <w:t xml:space="preserve">reached the clinic? The web tools in common use each answer part of this. General ADMET servers</w:t>
      </w:r>
      <w:r>
        <w:t xml:space="preserve"> </w:t>
      </w:r>
      <w:r>
        <w:t xml:space="preserve">(SwissADME, ADMETlab, admetSAR, pkCSM) cover physicochemistry and safety; target-prediction tools</w:t>
      </w:r>
      <w:r>
        <w:t xml:space="preserve"> </w:t>
      </w:r>
      <w:r>
        <w:t xml:space="preserve">(SwissTargetPrediction, PPB2) suggest likely protein targets. None of them, though, pulls</w:t>
      </w:r>
      <w:r>
        <w:t xml:space="preserve"> </w:t>
      </w:r>
      <w:r>
        <w:t xml:space="preserve">measured-data CNS target activity, BBB gating, calibrated uncertainty, safety and clinical</w:t>
      </w:r>
      <w:r>
        <w:t xml:space="preserve"> </w:t>
      </w:r>
      <w:r>
        <w:t xml:space="preserve">precedent into one transparent, evidence-grounded tool. That integration is what BrainSafe AI</w:t>
      </w:r>
      <w:r>
        <w:t xml:space="preserve"> </w:t>
      </w:r>
      <w:r>
        <w:t xml:space="preserve">provides.</w:t>
      </w:r>
    </w:p>
    <w:bookmarkEnd w:id="12"/>
    <w:bookmarkStart w:id="21" w:name="methods"/>
    <w:p>
      <w:pPr>
        <w:pStyle w:val="Heading2"/>
      </w:pPr>
      <w:r>
        <w:t xml:space="preserve">2. Methods</w:t>
      </w:r>
    </w:p>
    <w:bookmarkStart w:id="13" w:name="data-sources-all-measured-public"/>
    <w:p>
      <w:pPr>
        <w:pStyle w:val="Heading3"/>
      </w:pPr>
      <w:r>
        <w:t xml:space="preserve">2.1 Data sources (all measured, public)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CNS target bioactivity:</w:t>
      </w:r>
      <w:r>
        <w:t xml:space="preserve"> </w:t>
      </w:r>
      <w:r>
        <w:t xml:space="preserve">ChEMBL REST API. For each target we retrieved activities with</w:t>
      </w:r>
      <w:r>
        <w:t xml:space="preserve"> </w:t>
      </w:r>
      <w:r>
        <w:t xml:space="preserve">a defined pChEMBL value (standard types IC50/Ki/Kd/EC50/Potency): AChE (CHEMBL220), BChE</w:t>
      </w:r>
      <w:r>
        <w:t xml:space="preserve"> </w:t>
      </w:r>
      <w:r>
        <w:t xml:space="preserve">(CHEMBL1914), BACE1 (CHEMBL4822), GSK-3β (CHEMBL262), MAO-A (CHEMBL1951), MAO-B (CHEMBL2039),</w:t>
      </w:r>
      <w:r>
        <w:t xml:space="preserve"> </w:t>
      </w:r>
      <w:r>
        <w:t xml:space="preserve">the hERG safety anti-target (CHEMBL240), and receptors D2 (CHEMBL217), A2A (CHEMBL251),</w:t>
      </w:r>
      <w:r>
        <w:t xml:space="preserve"> </w:t>
      </w:r>
      <w:r>
        <w:t xml:space="preserve">5-HT2A (CHEMBL224), SERT (CHEMBL228).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Blood–brain barrier:</w:t>
      </w:r>
      <w:r>
        <w:t xml:space="preserve"> </w:t>
      </w:r>
      <w:r>
        <w:t xml:space="preserve">B3DB classification dataset (7,807 measured compounds; 7,805 modelled</w:t>
      </w:r>
      <w:r>
        <w:t xml:space="preserve"> </w:t>
      </w:r>
      <w:r>
        <w:t xml:space="preserve">after InChIKey deduplication).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Antioxidant:</w:t>
      </w:r>
      <w:r>
        <w:t xml:space="preserve"> </w:t>
      </w:r>
      <w:r>
        <w:t xml:space="preserve">ChEMBL DPPH radical-scavenging assays; IC50/EC50 → pIC50 (2,862 compounds).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Clinical precedent:</w:t>
      </w:r>
      <w:r>
        <w:t xml:space="preserve"> </w:t>
      </w:r>
      <w:r>
        <w:t xml:space="preserve">ChEMBL ATC level-1</w:t>
      </w:r>
      <w:r>
        <w:t xml:space="preserve"> </w:t>
      </w:r>
      <w:r>
        <w:t xml:space="preserve">“N”</w:t>
      </w:r>
      <w:r>
        <w:t xml:space="preserve"> </w:t>
      </w:r>
      <w:r>
        <w:t xml:space="preserve">(nervous-system) molecules with max clinical</w:t>
      </w:r>
      <w:r>
        <w:t xml:space="preserve"> </w:t>
      </w:r>
      <w:r>
        <w:t xml:space="preserve">phase ≥ 1 and a structure (504 compounds), ATC-mapped to disease class.</w:t>
      </w:r>
    </w:p>
    <w:bookmarkEnd w:id="13"/>
    <w:bookmarkStart w:id="14" w:name="curation-and-labelling"/>
    <w:p>
      <w:pPr>
        <w:pStyle w:val="Heading3"/>
      </w:pPr>
      <w:r>
        <w:t xml:space="preserve">2.2 Curation and labelling</w:t>
      </w:r>
    </w:p>
    <w:p>
      <w:pPr>
        <w:pStyle w:val="FirstParagraph"/>
      </w:pPr>
      <w:r>
        <w:t xml:space="preserve">SMILES were canonicalised and deduplicated by InChIKey (RDKit). For classification, activities</w:t>
      </w:r>
      <w:r>
        <w:t xml:space="preserve"> </w:t>
      </w:r>
      <w:r>
        <w:t xml:space="preserve">were aggregated per compound by median pChEMBL and labelled</w:t>
      </w:r>
      <w:r>
        <w:t xml:space="preserve"> </w:t>
      </w:r>
      <w:r>
        <w:rPr>
          <w:b/>
          <w:bCs/>
        </w:rPr>
        <w:t xml:space="preserve">active = pChEMBL ≥ 6 (≤1 µM)</w:t>
      </w:r>
      <w:r>
        <w:t xml:space="preserve">,</w:t>
      </w:r>
      <w:r>
        <w:t xml:space="preserve"> </w:t>
      </w:r>
      <w:r>
        <w:rPr>
          <w:b/>
          <w:bCs/>
        </w:rPr>
        <w:t xml:space="preserve">inactive = pChEMBL &lt; 5 (&gt;10 µM)</w:t>
      </w:r>
      <w:r>
        <w:t xml:space="preserve">, with the 5–6 grey zone discarded to reduce label noise.</w:t>
      </w:r>
      <w:r>
        <w:t xml:space="preserve"> </w:t>
      </w:r>
      <w:r>
        <w:t xml:space="preserve">Receptor targets (96–98 % active) were unsuitable for binary classification and were instead</w:t>
      </w:r>
      <w:r>
        <w:t xml:space="preserve"> </w:t>
      </w:r>
      <w:r>
        <w:t xml:space="preserve">modelled as</w:t>
      </w:r>
      <w:r>
        <w:t xml:space="preserve"> </w:t>
      </w:r>
      <w:r>
        <w:rPr>
          <w:b/>
          <w:bCs/>
        </w:rPr>
        <w:t xml:space="preserve">potency regression</w:t>
      </w:r>
      <w:r>
        <w:t xml:space="preserve"> </w:t>
      </w:r>
      <w:r>
        <w:t xml:space="preserve">on median pChEMBL. Antioxidant DPPH IC50/EC50 were converted</w:t>
      </w:r>
      <w:r>
        <w:t xml:space="preserve"> </w:t>
      </w:r>
      <w:r>
        <w:t xml:space="preserve">to pIC50 (−log10 M) and aggregated per compound.</w:t>
      </w:r>
    </w:p>
    <w:bookmarkEnd w:id="14"/>
    <w:bookmarkStart w:id="15" w:name="molecular-representation"/>
    <w:p>
      <w:pPr>
        <w:pStyle w:val="Heading3"/>
      </w:pPr>
      <w:r>
        <w:t xml:space="preserve">2.3 Molecular representation</w:t>
      </w:r>
    </w:p>
    <w:p>
      <w:pPr>
        <w:pStyle w:val="FirstParagraph"/>
      </w:pPr>
      <w:r>
        <w:t xml:space="preserve">Each molecule was represented by a</w:t>
      </w:r>
      <w:r>
        <w:t xml:space="preserve"> </w:t>
      </w:r>
      <w:r>
        <w:rPr>
          <w:b/>
          <w:bCs/>
        </w:rPr>
        <w:t xml:space="preserve">1,024-bit Morgan (ECFP, radius 2) fingerprint</w:t>
      </w:r>
      <w:r>
        <w:t xml:space="preserve"> </w:t>
      </w:r>
      <w:r>
        <w:t xml:space="preserve">concatenated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24 interpretable RDKit physicochemical descriptors</w:t>
      </w:r>
      <w:r>
        <w:t xml:space="preserve"> </w:t>
      </w:r>
      <w:r>
        <w:t xml:space="preserve">(MW, cLogP, TPSA, HBD, HBA,</w:t>
      </w:r>
      <w:r>
        <w:t xml:space="preserve"> </w:t>
      </w:r>
      <w:r>
        <w:t xml:space="preserve">rotatable bonds, ring counts, FractionCSP3, QED, phenolic-OH and catechol flags, etc.).</w:t>
      </w:r>
    </w:p>
    <w:bookmarkEnd w:id="15"/>
    <w:bookmarkStart w:id="16" w:name="models"/>
    <w:p>
      <w:pPr>
        <w:pStyle w:val="Heading3"/>
      </w:pPr>
      <w:r>
        <w:t xml:space="preserve">2.4 Models</w:t>
      </w:r>
    </w:p>
    <w:p>
      <w:pPr>
        <w:pStyle w:val="FirstParagraph"/>
      </w:pPr>
      <w:r>
        <w:t xml:space="preserve">Each classification endpoint is an unweighted-mean ensemble of three learners:</w:t>
      </w:r>
      <w:r>
        <w:t xml:space="preserve"> </w:t>
      </w:r>
      <w:r>
        <w:rPr>
          <w:b/>
          <w:bCs/>
        </w:rPr>
        <w:t xml:space="preserve">RandomForest (300</w:t>
      </w:r>
      <w:r>
        <w:rPr>
          <w:b/>
          <w:bCs/>
        </w:rPr>
        <w:t xml:space="preserve"> </w:t>
      </w:r>
      <w:r>
        <w:rPr>
          <w:b/>
          <w:bCs/>
        </w:rPr>
        <w:t xml:space="preserve">trees, class-balanced)</w:t>
      </w:r>
      <w:r>
        <w:t xml:space="preserve">,</w:t>
      </w:r>
      <w:r>
        <w:t xml:space="preserve"> </w:t>
      </w:r>
      <w:r>
        <w:rPr>
          <w:b/>
          <w:bCs/>
        </w:rPr>
        <w:t xml:space="preserve">ExtraTrees (300, class-balanced)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HistGradientBoosting</w:t>
      </w:r>
      <w:r>
        <w:t xml:space="preserve">. The</w:t>
      </w:r>
      <w:r>
        <w:t xml:space="preserve"> </w:t>
      </w:r>
      <w:r>
        <w:t xml:space="preserve">regression endpoints (receptors and antioxidant) use the matching RandomForest/ExtraTrees/</w:t>
      </w:r>
      <w:r>
        <w:t xml:space="preserve"> </w:t>
      </w:r>
      <w:r>
        <w:t xml:space="preserve">HistGradientBoosting</w:t>
      </w:r>
      <w:r>
        <w:t xml:space="preserve"> </w:t>
      </w:r>
      <w:r>
        <w:rPr>
          <w:b/>
          <w:bCs/>
        </w:rPr>
        <w:t xml:space="preserve">regressor</w:t>
      </w:r>
      <w:r>
        <w:t xml:space="preserve"> </w:t>
      </w:r>
      <w:r>
        <w:t xml:space="preserve">ensemble. Whether a classifier is deployed at all is decided by a</w:t>
      </w:r>
      <w:r>
        <w:t xml:space="preserve"> </w:t>
      </w:r>
      <w:r>
        <w:t xml:space="preserve">fixed</w:t>
      </w:r>
      <w:r>
        <w:t xml:space="preserve"> </w:t>
      </w:r>
      <w:r>
        <w:rPr>
          <w:b/>
          <w:bCs/>
        </w:rPr>
        <w:t xml:space="preserve">quality gate: the Matthews correlation coefficient must reach 0.45 under scaffold CV</w:t>
      </w:r>
      <w:r>
        <w:t xml:space="preserve">. Four targets</w:t>
      </w:r>
      <w:r>
        <w:t xml:space="preserve"> </w:t>
      </w:r>
      <w:r>
        <w:t xml:space="preserve">that fell short of it as binary classifiers (D2, A2A, 5-HT2A and SERT) are dropped from</w:t>
      </w:r>
      <w:r>
        <w:t xml:space="preserve"> </w:t>
      </w:r>
      <w:r>
        <w:t xml:space="preserve">classification and served as regression instead, so the routing is a property of the data rather</w:t>
      </w:r>
      <w:r>
        <w:t xml:space="preserve"> </w:t>
      </w:r>
      <w:r>
        <w:t xml:space="preserve">than a manual choice.</w:t>
      </w:r>
    </w:p>
    <w:bookmarkEnd w:id="16"/>
    <w:bookmarkStart w:id="17" w:name="calibration-and-conformal-prediction"/>
    <w:p>
      <w:pPr>
        <w:pStyle w:val="Heading3"/>
      </w:pPr>
      <w:r>
        <w:t xml:space="preserve">2.5 Calibration and conformal prediction</w:t>
      </w:r>
    </w:p>
    <w:p>
      <w:pPr>
        <w:pStyle w:val="FirstParagraph"/>
      </w:pPr>
      <w:r>
        <w:t xml:space="preserve">Probabilities were</w:t>
      </w:r>
      <w:r>
        <w:t xml:space="preserve"> </w:t>
      </w:r>
      <w:r>
        <w:rPr>
          <w:b/>
          <w:bCs/>
        </w:rPr>
        <w:t xml:space="preserve">isotonic-calibrated</w:t>
      </w:r>
      <w:r>
        <w:t xml:space="preserve"> </w:t>
      </w:r>
      <w:r>
        <w:t xml:space="preserve">on scaffold-CV out-of-fold predictions.</w:t>
      </w:r>
      <w:r>
        <w:t xml:space="preserve"> </w:t>
      </w:r>
      <w:r>
        <w:rPr>
          <w:b/>
          <w:bCs/>
        </w:rPr>
        <w:t xml:space="preserve">Mondrian</w:t>
      </w:r>
      <w:r>
        <w:rPr>
          <w:b/>
          <w:bCs/>
        </w:rPr>
        <w:t xml:space="preserve"> </w:t>
      </w:r>
      <w:r>
        <w:rPr>
          <w:b/>
          <w:bCs/>
        </w:rPr>
        <w:t xml:space="preserve">(class-conditional) inductive conformal prediction</w:t>
      </w:r>
      <w:r>
        <w:t xml:space="preserve"> </w:t>
      </w:r>
      <w:r>
        <w:t xml:space="preserve">produces per-compound prediction sets at</w:t>
      </w:r>
      <w:r>
        <w:t xml:space="preserve"> </w:t>
      </w:r>
      <w:r>
        <w:t xml:space="preserve">the 90 % level; empirical coverage was verified on held-out calibration splits.</w:t>
      </w:r>
    </w:p>
    <w:bookmarkEnd w:id="17"/>
    <w:bookmarkStart w:id="18" w:name="X4abe6cf8b818d1b426a4eeb1715d2f14aedbce8"/>
    <w:p>
      <w:pPr>
        <w:pStyle w:val="Heading3"/>
      </w:pPr>
      <w:r>
        <w:t xml:space="preserve">2.6 Validation hierarchy (no single split relied upon)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Random</w:t>
      </w:r>
      <w:r>
        <w:t xml:space="preserve"> </w:t>
      </w:r>
      <w:r>
        <w:t xml:space="preserve">stratified split (like-for-like with most literature).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Scaffold</w:t>
      </w:r>
      <w:r>
        <w:t xml:space="preserve"> </w:t>
      </w:r>
      <w:r>
        <w:t xml:space="preserve">GroupKFold(5) on Bemis–Murcko generic scaffolds (all transforms fit in-fold).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Leave-cluster-out</w:t>
      </w:r>
      <w:r>
        <w:t xml:space="preserve"> </w:t>
      </w:r>
      <w:r>
        <w:t xml:space="preserve">(LeaderPicker sphere-exclusion clusters held out whole).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Temporal:</w:t>
      </w:r>
      <w:r>
        <w:t xml:space="preserve"> </w:t>
      </w:r>
      <w:r>
        <w:t xml:space="preserve">train on compounds reported ≤ 75th-percentile ChEMBL document year, test on</w:t>
      </w:r>
      <w:r>
        <w:t xml:space="preserve"> </w:t>
      </w:r>
      <w:r>
        <w:t xml:space="preserve">the most recent ~25 % (a true future-compound test).</w:t>
      </w:r>
      <w:r>
        <w:t xml:space="preserve"> </w:t>
      </w:r>
      <w:r>
        <w:t xml:space="preserve">Metrics: AUROC, PR-AUC, balanced accuracy, MCC, Brier; for regression R²/RMSE/Spearman.</w:t>
      </w:r>
    </w:p>
    <w:bookmarkEnd w:id="18"/>
    <w:bookmarkStart w:id="19" w:name="integration-layers"/>
    <w:p>
      <w:pPr>
        <w:pStyle w:val="Heading3"/>
      </w:pPr>
      <w:r>
        <w:t xml:space="preserve">2.7 Integration layers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BBB-gated disease synthesis:</w:t>
      </w:r>
      <w:r>
        <w:t xml:space="preserve"> </w:t>
      </w:r>
      <w:r>
        <w:t xml:space="preserve">effective engagement = P(target) × P(BBB); per-disease scores</w:t>
      </w:r>
      <w:r>
        <w:t xml:space="preserve"> </w:t>
      </w:r>
      <w:r>
        <w:t xml:space="preserve">take the max over relevant targets (classifier probability, or regression pKi mapped to</w:t>
      </w:r>
      <w:r>
        <w:t xml:space="preserve"> </w:t>
      </w:r>
      <w:r>
        <w:t xml:space="preserve">engagement), each driver tagged by provenance.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 grounding:</w:t>
      </w:r>
      <w:r>
        <w:t xml:space="preserve"> </w:t>
      </w:r>
      <w:r>
        <w:t xml:space="preserve">every call returns the nearest real measured analogues (Tanimoto +</w:t>
      </w:r>
      <w:r>
        <w:t xml:space="preserve"> </w:t>
      </w:r>
      <w:r>
        <w:t xml:space="preserve">measured outcome + pChEMBL).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Druggability:</w:t>
      </w:r>
      <w:r>
        <w:t xml:space="preserve"> </w:t>
      </w:r>
      <w:r>
        <w:t xml:space="preserve">deterministic composite of QED, Lipinski Ro5, Veber, CNS-MPO, PAINS (RDKit).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Clinical precedent:</w:t>
      </w:r>
      <w:r>
        <w:t xml:space="preserve"> </w:t>
      </w:r>
      <w:r>
        <w:t xml:space="preserve">nearest ATC-N clinical compounds with phase + disease class.</w:t>
      </w:r>
    </w:p>
    <w:bookmarkEnd w:id="19"/>
    <w:bookmarkStart w:id="20" w:name="software"/>
    <w:p>
      <w:pPr>
        <w:pStyle w:val="Heading3"/>
      </w:pPr>
      <w:r>
        <w:t xml:space="preserve">2.8 Software</w:t>
      </w:r>
    </w:p>
    <w:p>
      <w:pPr>
        <w:pStyle w:val="FirstParagraph"/>
      </w:pPr>
      <w:r>
        <w:t xml:space="preserve">Python 3, RDKit 2026.03, scikit-learn 1.8, NumPy/Pandas/SciPy; Streamlit front end. All code and</w:t>
      </w:r>
      <w:r>
        <w:t xml:space="preserve"> </w:t>
      </w:r>
      <w:r>
        <w:t xml:space="preserve">data-fetch scripts are in the repository; fixed random_state = 42 throughout.</w:t>
      </w:r>
    </w:p>
    <w:bookmarkEnd w:id="20"/>
    <w:bookmarkEnd w:id="21"/>
    <w:bookmarkStart w:id="29" w:name="results"/>
    <w:p>
      <w:pPr>
        <w:pStyle w:val="Heading2"/>
      </w:pPr>
      <w:r>
        <w:t xml:space="preserve">3. Results</w:t>
      </w:r>
    </w:p>
    <w:p>
      <w:pPr>
        <w:pStyle w:val="FirstParagraph"/>
      </w:pPr>
      <w:r>
        <w:t xml:space="preserve">We report results in two complementary modes. The</w:t>
      </w:r>
      <w:r>
        <w:t xml:space="preserve"> </w:t>
      </w:r>
      <w:r>
        <w:rPr>
          <w:b/>
          <w:bCs/>
        </w:rPr>
        <w:t xml:space="preserve">non-comparative analysis</w:t>
      </w:r>
      <w:r>
        <w:t xml:space="preserve"> </w:t>
      </w:r>
      <w:r>
        <w:t xml:space="preserve">(§3.1–3.4) looks at</w:t>
      </w:r>
      <w:r>
        <w:t xml:space="preserve"> </w:t>
      </w:r>
      <w:r>
        <w:t xml:space="preserve">each endpoint on its own terms, measuring the deployed model against its own held-out data:</w:t>
      </w:r>
      <w:r>
        <w:t xml:space="preserve"> </w:t>
      </w:r>
      <w:r>
        <w:t xml:space="preserve">discrimination, calibration, conformal coverage and prospective behaviour. The</w:t>
      </w:r>
      <w:r>
        <w:t xml:space="preserve"> </w:t>
      </w:r>
      <w:r>
        <w:rPr>
          <w:b/>
          <w:bCs/>
        </w:rPr>
        <w:t xml:space="preserve">comparative</w:t>
      </w:r>
      <w:r>
        <w:rPr>
          <w:b/>
          <w:bCs/>
        </w:rPr>
        <w:t xml:space="preserve"> </w:t>
      </w:r>
      <w:r>
        <w:rPr>
          <w:b/>
          <w:bCs/>
        </w:rPr>
        <w:t xml:space="preserve">analysis</w:t>
      </w:r>
      <w:r>
        <w:t xml:space="preserve"> </w:t>
      </w:r>
      <w:r>
        <w:t xml:space="preserve">(§3.5–3.7) then sets those same models against external reference points: published QSAR</w:t>
      </w:r>
      <w:r>
        <w:t xml:space="preserve"> </w:t>
      </w:r>
      <w:r>
        <w:t xml:space="preserve">ranges (§3.5), simpler internal baselines run under an identical protocol (§3.6), and the</w:t>
      </w:r>
      <w:r>
        <w:t xml:space="preserve"> </w:t>
      </w:r>
      <w:r>
        <w:t xml:space="preserve">general-purpose large-language-model paradigm (§3.7).</w:t>
      </w:r>
    </w:p>
    <w:bookmarkStart w:id="22" w:name="X49d19c46490bf045506f5cdd1a71b6b47223889"/>
    <w:p>
      <w:pPr>
        <w:pStyle w:val="Heading3"/>
      </w:pPr>
      <w:r>
        <w:t xml:space="preserve">3.1 Classification endpoints: full validation hierarchy (non-comparative)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(n)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Scaffold</w:t>
            </w:r>
          </w:p>
        </w:tc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Brier</w:t>
            </w:r>
          </w:p>
        </w:tc>
        <w:tc>
          <w:tcPr/>
          <w:p>
            <w:pPr>
              <w:pStyle w:val="Compact"/>
            </w:pPr>
            <w:r>
              <w:t xml:space="preserve">Conformal cov.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 (7,805)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0.921</w:t>
            </w:r>
          </w:p>
        </w:tc>
        <w:tc>
          <w:tcPr/>
          <w:p>
            <w:pPr>
              <w:pStyle w:val="Compact"/>
            </w:pPr>
            <w:r>
              <w:t xml:space="preserve">0.906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 (4,324)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  <w:tc>
          <w:tcPr/>
          <w:p>
            <w:pPr>
              <w:pStyle w:val="Compact"/>
            </w:pPr>
            <w:r>
              <w:t xml:space="preserve">0.915</w:t>
            </w:r>
          </w:p>
        </w:tc>
        <w:tc>
          <w:tcPr/>
          <w:p>
            <w:pPr>
              <w:pStyle w:val="Compact"/>
            </w:pPr>
            <w:r>
              <w:t xml:space="preserve">0.912</w:t>
            </w:r>
          </w:p>
        </w:tc>
        <w:tc>
          <w:tcPr/>
          <w:p>
            <w:pPr>
              <w:pStyle w:val="Compact"/>
            </w:pPr>
            <w:r>
              <w:t xml:space="preserve">0.784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0.899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BChE (2,580)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0.921</w:t>
            </w:r>
          </w:p>
        </w:tc>
        <w:tc>
          <w:tcPr/>
          <w:p>
            <w:pPr>
              <w:pStyle w:val="Compact"/>
            </w:pPr>
            <w:r>
              <w:t xml:space="preserve">0.794</w:t>
            </w: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  <w:tc>
          <w:tcPr/>
          <w:p>
            <w:pPr>
              <w:pStyle w:val="Compact"/>
            </w:pPr>
            <w:r>
              <w:t xml:space="preserve">0.899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 (8,067)</w:t>
            </w:r>
          </w:p>
        </w:tc>
        <w:tc>
          <w:tcPr/>
          <w:p>
            <w:pPr>
              <w:pStyle w:val="Compact"/>
            </w:pPr>
            <w:r>
              <w:t xml:space="preserve">0.956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0.940</w:t>
            </w:r>
          </w:p>
        </w:tc>
        <w:tc>
          <w:tcPr/>
          <w:p>
            <w:pPr>
              <w:pStyle w:val="Compact"/>
            </w:pPr>
            <w:r>
              <w:t xml:space="preserve">0.915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GSK-3β (4,044)</w:t>
            </w:r>
          </w:p>
        </w:tc>
        <w:tc>
          <w:tcPr/>
          <w:p>
            <w:pPr>
              <w:pStyle w:val="Compact"/>
            </w:pPr>
            <w:r>
              <w:t xml:space="preserve">0.943</w:t>
            </w:r>
          </w:p>
        </w:tc>
        <w:tc>
          <w:tcPr/>
          <w:p>
            <w:pPr>
              <w:pStyle w:val="Compact"/>
            </w:pPr>
            <w:r>
              <w:t xml:space="preserve">0.920</w:t>
            </w:r>
          </w:p>
        </w:tc>
        <w:tc>
          <w:tcPr/>
          <w:p>
            <w:pPr>
              <w:pStyle w:val="Compact"/>
            </w:pPr>
            <w:r>
              <w:t xml:space="preserve">0.915</w:t>
            </w:r>
          </w:p>
        </w:tc>
        <w:tc>
          <w:tcPr/>
          <w:p>
            <w:pPr>
              <w:pStyle w:val="Compact"/>
            </w:pPr>
            <w:r>
              <w:t xml:space="preserve">0.658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 (3,455)</w:t>
            </w:r>
          </w:p>
        </w:tc>
        <w:tc>
          <w:tcPr/>
          <w:p>
            <w:pPr>
              <w:pStyle w:val="Compact"/>
            </w:pPr>
            <w:r>
              <w:t xml:space="preserve">0.960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0.873</w:t>
            </w:r>
          </w:p>
        </w:tc>
        <w:tc>
          <w:tcPr/>
          <w:p>
            <w:pPr>
              <w:pStyle w:val="Compact"/>
            </w:pPr>
            <w:r>
              <w:t xml:space="preserve">0.758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0.895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 (2,141)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0.890</w:t>
            </w:r>
          </w:p>
        </w:tc>
        <w:tc>
          <w:tcPr/>
          <w:p>
            <w:pPr>
              <w:pStyle w:val="Compact"/>
            </w:pPr>
            <w:r>
              <w:t xml:space="preserve">0.614</w:t>
            </w:r>
          </w:p>
        </w:tc>
        <w:tc>
          <w:tcPr/>
          <w:p>
            <w:pPr>
              <w:pStyle w:val="Compact"/>
            </w:pPr>
            <w:r>
              <w:t xml:space="preserve">0.136</w:t>
            </w:r>
          </w:p>
        </w:tc>
        <w:tc>
          <w:tcPr/>
          <w:p>
            <w:pPr>
              <w:pStyle w:val="Compact"/>
            </w:pPr>
            <w:r>
              <w:t xml:space="preserve">0.905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 (5,905)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0.870</w:t>
            </w:r>
          </w:p>
        </w:tc>
        <w:tc>
          <w:tcPr/>
          <w:p>
            <w:pPr>
              <w:pStyle w:val="Compact"/>
            </w:pPr>
            <w:r>
              <w:t xml:space="preserve">0.757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0.896</w:t>
            </w:r>
          </w:p>
        </w:tc>
      </w:tr>
    </w:tbl>
    <w:p>
      <w:pPr>
        <w:pStyle w:val="BodyText"/>
      </w:pPr>
      <w:r>
        <w:t xml:space="preserve">AUROC values. Conformal coverage targets 0.90; empirical 0.885–0.905 across endpoints.</w:t>
      </w:r>
      <w:r>
        <w:t xml:space="preserve"> </w:t>
      </w:r>
      <w:r>
        <w:rPr>
          <w:i/>
          <w:iCs/>
        </w:rPr>
        <w:t xml:space="preserve">(Figure 3: validation hierarchy; Figure 4A: scaffold-CV ROC curves; Figure 4B: calibration</w:t>
      </w:r>
      <w:r>
        <w:rPr>
          <w:i/>
          <w:iCs/>
        </w:rPr>
        <w:t xml:space="preserve"> </w:t>
      </w:r>
      <w:r>
        <w:rPr>
          <w:i/>
          <w:iCs/>
        </w:rPr>
        <w:t xml:space="preserve">reliability; Figure 5A: conformal coverage; Figure 2: dataset size/balance. Full metrics:</w:t>
      </w:r>
      <w:r>
        <w:rPr>
          <w:i/>
          <w:iCs/>
        </w:rPr>
        <w:t xml:space="preserve"> </w:t>
      </w:r>
      <w:r>
        <w:rPr>
          <w:i/>
          <w:iCs/>
        </w:rPr>
        <w:t xml:space="preserve">Supplementary Table S1; per-threshold precision/recall/F1: S4; similarity-binned generalisation: S5.)</w:t>
      </w:r>
    </w:p>
    <w:bookmarkEnd w:id="22"/>
    <w:bookmarkStart w:id="23" w:name="X00fb1051d4358d74a1a860cbe08f635c85ffadd"/>
    <w:p>
      <w:pPr>
        <w:pStyle w:val="Heading3"/>
      </w:pPr>
      <w:r>
        <w:t xml:space="preserve">3.2 Receptor potency regression (scaffold-CV, non-comparative)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Receptor (n)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Spearman</w:t>
            </w:r>
          </w:p>
        </w:tc>
        <w:tc>
          <w:tcPr/>
          <w:p>
            <w:pPr>
              <w:pStyle w:val="Compact"/>
            </w:pPr>
            <w:r>
              <w:t xml:space="preserve">Temporal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 (5,547)</w:t>
            </w:r>
          </w:p>
        </w:tc>
        <w:tc>
          <w:tcPr/>
          <w:p>
            <w:pPr>
              <w:pStyle w:val="Compact"/>
            </w:pPr>
            <w:r>
              <w:t xml:space="preserve">0.526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0.706</w:t>
            </w:r>
          </w:p>
        </w:tc>
        <w:tc>
          <w:tcPr/>
          <w:p>
            <w:pPr>
              <w:pStyle w:val="Compact"/>
            </w:pPr>
            <w:r>
              <w:t xml:space="preserve">0.326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5-HT2A (5,256)</w:t>
            </w:r>
          </w:p>
        </w:tc>
        <w:tc>
          <w:tcPr/>
          <w:p>
            <w:pPr>
              <w:pStyle w:val="Compact"/>
            </w:pPr>
            <w:r>
              <w:t xml:space="preserve">0.460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0.684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(7,511)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0.652</w:t>
            </w:r>
          </w:p>
        </w:tc>
        <w:tc>
          <w:tcPr/>
          <w:p>
            <w:pPr>
              <w:pStyle w:val="Compact"/>
            </w:pPr>
            <w:r>
              <w:t xml:space="preserve">−0.007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SERT (4,471)</w:t>
            </w:r>
          </w:p>
        </w:tc>
        <w:tc>
          <w:tcPr/>
          <w:p>
            <w:pPr>
              <w:pStyle w:val="Compact"/>
            </w:pPr>
            <w:r>
              <w:t xml:space="preserve">0.338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0.573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</w:tr>
    </w:tbl>
    <w:p>
      <w:pPr>
        <w:pStyle w:val="BodyText"/>
      </w:pPr>
      <w:r>
        <w:rPr>
          <w:i/>
          <w:iCs/>
        </w:rPr>
        <w:t xml:space="preserve">(Predicted-vs-measured scatter: Figure 7; Supplementary Table S2.)</w:t>
      </w:r>
    </w:p>
    <w:bookmarkEnd w:id="23"/>
    <w:bookmarkStart w:id="24" w:name="X640b861ce7d5f7193a80bb6a9207691c69e2ebd"/>
    <w:p>
      <w:pPr>
        <w:pStyle w:val="Heading3"/>
      </w:pPr>
      <w:r>
        <w:t xml:space="preserve">3.3 Antioxidant (measured DPPH) and druggability</w:t>
      </w:r>
    </w:p>
    <w:p>
      <w:pPr>
        <w:pStyle w:val="FirstParagraph"/>
      </w:pPr>
      <w:r>
        <w:t xml:space="preserve">Measured DPPH regression (n=2,862): scaffold-CV</w:t>
      </w:r>
      <w:r>
        <w:t xml:space="preserve"> </w:t>
      </w:r>
      <w:r>
        <w:rPr>
          <w:b/>
          <w:bCs/>
        </w:rPr>
        <w:t xml:space="preserve">R² = 0.43, RMSE = 0.60, Spearman = 0.636</w:t>
      </w:r>
      <w:r>
        <w:t xml:space="preserve"> </w:t>
      </w:r>
      <w:r>
        <w:t xml:space="preserve">(vs curated R²≈0.25). The prior curated score correlated only weakly with measured DPPH</w:t>
      </w:r>
      <w:r>
        <w:t xml:space="preserve"> </w:t>
      </w:r>
      <w:r>
        <w:t xml:space="preserve">(Spearman 0.39), confirming the measured model as the superior basis. Druggability/CNS-MPO is</w:t>
      </w:r>
      <w:r>
        <w:t xml:space="preserve"> </w:t>
      </w:r>
      <w:r>
        <w:t xml:space="preserve">deterministic and discriminates CNS drugs from polar non-drugs (donepezil 79, caffeine 86 vs</w:t>
      </w:r>
      <w:r>
        <w:t xml:space="preserve"> </w:t>
      </w:r>
      <w:r>
        <w:t xml:space="preserve">sucrose 46, atorvastatin 24).</w:t>
      </w:r>
    </w:p>
    <w:bookmarkEnd w:id="24"/>
    <w:bookmarkStart w:id="25" w:name="Xc68b5ccabd23336a874136c1d50fabbe31b42ae"/>
    <w:p>
      <w:pPr>
        <w:pStyle w:val="Heading3"/>
      </w:pPr>
      <w:r>
        <w:t xml:space="preserve">3.4 Prospective sanity (chemistry-only inputs, non-comparative)</w:t>
      </w:r>
    </w:p>
    <w:p>
      <w:pPr>
        <w:pStyle w:val="FirstParagraph"/>
      </w:pPr>
      <w:r>
        <w:t xml:space="preserve">With chemistry-only inputs the integrated system reproduces established pharmacology (values are the</w:t>
      </w:r>
      <w:r>
        <w:t xml:space="preserve"> </w:t>
      </w:r>
      <w:r>
        <w:t xml:space="preserve">tool’s actual outputs;</w:t>
      </w:r>
      <w:r>
        <w:t xml:space="preserve"> </w:t>
      </w:r>
      <w:r>
        <w:rPr>
          <w:rStyle w:val="VerbatimChar"/>
        </w:rPr>
        <w:t xml:space="preserve">BS_llm_benchmark_groundtruth.json</w:t>
      </w:r>
      <w:r>
        <w:t xml:space="preserve">). Donepezil → Alzheimer’s disease</w:t>
      </w:r>
      <w:r>
        <w:t xml:space="preserve"> </w:t>
      </w:r>
      <w:r>
        <w:t xml:space="preserve">(score 1.00) via AChE (P=1.00), BBB-penetrant (0.997), with clinical precedent (Donepezil, Phase 4,</w:t>
      </w:r>
      <w:r>
        <w:t xml:space="preserve"> </w:t>
      </w:r>
      <w:r>
        <w:t xml:space="preserve">Alzheimer’s); Rivastigmine → Alzheimer’s (0.85) via BChE (the tool identifies the butyrylcholinesterase</w:t>
      </w:r>
      <w:r>
        <w:t xml:space="preserve"> </w:t>
      </w:r>
      <w:r>
        <w:t xml:space="preserve">route), BBB-penetrant; Rasagiline → Parkinson’s disease (0.95) via MAO-B, clinical precedent</w:t>
      </w:r>
      <w:r>
        <w:t xml:space="preserve"> </w:t>
      </w:r>
      <w:r>
        <w:t xml:space="preserve">(Rasagiline, Phase 4, Parkinson’s); Fluoxetine → Depression (0.96) via SERT with clinical precedent</w:t>
      </w:r>
      <w:r>
        <w:t xml:space="preserve"> </w:t>
      </w:r>
      <w:r>
        <w:t xml:space="preserve">(Fluoxetine, Phase 4, Depression); Terfenadine →</w:t>
      </w:r>
      <w:r>
        <w:t xml:space="preserve"> </w:t>
      </w:r>
      <w:r>
        <w:rPr>
          <w:b/>
          <w:bCs/>
        </w:rPr>
        <w:t xml:space="preserve">hERG 1.00</w:t>
      </w:r>
      <w:r>
        <w:t xml:space="preserve"> </w:t>
      </w:r>
      <w:r>
        <w:t xml:space="preserve">(withdrawn for cardiotoxicity, correctly</w:t>
      </w:r>
      <w:r>
        <w:t xml:space="preserve"> </w:t>
      </w:r>
      <w:r>
        <w:t xml:space="preserve">flagged) and BBB non-penetrant (0.42); Resveratrol and Quercetin → BBB non-penetrant (0.35 and 0.18)</w:t>
      </w:r>
      <w:r>
        <w:t xml:space="preserve"> </w:t>
      </w:r>
      <w:r>
        <w:t xml:space="preserve">with the highest antioxidant scores in the set. Donepezil’s hERG is flagged (P=0.78); we note its</w:t>
      </w:r>
      <w:r>
        <w:t xml:space="preserve"> </w:t>
      </w:r>
      <w:r>
        <w:t xml:space="preserve">clinical hERG relevance is modest relative to therapeutic exposure and therefore treat it cautiously</w:t>
      </w:r>
      <w:r>
        <w:t xml:space="preserve"> </w:t>
      </w:r>
      <w:r>
        <w:t xml:space="preserve">(§3.7d). The system</w:t>
      </w:r>
      <w:r>
        <w:t xml:space="preserve"> </w:t>
      </w:r>
      <w:r>
        <w:t xml:space="preserve">reproduces known pharmacology and safety.</w:t>
      </w:r>
    </w:p>
    <w:bookmarkEnd w:id="25"/>
    <w:bookmarkStart w:id="26" w:name="benchmark-vs-literature-comparative"/>
    <w:p>
      <w:pPr>
        <w:pStyle w:val="Heading3"/>
      </w:pPr>
      <w:r>
        <w:t xml:space="preserve">3.5 Benchmark vs literature (comparative)</w:t>
      </w:r>
    </w:p>
    <w:p>
      <w:pPr>
        <w:pStyle w:val="FirstParagraph"/>
      </w:pPr>
      <w:r>
        <w:t xml:space="preserve">On random splits, BrainSafe AUROC (0.94–0.98) is at/above published ranges (BBB 0.88–0.96;</w:t>
      </w:r>
      <w:r>
        <w:t xml:space="preserve"> </w:t>
      </w:r>
      <w:r>
        <w:t xml:space="preserve">hERG 0.86–0.93). The same models additionally report the stricter scaffold/cluster/temporal</w:t>
      </w:r>
      <w:r>
        <w:t xml:space="preserve"> </w:t>
      </w:r>
      <w:r>
        <w:t xml:space="preserve">numbers most studies omit.</w:t>
      </w:r>
      <w:r>
        <w:t xml:space="preserve"> </w:t>
      </w:r>
      <w:r>
        <w:rPr>
          <w:i/>
          <w:iCs/>
        </w:rPr>
        <w:t xml:space="preserve">(Figure 6; Supplementary Table S7.)</w:t>
      </w:r>
    </w:p>
    <w:bookmarkEnd w:id="26"/>
    <w:bookmarkStart w:id="27" w:name="X0415b67cff38a691d645ec8fb4a2d3a8b908cdb"/>
    <w:p>
      <w:pPr>
        <w:pStyle w:val="Heading3"/>
      </w:pPr>
      <w:r>
        <w:t xml:space="preserve">3.6 Ablation against simpler baselines (comparative)</w:t>
      </w:r>
    </w:p>
    <w:p>
      <w:pPr>
        <w:pStyle w:val="FirstParagraph"/>
      </w:pPr>
      <w:r>
        <w:t xml:space="preserve">Does the ensemble actually add anything beyond looking up similar molecules? To find out, we ran it</w:t>
      </w:r>
      <w:r>
        <w:t xml:space="preserve"> </w:t>
      </w:r>
      <w:r>
        <w:t xml:space="preserve">against two simpler methods under the same scaffold-split protocol and the same features: a</w:t>
      </w:r>
      <w:r>
        <w:t xml:space="preserve"> </w:t>
      </w:r>
      <w:r>
        <w:rPr>
          <w:b/>
          <w:bCs/>
        </w:rPr>
        <w:t xml:space="preserve">k-nearest-neighbour Tanimoto</w:t>
      </w:r>
      <w:r>
        <w:rPr>
          <w:b/>
          <w:bCs/>
        </w:rPr>
        <w:t xml:space="preserve"> </w:t>
      </w:r>
      <w:r>
        <w:rPr>
          <w:b/>
          <w:bCs/>
        </w:rPr>
        <w:t xml:space="preserve">“read-across”</w:t>
      </w:r>
      <w:r>
        <w:rPr>
          <w:b/>
          <w:bCs/>
        </w:rPr>
        <w:t xml:space="preserve"> </w:t>
      </w:r>
      <w:r>
        <w:rPr>
          <w:b/>
          <w:bCs/>
        </w:rPr>
        <w:t xml:space="preserve">baseline</w:t>
      </w:r>
      <w:r>
        <w:t xml:space="preserve">, which is about as close as an algorithm gets</w:t>
      </w:r>
      <w:r>
        <w:t xml:space="preserve"> </w:t>
      </w:r>
      <w:r>
        <w:t xml:space="preserve">to associative structural recall, and</w:t>
      </w:r>
      <w:r>
        <w:t xml:space="preserve"> </w:t>
      </w:r>
      <w:r>
        <w:rPr>
          <w:b/>
          <w:bCs/>
        </w:rPr>
        <w:t xml:space="preserve">L2-regularised logistic regression</w:t>
      </w:r>
      <w:r>
        <w:t xml:space="preserve">. Over the eight deployed</w:t>
      </w:r>
      <w:r>
        <w:t xml:space="preserve"> </w:t>
      </w:r>
      <w:r>
        <w:t xml:space="preserve">classification endpoints the ensemble reaches a mean scaffold-split AUROC of</w:t>
      </w:r>
      <w:r>
        <w:t xml:space="preserve"> </w:t>
      </w:r>
      <w:r>
        <w:rPr>
          <w:b/>
          <w:bCs/>
        </w:rPr>
        <w:t xml:space="preserve">0.912</w:t>
      </w:r>
      <w:r>
        <w:t xml:space="preserve">, against</w:t>
      </w:r>
      <w:r>
        <w:t xml:space="preserve"> </w:t>
      </w:r>
      <w:r>
        <w:rPr>
          <w:b/>
          <w:bCs/>
        </w:rPr>
        <w:t xml:space="preserve">0.867</w:t>
      </w:r>
      <w:r>
        <w:t xml:space="preserve"> </w:t>
      </w:r>
      <w:r>
        <w:t xml:space="preserve">for kNN-Tanimoto (mean Δ =</w:t>
      </w:r>
      <w:r>
        <w:t xml:space="preserve"> </w:t>
      </w:r>
      <w:r>
        <w:rPr>
          <w:b/>
          <w:bCs/>
        </w:rPr>
        <w:t xml:space="preserve">+0.045</w:t>
      </w:r>
      <w:r>
        <w:t xml:space="preserve">) and</w:t>
      </w:r>
      <w:r>
        <w:t xml:space="preserve"> </w:t>
      </w:r>
      <w:r>
        <w:rPr>
          <w:b/>
          <w:bCs/>
        </w:rPr>
        <w:t xml:space="preserve">0.808</w:t>
      </w:r>
      <w:r>
        <w:t xml:space="preserve"> </w:t>
      </w:r>
      <w:r>
        <w:t xml:space="preserve">for logistic regression</w:t>
      </w:r>
      <w:r>
        <w:t xml:space="preserve"> </w:t>
      </w:r>
      <w:r>
        <w:t xml:space="preserve">(mean Δ =</w:t>
      </w:r>
      <w:r>
        <w:t xml:space="preserve"> </w:t>
      </w:r>
      <w:r>
        <w:rPr>
          <w:b/>
          <w:bCs/>
        </w:rPr>
        <w:t xml:space="preserve">+0.104</w:t>
      </w:r>
      <w:r>
        <w:t xml:space="preserve">), and it wins on</w:t>
      </w:r>
      <w:r>
        <w:t xml:space="preserve"> </w:t>
      </w:r>
      <w:r>
        <w:rPr>
          <w:b/>
          <w:bCs/>
        </w:rPr>
        <w:t xml:space="preserve">every one of the eight endpoints</w:t>
      </w:r>
      <w:r>
        <w:t xml:space="preserve"> </w:t>
      </w:r>
      <w:r>
        <w:t xml:space="preserve">(table below;</w:t>
      </w:r>
      <w:r>
        <w:t xml:space="preserve"> </w:t>
      </w:r>
      <w:r>
        <w:t xml:space="preserve">Supplementary Table S9). Beating a pure nearest-neighbour read-across on all of them tells us the</w:t>
      </w:r>
      <w:r>
        <w:t xml:space="preserve"> </w:t>
      </w:r>
      <w:r>
        <w:t xml:space="preserve">ensemble has learned structure–activity relationships that do not reduce to</w:t>
      </w:r>
      <w:r>
        <w:t xml:space="preserve"> </w:t>
      </w:r>
      <w:r>
        <w:t xml:space="preserve">“find the most similar</w:t>
      </w:r>
      <w:r>
        <w:t xml:space="preserve"> </w:t>
      </w:r>
      <w:r>
        <w:t xml:space="preserve">known molecule.”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Ensemble</w:t>
            </w:r>
          </w:p>
        </w:tc>
        <w:tc>
          <w:tcPr/>
          <w:p>
            <w:pPr>
              <w:pStyle w:val="Compact"/>
            </w:pPr>
            <w:r>
              <w:t xml:space="preserve">kNN-Tanimoto</w:t>
            </w:r>
          </w:p>
        </w:tc>
        <w:tc>
          <w:tcPr/>
          <w:p>
            <w:pPr>
              <w:pStyle w:val="Compact"/>
            </w:pPr>
            <w:r>
              <w:t xml:space="preserve">Logistic reg.</w:t>
            </w:r>
          </w:p>
        </w:tc>
        <w:tc>
          <w:tcPr/>
          <w:p>
            <w:pPr>
              <w:pStyle w:val="Compact"/>
            </w:pPr>
            <w:r>
              <w:t xml:space="preserve">Δ vs kNN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</w:pPr>
            <w:r>
              <w:t xml:space="preserve">0.921</w:t>
            </w:r>
          </w:p>
        </w:tc>
        <w:tc>
          <w:tcPr/>
          <w:p>
            <w:pPr>
              <w:pStyle w:val="Compact"/>
            </w:pPr>
            <w:r>
              <w:t xml:space="preserve">0.882</w:t>
            </w:r>
          </w:p>
        </w:tc>
        <w:tc>
          <w:tcPr/>
          <w:p>
            <w:pPr>
              <w:pStyle w:val="Compact"/>
            </w:pPr>
            <w:r>
              <w:t xml:space="preserve">0.792</w:t>
            </w:r>
          </w:p>
        </w:tc>
        <w:tc>
          <w:tcPr/>
          <w:p>
            <w:pPr>
              <w:pStyle w:val="Compact"/>
            </w:pPr>
            <w:r>
              <w:t xml:space="preserve">+0.039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</w:pPr>
            <w:r>
              <w:t xml:space="preserve">0.915</w:t>
            </w:r>
          </w:p>
        </w:tc>
        <w:tc>
          <w:tcPr/>
          <w:p>
            <w:pPr>
              <w:pStyle w:val="Compact"/>
            </w:pPr>
            <w:r>
              <w:t xml:space="preserve">0.874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  <w:tc>
          <w:tcPr/>
          <w:p>
            <w:pPr>
              <w:pStyle w:val="Compact"/>
            </w:pPr>
            <w:r>
              <w:t xml:space="preserve">+0.041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BChE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0.899</w:t>
            </w:r>
          </w:p>
        </w:tc>
        <w:tc>
          <w:tcPr/>
          <w:p>
            <w:pPr>
              <w:pStyle w:val="Compact"/>
            </w:pPr>
            <w:r>
              <w:t xml:space="preserve">0.866</w:t>
            </w:r>
          </w:p>
        </w:tc>
        <w:tc>
          <w:tcPr/>
          <w:p>
            <w:pPr>
              <w:pStyle w:val="Compact"/>
            </w:pPr>
            <w:r>
              <w:t xml:space="preserve">+0.038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0.883</w:t>
            </w:r>
          </w:p>
        </w:tc>
        <w:tc>
          <w:tcPr/>
          <w:p>
            <w:pPr>
              <w:pStyle w:val="Compact"/>
            </w:pPr>
            <w:r>
              <w:t xml:space="preserve">+0.065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GSK-3β</w:t>
            </w:r>
          </w:p>
        </w:tc>
        <w:tc>
          <w:tcPr/>
          <w:p>
            <w:pPr>
              <w:pStyle w:val="Compact"/>
            </w:pPr>
            <w:r>
              <w:t xml:space="preserve">0.920</w:t>
            </w:r>
          </w:p>
        </w:tc>
        <w:tc>
          <w:tcPr/>
          <w:p>
            <w:pPr>
              <w:pStyle w:val="Compact"/>
            </w:pPr>
            <w:r>
              <w:t xml:space="preserve">0.842</w:t>
            </w:r>
          </w:p>
        </w:tc>
        <w:tc>
          <w:tcPr/>
          <w:p>
            <w:pPr>
              <w:pStyle w:val="Compact"/>
            </w:pPr>
            <w:r>
              <w:t xml:space="preserve">0.831</w:t>
            </w:r>
          </w:p>
        </w:tc>
        <w:tc>
          <w:tcPr/>
          <w:p>
            <w:pPr>
              <w:pStyle w:val="Compact"/>
            </w:pPr>
            <w:r>
              <w:t xml:space="preserve">+0.078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0.833</w:t>
            </w:r>
          </w:p>
        </w:tc>
        <w:tc>
          <w:tcPr/>
          <w:p>
            <w:pPr>
              <w:pStyle w:val="Compact"/>
            </w:pPr>
            <w:r>
              <w:t xml:space="preserve">0.742</w:t>
            </w:r>
          </w:p>
        </w:tc>
        <w:tc>
          <w:tcPr/>
          <w:p>
            <w:pPr>
              <w:pStyle w:val="Compact"/>
            </w:pPr>
            <w:r>
              <w:t xml:space="preserve">+0.052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0.853</w:t>
            </w:r>
          </w:p>
        </w:tc>
        <w:tc>
          <w:tcPr/>
          <w:p>
            <w:pPr>
              <w:pStyle w:val="Compact"/>
            </w:pPr>
            <w:r>
              <w:t xml:space="preserve">0.731</w:t>
            </w:r>
          </w:p>
        </w:tc>
        <w:tc>
          <w:tcPr/>
          <w:p>
            <w:pPr>
              <w:pStyle w:val="Compact"/>
            </w:pPr>
            <w:r>
              <w:t xml:space="preserve">+0.014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  <w:tc>
          <w:tcPr/>
          <w:p>
            <w:pPr>
              <w:pStyle w:val="Compact"/>
            </w:pPr>
            <w:r>
              <w:t xml:space="preserve">0.792</w:t>
            </w:r>
          </w:p>
        </w:tc>
        <w:tc>
          <w:tcPr/>
          <w:p>
            <w:pPr>
              <w:pStyle w:val="Compact"/>
            </w:pPr>
            <w:r>
              <w:t xml:space="preserve">+0.030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+0.045</w:t>
            </w:r>
          </w:p>
        </w:tc>
      </w:tr>
    </w:tbl>
    <w:bookmarkEnd w:id="27"/>
    <w:bookmarkStart w:id="28" w:name="Xa4b10b6293484a58e132328f2781ed70c37e2b4"/>
    <w:p>
      <w:pPr>
        <w:pStyle w:val="Heading3"/>
      </w:pPr>
      <w:r>
        <w:t xml:space="preserve">3.7 Comparison with general-purpose large language models (comparative)</w:t>
      </w:r>
    </w:p>
    <w:p>
      <w:pPr>
        <w:pStyle w:val="FirstParagraph"/>
      </w:pPr>
      <w:r>
        <w:t xml:space="preserve">A reviewer asked why a dedicated tool is needed when a general-purpose large language model</w:t>
      </w:r>
      <w:r>
        <w:t xml:space="preserve"> </w:t>
      </w:r>
      <w:r>
        <w:t xml:space="preserve">(LLM) can be queried in natural language for similar information. We address this with (a) the</w:t>
      </w:r>
      <w:r>
        <w:t xml:space="preserve"> </w:t>
      </w:r>
      <w:r>
        <w:t xml:space="preserve">peer-reviewed benchmark evidence, (b) an architectural/scientific account of the difference,</w:t>
      </w:r>
      <w:r>
        <w:t xml:space="preserve"> </w:t>
      </w:r>
      <w:r>
        <w:t xml:space="preserve">and (c) a reproducible demonstration of grounded output.</w:t>
      </w:r>
    </w:p>
    <w:p>
      <w:pPr>
        <w:pStyle w:val="BodyText"/>
      </w:pPr>
      <w:r>
        <w:rPr>
          <w:b/>
          <w:bCs/>
        </w:rPr>
        <w:t xml:space="preserve">(a) Benchmark evidence.</w:t>
      </w:r>
      <w:r>
        <w:t xml:space="preserve"> </w:t>
      </w:r>
      <w:r>
        <w:t xml:space="preserve">On molecular property prediction (the task class BrainSafe</w:t>
      </w:r>
      <w:r>
        <w:t xml:space="preserve"> </w:t>
      </w:r>
      <w:r>
        <w:t xml:space="preserve">performs), general-purpose LLMs consistently</w:t>
      </w:r>
      <w:r>
        <w:t xml:space="preserve"> </w:t>
      </w:r>
      <w:r>
        <w:rPr>
          <w:i/>
          <w:iCs/>
        </w:rPr>
        <w:t xml:space="preserve">underperform</w:t>
      </w:r>
      <w:r>
        <w:t xml:space="preserve"> </w:t>
      </w:r>
      <w:r>
        <w:t xml:space="preserve">specialised machine-learning</w:t>
      </w:r>
      <w:r>
        <w:t xml:space="preserve"> </w:t>
      </w:r>
      <w:r>
        <w:t xml:space="preserve">models. In the eight-task chemistry benchmark of Guo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(2023), LLMs including GPT-4</w:t>
      </w:r>
      <w:r>
        <w:t xml:space="preserve"> </w:t>
      </w:r>
      <w:r>
        <w:t xml:space="preserve">lag task-specific models on property-prediction tasks and struggle to parse SMILES reliably;</w:t>
      </w:r>
      <w:r>
        <w:t xml:space="preserve"> </w:t>
      </w:r>
      <w:r>
        <w:t xml:space="preserve">Zhong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 report that</w:t>
      </w:r>
      <w:r>
        <w:t xml:space="preserve"> </w:t>
      </w:r>
      <w:r>
        <w:t xml:space="preserve">“LLMs generally lag behind ML models”</w:t>
      </w:r>
      <w:r>
        <w:t xml:space="preserve"> </w:t>
      </w:r>
      <w:r>
        <w:t xml:space="preserve">on molecule property</w:t>
      </w:r>
      <w:r>
        <w:t xml:space="preserve"> </w:t>
      </w:r>
      <w:r>
        <w:t xml:space="preserve">tasks, especially where molecular geometry matters; and Jablonka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 find that even</w:t>
      </w:r>
      <w:r>
        <w:t xml:space="preserve"> </w:t>
      </w:r>
      <w:r>
        <w:rPr>
          <w:i/>
          <w:iCs/>
        </w:rPr>
        <w:t xml:space="preserve">fine-tuned</w:t>
      </w:r>
      <w:r>
        <w:t xml:space="preserve"> </w:t>
      </w:r>
      <w:r>
        <w:t xml:space="preserve">LLMs become competitive with dedicated QSAR models only in the low-data limit, not</w:t>
      </w:r>
      <w:r>
        <w:t xml:space="preserve"> </w:t>
      </w:r>
      <w:r>
        <w:t xml:space="preserve">at the data scale used here (64,474 measured records). LLMs also exhibit documented</w:t>
      </w:r>
      <w:r>
        <w:t xml:space="preserve"> </w:t>
      </w:r>
      <w:r>
        <w:t xml:space="preserve">factual hallucination in generative settings, a failure mode surveyed comprehensively by</w:t>
      </w:r>
      <w:r>
        <w:t xml:space="preserve"> </w:t>
      </w:r>
      <w:r>
        <w:t xml:space="preserve">Ji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(2023).</w:t>
      </w:r>
    </w:p>
    <w:p>
      <w:pPr>
        <w:pStyle w:val="BodyText"/>
      </w:pPr>
      <w:r>
        <w:rPr>
          <w:b/>
          <w:bCs/>
        </w:rPr>
        <w:t xml:space="preserve">(b) Scientific background: why the paradigms differ.</w:t>
      </w:r>
      <w:r>
        <w:t xml:space="preserve"> </w:t>
      </w:r>
      <w:r>
        <w:t xml:space="preserve">A general LLM is an autoregressive</w:t>
      </w:r>
      <w:r>
        <w:t xml:space="preserve"> </w:t>
      </w:r>
      <w:r>
        <w:t xml:space="preserve">next-token predictor over text. It does not compute a molecular fingerprint, does not fit an</w:t>
      </w:r>
      <w:r>
        <w:t xml:space="preserve"> </w:t>
      </w:r>
      <w:r>
        <w:t xml:space="preserve">explicit function from chemical structure to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bioactivity, and does not emit a</w:t>
      </w:r>
      <w:r>
        <w:t xml:space="preserve"> </w:t>
      </w:r>
      <w:r>
        <w:t xml:space="preserve">probability with a calibration or coverage guarantee. BrainSafe, by contrast, encodes each</w:t>
      </w:r>
      <w:r>
        <w:t xml:space="preserve"> </w:t>
      </w:r>
      <w:r>
        <w:t xml:space="preserve">molecule as an ECFP-4 fingerprint plus 24 physicochemical descriptors, learns a</w:t>
      </w:r>
      <w:r>
        <w:t xml:space="preserve"> </w:t>
      </w:r>
      <w:r>
        <w:t xml:space="preserve">structure→measured-activity mapping from 64,474 ChEMBL/B3DB records, and returns a</w:t>
      </w:r>
      <w:r>
        <w:t xml:space="preserve"> </w:t>
      </w:r>
      <w:r>
        <w:rPr>
          <w:b/>
          <w:bCs/>
        </w:rPr>
        <w:t xml:space="preserve">calibrated</w:t>
      </w:r>
      <w:r>
        <w:t xml:space="preserve"> </w:t>
      </w:r>
      <w:r>
        <w:t xml:space="preserve">probability wrapped in a</w:t>
      </w:r>
      <w:r>
        <w:t xml:space="preserve"> </w:t>
      </w:r>
      <w:r>
        <w:rPr>
          <w:b/>
          <w:bCs/>
        </w:rPr>
        <w:t xml:space="preserve">conformal set with empirically verified ~90%</w:t>
      </w:r>
      <w:r>
        <w:rPr>
          <w:b/>
          <w:bCs/>
        </w:rPr>
        <w:t xml:space="preserve"> </w:t>
      </w:r>
      <w:r>
        <w:rPr>
          <w:b/>
          <w:bCs/>
        </w:rPr>
        <w:t xml:space="preserve">coverage</w:t>
      </w:r>
      <w:r>
        <w:t xml:space="preserve">, together with the</w:t>
      </w:r>
      <w:r>
        <w:t xml:space="preserve"> </w:t>
      </w:r>
      <w:r>
        <w:rPr>
          <w:b/>
          <w:bCs/>
        </w:rPr>
        <w:t xml:space="preserve">nearest real measured analogue and its measured pChEMBL</w:t>
      </w:r>
      <w:r>
        <w:t xml:space="preserve">.</w:t>
      </w:r>
      <w:r>
        <w:t xml:space="preserve"> </w:t>
      </w:r>
      <w:r>
        <w:t xml:space="preserve">These are precisely the guarantees an LLM cannot provide. A full capability matrix is given in</w:t>
      </w:r>
      <w:r>
        <w:t xml:space="preserve"> </w:t>
      </w:r>
      <w:r>
        <w:t xml:space="preserve">Supplementary Table S8.</w:t>
      </w:r>
    </w:p>
    <w:p>
      <w:pPr>
        <w:pStyle w:val="BodyText"/>
      </w:pPr>
      <w:r>
        <w:rPr>
          <w:b/>
          <w:bCs/>
        </w:rPr>
        <w:t xml:space="preserve">(c) Reproducible grounded-output demonstration.</w:t>
      </w:r>
      <w:r>
        <w:t xml:space="preserve"> </w:t>
      </w:r>
      <w:r>
        <w:t xml:space="preserve">For fixed input structures the deployed</w:t>
      </w:r>
      <w:r>
        <w:t xml:space="preserve"> </w:t>
      </w:r>
      <w:r>
        <w:t xml:space="preserve">engine returns verifiable artifacts (script</w:t>
      </w:r>
      <w:r>
        <w:t xml:space="preserve"> </w:t>
      </w:r>
      <w:r>
        <w:rPr>
          <w:rStyle w:val="VerbatimChar"/>
        </w:rPr>
        <w:t xml:space="preserve">BS_llm_comparison.py</w:t>
      </w:r>
      <w:r>
        <w:t xml:space="preserve">, output</w:t>
      </w:r>
      <w:r>
        <w:t xml:space="preserve"> </w:t>
      </w:r>
      <w:r>
        <w:rPr>
          <w:rStyle w:val="VerbatimChar"/>
        </w:rPr>
        <w:t xml:space="preserve">BS_llm_comparison.json</w:t>
      </w:r>
      <w:r>
        <w:t xml:space="preserve">): donepezil → AChE calibrated P = 1.00 with the nearest measured analogue</w:t>
      </w:r>
      <w:r>
        <w:t xml:space="preserve"> </w:t>
      </w:r>
      <w:r>
        <w:t xml:space="preserve">at Tanimoto 1.00 (donepezil is itself a measured training compound, pChEMBL 7.75) and hERG P = 0.78;</w:t>
      </w:r>
      <w:r>
        <w:t xml:space="preserve"> </w:t>
      </w:r>
      <w:r>
        <w:t xml:space="preserve">terfenadine → hERG P = 1.00, correctly flagging the cardiotoxicity for which it was withdrawn</w:t>
      </w:r>
      <w:r>
        <w:t xml:space="preserve"> </w:t>
      </w:r>
      <w:r>
        <w:t xml:space="preserve">while also calling it BBB-non-penetrant; and a novel arylpiperazine of an unpublished</w:t>
      </w:r>
      <w:r>
        <w:t xml:space="preserve"> </w:t>
      </w:r>
      <w:r>
        <w:t xml:space="preserve">scaffold → an</w:t>
      </w:r>
      <w:r>
        <w:t xml:space="preserve"> </w:t>
      </w:r>
      <w:r>
        <w:rPr>
          <w:b/>
          <w:bCs/>
        </w:rPr>
        <w:t xml:space="preserve">honest conformal</w:t>
      </w:r>
      <w:r>
        <w:rPr>
          <w:b/>
          <w:bCs/>
        </w:rPr>
        <w:t xml:space="preserve"> </w:t>
      </w:r>
      <w:r>
        <w:rPr>
          <w:b/>
          <w:bCs/>
        </w:rPr>
        <w:t xml:space="preserve">“uncertain”</w:t>
      </w:r>
      <w:r>
        <w:rPr>
          <w:b/>
          <w:bCs/>
        </w:rP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for AChE grounded in the nearest measured analogue</w:t>
      </w:r>
      <w:r>
        <w:t xml:space="preserve"> </w:t>
      </w:r>
      <w:r>
        <w:t xml:space="preserve">(Tanimoto 0.35, pChEMBL 4.82), rather than a confident but unverifiable text answer. Every value is traceable</w:t>
      </w:r>
      <w:r>
        <w:t xml:space="preserve"> </w:t>
      </w:r>
      <w:r>
        <w:t xml:space="preserve">to a measurement; none is generated from free text. This grounding (a calibrated probability,</w:t>
      </w:r>
      <w:r>
        <w:t xml:space="preserve"> </w:t>
      </w:r>
      <w:r>
        <w:t xml:space="preserve">a coverage-guaranteed set, and measured-analogue provenance 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structure, including novel</w:t>
      </w:r>
      <w:r>
        <w:t xml:space="preserve"> </w:t>
      </w:r>
      <w:r>
        <w:t xml:space="preserve">ones) is the scientific justification for a dedicated tool over an LLM.</w:t>
      </w:r>
      <w:r>
        <w:t xml:space="preserve"> </w:t>
      </w:r>
      <w:r>
        <w:rPr>
          <w:i/>
          <w:iCs/>
        </w:rPr>
        <w:t xml:space="preserve">(Supplementary</w:t>
      </w:r>
      <w:r>
        <w:rPr>
          <w:i/>
          <w:iCs/>
        </w:rPr>
        <w:t xml:space="preserve"> </w:t>
      </w:r>
      <w:r>
        <w:rPr>
          <w:i/>
          <w:iCs/>
        </w:rPr>
        <w:t xml:space="preserve">Tables S8–S9.)</w:t>
      </w:r>
    </w:p>
    <w:p>
      <w:pPr>
        <w:pStyle w:val="BodyText"/>
      </w:pPr>
      <w:r>
        <w:rPr>
          <w:b/>
          <w:bCs/>
        </w:rPr>
        <w:t xml:space="preserve">(d) Pre-registered head-to-head benchmark (executed).</w:t>
      </w:r>
      <w:r>
        <w:t xml:space="preserve"> </w:t>
      </w:r>
      <w:r>
        <w:t xml:space="preserve">To make the comparison directly measurable we</w:t>
      </w:r>
      <w:r>
        <w:t xml:space="preserve"> </w:t>
      </w:r>
      <w:r>
        <w:t xml:space="preserve">froze a fixed prompt, a 10-compound panel with uncontested ground truth (approved-drug pharmacology plus</w:t>
      </w:r>
      <w:r>
        <w:t xml:space="preserve"> </w:t>
      </w:r>
      <w:r>
        <w:t xml:space="preserve">one unpublished scaffold), and a scoring rubric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system was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BS_LLM_benchmark_protocol.md</w:t>
      </w:r>
      <w:r>
        <w:t xml:space="preserve">; key in</w:t>
      </w:r>
      <w:r>
        <w:t xml:space="preserve"> </w:t>
      </w:r>
      <w:r>
        <w:rPr>
          <w:rStyle w:val="VerbatimChar"/>
        </w:rPr>
        <w:t xml:space="preserve">BS_llm_benchmark_groundtruth.json</w:t>
      </w:r>
      <w:r>
        <w:t xml:space="preserve">; scorer</w:t>
      </w:r>
      <w:r>
        <w:t xml:space="preserve"> </w:t>
      </w:r>
      <w:r>
        <w:rPr>
          <w:rStyle w:val="VerbatimChar"/>
        </w:rPr>
        <w:t xml:space="preserve">BS_llm_score.py</w:t>
      </w:r>
      <w:r>
        <w:t xml:space="preserve">).</w:t>
      </w:r>
      <w:r>
        <w:t xml:space="preserve"> </w:t>
      </w:r>
      <w:r>
        <w:t xml:space="preserve">The identical prompt was then run on four general-purpose LLMs (Gemini Pro, ChatGPT/GPT-4o, Perplexity,</w:t>
      </w:r>
      <w:r>
        <w:t xml:space="preserve"> </w:t>
      </w:r>
      <w:r>
        <w:t xml:space="preserve">Claude) and each reply scored against the same measured-data key (Table below; Supplementary Table S13).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BBB acc.</w:t>
            </w:r>
          </w:p>
        </w:tc>
        <w:tc>
          <w:tcPr/>
          <w:p>
            <w:pPr>
              <w:pStyle w:val="Compact"/>
            </w:pPr>
            <w:r>
              <w:t xml:space="preserve">hERG acc.</w:t>
            </w:r>
          </w:p>
        </w:tc>
        <w:tc>
          <w:tcPr/>
          <w:p>
            <w:pPr>
              <w:pStyle w:val="Compact"/>
            </w:pPr>
            <w:r>
              <w:t xml:space="preserve">Brier</w:t>
            </w:r>
          </w:p>
        </w:tc>
        <w:tc>
          <w:tcPr/>
          <w:p>
            <w:pPr>
              <w:pStyle w:val="Compact"/>
            </w:pPr>
            <w:r>
              <w:t xml:space="preserve">ChEMBL IDs cited</w:t>
            </w:r>
          </w:p>
        </w:tc>
        <w:tc>
          <w:tcPr/>
          <w:p>
            <w:pPr>
              <w:pStyle w:val="Compact"/>
            </w:pPr>
            <w:r>
              <w:t xml:space="preserve">Fabricated/wrong-molecule</w:t>
            </w:r>
          </w:p>
        </w:tc>
        <w:tc>
          <w:tcPr/>
          <w:p>
            <w:pPr>
              <w:pStyle w:val="Compact"/>
            </w:pPr>
            <w:r>
              <w:t xml:space="preserve">Novel-compound confabulation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BrainSafe AI</w:t>
            </w:r>
          </w:p>
        </w:tc>
        <w:tc>
          <w:tcPr/>
          <w:p>
            <w:pPr>
              <w:pStyle w:val="Compact"/>
            </w:pPr>
            <w:r>
              <w:t xml:space="preserve">8/9 (0.889)</w:t>
            </w:r>
          </w:p>
        </w:tc>
        <w:tc>
          <w:tcPr/>
          <w:p>
            <w:pPr>
              <w:pStyle w:val="Compact"/>
            </w:pPr>
            <w:r>
              <w:t xml:space="preserve">5/5 (1.00)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(honest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“uncertain”</w:t>
            </w:r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Pro</w:t>
            </w:r>
          </w:p>
        </w:tc>
        <w:tc>
          <w:tcPr/>
          <w:p>
            <w:pPr>
              <w:pStyle w:val="Compact"/>
            </w:pPr>
            <w:r>
              <w:t xml:space="preserve">7/9 (0.778)</w:t>
            </w:r>
          </w:p>
        </w:tc>
        <w:tc>
          <w:tcPr/>
          <w:p>
            <w:pPr>
              <w:pStyle w:val="Compact"/>
            </w:pPr>
            <w:r>
              <w:t xml:space="preserve">5/5 (1.00)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 (50%)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(GPT-4o)</w:t>
            </w:r>
          </w:p>
        </w:tc>
        <w:tc>
          <w:tcPr/>
          <w:p>
            <w:pPr>
              <w:pStyle w:val="Compact"/>
            </w:pPr>
            <w:r>
              <w:t xml:space="preserve">9/9 (1.00)</w:t>
            </w:r>
          </w:p>
        </w:tc>
        <w:tc>
          <w:tcPr/>
          <w:p>
            <w:pPr>
              <w:pStyle w:val="Compact"/>
            </w:pPr>
            <w:r>
              <w:t xml:space="preserve">5/5 (1.00)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 (44%)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</w:t>
            </w:r>
          </w:p>
        </w:tc>
        <w:tc>
          <w:tcPr/>
          <w:p>
            <w:pPr>
              <w:pStyle w:val="Compact"/>
            </w:pPr>
            <w:r>
              <w:t xml:space="preserve">9/9 (1.00)</w:t>
            </w:r>
          </w:p>
        </w:tc>
        <w:tc>
          <w:tcPr/>
          <w:p>
            <w:pPr>
              <w:pStyle w:val="Compact"/>
            </w:pPr>
            <w:r>
              <w:t xml:space="preserve">4/5 (0.80)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(50%)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9/9 (1.00)</w:t>
            </w:r>
          </w:p>
        </w:tc>
        <w:tc>
          <w:tcPr/>
          <w:p>
            <w:pPr>
              <w:pStyle w:val="Compact"/>
            </w:pPr>
            <w:r>
              <w:t xml:space="preserve">5/5 (1.00)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 (40%)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*BrainSafe reports the nearest measured analogue by structure (SMILES + measured pChEMBL), not a recalled</w:t>
      </w:r>
      <w:r>
        <w:t xml:space="preserve"> </w:t>
      </w:r>
      <w:r>
        <w:t xml:space="preserve">ChEMBL identifier, so it cannot fabricate one. hERG scored on the five uncontested compounds; donepezil</w:t>
      </w:r>
      <w:r>
        <w:t xml:space="preserve"> </w:t>
      </w:r>
      <w:r>
        <w:t xml:space="preserve">and fluoxetine were excluded a priori because their hERG clinical relevance is genuinely debatable.</w:t>
      </w:r>
    </w:p>
    <w:p>
      <w:pPr>
        <w:pStyle w:val="BodyText"/>
      </w:pPr>
      <w:r>
        <w:t xml:space="preserve">Two findings stand out, and we report both honestly.</w:t>
      </w:r>
      <w:r>
        <w:t xml:space="preserve"> </w:t>
      </w:r>
      <w:r>
        <w:rPr>
          <w:b/>
          <w:bCs/>
        </w:rPr>
        <w:t xml:space="preserve">First, on classification of well-known approved</w:t>
      </w:r>
      <w:r>
        <w:rPr>
          <w:b/>
          <w:bCs/>
        </w:rPr>
        <w:t xml:space="preserve"> </w:t>
      </w:r>
      <w:r>
        <w:rPr>
          <w:b/>
          <w:bCs/>
        </w:rPr>
        <w:t xml:space="preserve">drugs the LLMs are strong.</w:t>
      </w:r>
      <w:r>
        <w:t xml:space="preserve"> </w:t>
      </w:r>
      <w:r>
        <w:t xml:space="preserve">Three of four matched or exceeded BrainSafe on BBB (9/9 vs 8/9; BrainSafe</w:t>
      </w:r>
      <w:r>
        <w:t xml:space="preserve"> </w:t>
      </w:r>
      <w:r>
        <w:t xml:space="preserve">mis-called the borderline-lipophilic astemizole), and their probability Brier scores were as good or</w:t>
      </w:r>
      <w:r>
        <w:t xml:space="preserve"> </w:t>
      </w:r>
      <w:r>
        <w:t xml:space="preserve">better (Claude 0.020, ChatGPT 0.035). This is expected: these are textbook molecules richly described in</w:t>
      </w:r>
      <w:r>
        <w:t xml:space="preserve"> </w:t>
      </w:r>
      <w:r>
        <w:t xml:space="preserve">the training corpus, so recall is excellent, and it means a dedicated tool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justified by raw</w:t>
      </w:r>
      <w:r>
        <w:t xml:space="preserve"> </w:t>
      </w:r>
      <w:r>
        <w:t xml:space="preserve">accuracy on famous compounds.</w:t>
      </w:r>
      <w:r>
        <w:t xml:space="preserve"> </w:t>
      </w:r>
      <w:r>
        <w:rPr>
          <w:b/>
          <w:bCs/>
        </w:rPr>
        <w:t xml:space="preserve">Second, the LLMs fail exactly where grounding and novelty matter.</w:t>
      </w:r>
      <w:r>
        <w:t xml:space="preserve"> </w:t>
      </w:r>
      <w:r>
        <w:t xml:space="preserve">Across the four models,</w:t>
      </w:r>
      <w:r>
        <w:t xml:space="preserve"> </w:t>
      </w:r>
      <w:r>
        <w:rPr>
          <w:b/>
          <w:bCs/>
        </w:rPr>
        <w:t xml:space="preserve">14 of 31 (45%) of the ChEMBL identifiers they volunteered as provenance were</w:t>
      </w:r>
      <w:r>
        <w:rPr>
          <w:b/>
          <w:bCs/>
        </w:rPr>
        <w:t xml:space="preserve"> </w:t>
      </w:r>
      <w:r>
        <w:rPr>
          <w:b/>
          <w:bCs/>
        </w:rPr>
        <w:t xml:space="preserve">fabricated or resolved to the wrong molecule.</w:t>
      </w:r>
      <w:r>
        <w:t xml:space="preserve"> </w:t>
      </w:r>
      <w:r>
        <w:t xml:space="preserve">For example, Gemini’s cited</w:t>
      </w:r>
      <w:r>
        <w:t xml:space="preserve"> </w:t>
      </w:r>
      <w:r>
        <w:t xml:space="preserve">“rasagiline”</w:t>
      </w:r>
      <w:r>
        <w:t xml:space="preserve"> </w:t>
      </w:r>
      <w:r>
        <w:t xml:space="preserve">identifier is in fact</w:t>
      </w:r>
      <w:r>
        <w:t xml:space="preserve"> </w:t>
      </w:r>
      <w:r>
        <w:rPr>
          <w:i/>
          <w:iCs/>
        </w:rPr>
        <w:t xml:space="preserve">fluticasone propionate</w:t>
      </w:r>
      <w:r>
        <w:t xml:space="preserve"> </w:t>
      </w:r>
      <w:r>
        <w:t xml:space="preserve">and its</w:t>
      </w:r>
      <w:r>
        <w:t xml:space="preserve"> </w:t>
      </w:r>
      <w:r>
        <w:t xml:space="preserve">“selegiline”</w:t>
      </w:r>
      <w:r>
        <w:t xml:space="preserve"> </w:t>
      </w:r>
      <w:r>
        <w:t xml:space="preserve">identifier is</w:t>
      </w:r>
      <w:r>
        <w:t xml:space="preserve"> </w:t>
      </w:r>
      <w:r>
        <w:rPr>
          <w:i/>
          <w:iCs/>
        </w:rPr>
        <w:t xml:space="preserve">propranolol</w:t>
      </w:r>
      <w:r>
        <w:t xml:space="preserve">; Claude’s</w:t>
      </w:r>
      <w:r>
        <w:t xml:space="preserve"> </w:t>
      </w:r>
      <w:r>
        <w:t xml:space="preserve">“rivastigmine”</w:t>
      </w:r>
      <w:r>
        <w:t xml:space="preserve"> </w:t>
      </w:r>
      <w:r>
        <w:t xml:space="preserve">identifier is</w:t>
      </w:r>
      <w:r>
        <w:t xml:space="preserve"> </w:t>
      </w:r>
      <w:r>
        <w:rPr>
          <w:i/>
          <w:iCs/>
        </w:rPr>
        <w:t xml:space="preserve">pyridoxine</w:t>
      </w:r>
      <w:r>
        <w:t xml:space="preserve"> </w:t>
      </w:r>
      <w:r>
        <w:t xml:space="preserve">and its</w:t>
      </w:r>
      <w:r>
        <w:t xml:space="preserve"> </w:t>
      </w:r>
      <w:r>
        <w:t xml:space="preserve">“terfenadine”</w:t>
      </w:r>
      <w:r>
        <w:t xml:space="preserve"> </w:t>
      </w:r>
      <w:r>
        <w:t xml:space="preserve">identifier is the antibiotic</w:t>
      </w:r>
      <w:r>
        <w:t xml:space="preserve"> </w:t>
      </w:r>
      <w:r>
        <w:rPr>
          <w:i/>
          <w:iCs/>
        </w:rPr>
        <w:t xml:space="preserve">cefdinir</w:t>
      </w:r>
      <w:r>
        <w:t xml:space="preserve">; ChatGPT’s</w:t>
      </w:r>
      <w:r>
        <w:t xml:space="preserve"> </w:t>
      </w:r>
      <w:r>
        <w:t xml:space="preserve">“terfenadine”</w:t>
      </w:r>
      <w:r>
        <w:t xml:space="preserve"> </w:t>
      </w:r>
      <w:r>
        <w:t xml:space="preserve">identifier actually points to astemizole. And</w:t>
      </w:r>
      <w:r>
        <w:t xml:space="preserve"> </w:t>
      </w:r>
      <w:r>
        <w:rPr>
          <w:b/>
          <w:bCs/>
        </w:rPr>
        <w:t xml:space="preserve">all four models confabulated on the</w:t>
      </w:r>
      <w:r>
        <w:rPr>
          <w:b/>
          <w:bCs/>
        </w:rPr>
        <w:t xml:space="preserve"> </w:t>
      </w:r>
      <w:r>
        <w:rPr>
          <w:b/>
          <w:bCs/>
        </w:rPr>
        <w:t xml:space="preserve">unpublished compound</w:t>
      </w:r>
      <w:r>
        <w:t xml:space="preserve">, each asserting a specific target and potency (and even disagreeing on the</w:t>
      </w:r>
      <w:r>
        <w:t xml:space="preserve"> </w:t>
      </w:r>
      <w:r>
        <w:t xml:space="preserve">target, with three saying AChE and one the D2 receptor) for a structure that has no measured value.</w:t>
      </w:r>
      <w:r>
        <w:t xml:space="preserve"> </w:t>
      </w:r>
      <w:r>
        <w:t xml:space="preserve">BrainSafe fabricated nothing, grounded every prediction in a real measured analogue, and returned an</w:t>
      </w:r>
      <w:r>
        <w:t xml:space="preserve"> </w:t>
      </w:r>
      <w:r>
        <w:t xml:space="preserve">honest conformal</w:t>
      </w:r>
      <w:r>
        <w:t xml:space="preserve"> </w:t>
      </w:r>
      <w:r>
        <w:t xml:space="preserve">“uncertain”</w:t>
      </w:r>
      <w:r>
        <w:t xml:space="preserve"> </w:t>
      </w:r>
      <w:r>
        <w:t xml:space="preserve">set for the novel compound. The scientific implication is precise: an LLM</w:t>
      </w:r>
      <w:r>
        <w:t xml:space="preserve"> </w:t>
      </w:r>
      <w:r>
        <w:t xml:space="preserve">can approximate textbook classifications but cannot be trusted for</w:t>
      </w:r>
      <w:r>
        <w:t xml:space="preserve"> </w:t>
      </w:r>
      <w:r>
        <w:rPr>
          <w:i/>
          <w:iCs/>
        </w:rPr>
        <w:t xml:space="preserve">verifiable provenance</w:t>
      </w:r>
      <w:r>
        <w:t xml:space="preserve"> </w:t>
      </w:r>
      <w:r>
        <w:t xml:space="preserve">or for</w:t>
      </w:r>
      <w:r>
        <w:t xml:space="preserve"> </w:t>
      </w:r>
      <w:r>
        <w:rPr>
          <w:i/>
          <w:iCs/>
        </w:rPr>
        <w:t xml:space="preserve">novel chemistry</w:t>
      </w:r>
      <w:r>
        <w:t xml:space="preserve">, which is where hypothesis generation actually happens, and precisely what the</w:t>
      </w:r>
      <w:r>
        <w:t xml:space="preserve"> </w:t>
      </w:r>
      <w:r>
        <w:t xml:space="preserve">dedicated tool provides.</w:t>
      </w:r>
    </w:p>
    <w:bookmarkEnd w:id="28"/>
    <w:bookmarkEnd w:id="29"/>
    <w:bookmarkStart w:id="30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rPr>
          <w:b/>
          <w:bCs/>
        </w:rPr>
        <w:t xml:space="preserve">Contribution.</w:t>
      </w:r>
      <w:r>
        <w:t xml:space="preserve"> </w:t>
      </w:r>
      <w:r>
        <w:t xml:space="preserve">The individual pieces here are standard: ECFP/RF ensembles, BBB/hERG/target QSAR,</w:t>
      </w:r>
      <w:r>
        <w:t xml:space="preserve"> </w:t>
      </w:r>
      <w:r>
        <w:t xml:space="preserve">conformal prediction, the QED/CNS-MPO rules. What we have not seen assembled elsewhere is all of them</w:t>
      </w:r>
      <w:r>
        <w:t xml:space="preserve"> </w:t>
      </w:r>
      <w:r>
        <w:t xml:space="preserve">working as one transparent, measured-data CNS profiler that is at once calibrated, conformal,</w:t>
      </w:r>
      <w:r>
        <w:t xml:space="preserve"> </w:t>
      </w:r>
      <w:r>
        <w:t xml:space="preserve">evidence-grounded, BBB-gated, safety-aware and clinically contextualised. The assembly is the point,</w:t>
      </w:r>
      <w:r>
        <w:t xml:space="preserve"> </w:t>
      </w:r>
      <w:r>
        <w:t xml:space="preserve">not any single part.</w:t>
      </w:r>
    </w:p>
    <w:p>
      <w:pPr>
        <w:pStyle w:val="BodyText"/>
      </w:pPr>
      <w:r>
        <w:rPr>
          <w:b/>
          <w:bCs/>
        </w:rPr>
        <w:t xml:space="preserve">Why a dedicated tool rather than a general-purpose LLM?</w:t>
      </w:r>
      <w:r>
        <w:t xml:space="preserve"> </w:t>
      </w:r>
      <w:r>
        <w:t xml:space="preserve">The head-to-head in §3.7 answers this with</w:t>
      </w:r>
      <w:r>
        <w:t xml:space="preserve"> </w:t>
      </w:r>
      <w:r>
        <w:t xml:space="preserve">results, and the answer has two halves. On the task itself, molecular property prediction, general</w:t>
      </w:r>
      <w:r>
        <w:t xml:space="preserve"> </w:t>
      </w:r>
      <w:r>
        <w:t xml:space="preserve">LLMs are known to trail specialised ML (Guo</w:t>
      </w:r>
      <w:r>
        <w:t xml:space="preserve"> </w:t>
      </w:r>
      <w:r>
        <w:rPr>
          <w:i/>
          <w:iCs/>
        </w:rPr>
        <w:t xml:space="preserve">et al.</w:t>
      </w:r>
      <w:r>
        <w:t xml:space="preserve">, 2023; Zhong</w:t>
      </w:r>
      <w:r>
        <w:t xml:space="preserve"> </w:t>
      </w:r>
      <w:r>
        <w:rPr>
          <w:i/>
          <w:iCs/>
        </w:rPr>
        <w:t xml:space="preserve">et al.</w:t>
      </w:r>
      <w:r>
        <w:t xml:space="preserve">, 2024); fine-tuning closes</w:t>
      </w:r>
      <w:r>
        <w:t xml:space="preserve"> </w:t>
      </w:r>
      <w:r>
        <w:t xml:space="preserve">the gap only when data are scarce (Jablonka</w:t>
      </w:r>
      <w:r>
        <w:t xml:space="preserve"> </w:t>
      </w:r>
      <w:r>
        <w:rPr>
          <w:i/>
          <w:iCs/>
        </w:rPr>
        <w:t xml:space="preserve">et al.</w:t>
      </w:r>
      <w:r>
        <w:t xml:space="preserve">, 2024), and BrainSafe works from 64,474 measured</w:t>
      </w:r>
      <w:r>
        <w:t xml:space="preserve"> </w:t>
      </w:r>
      <w:r>
        <w:t xml:space="preserve">records. That much was expected. The part that matters in practice is what our benchmark exposed: four</w:t>
      </w:r>
      <w:r>
        <w:t xml:space="preserve"> </w:t>
      </w:r>
      <w:r>
        <w:t xml:space="preserve">current models matched or beat BrainSafe at classifying</w:t>
      </w:r>
      <w:r>
        <w:t xml:space="preserve"> </w:t>
      </w:r>
      <w:r>
        <w:rPr>
          <w:i/>
          <w:iCs/>
        </w:rPr>
        <w:t xml:space="preserve">well-known</w:t>
      </w:r>
      <w:r>
        <w:t xml:space="preserve"> </w:t>
      </w:r>
      <w:r>
        <w:t xml:space="preserve">drugs, yet 45% of the ChEMBL</w:t>
      </w:r>
      <w:r>
        <w:t xml:space="preserve"> </w:t>
      </w:r>
      <w:r>
        <w:t xml:space="preserve">identifiers they offered as evidence were fabricated or pointed to the wrong molecule, and every one of</w:t>
      </w:r>
      <w:r>
        <w:t xml:space="preserve"> </w:t>
      </w:r>
      <w:r>
        <w:t xml:space="preserve">them invented a target and potency for an</w:t>
      </w:r>
      <w:r>
        <w:t xml:space="preserve"> </w:t>
      </w:r>
      <w:r>
        <w:rPr>
          <w:i/>
          <w:iCs/>
        </w:rPr>
        <w:t xml:space="preserve">unpublished</w:t>
      </w:r>
      <w:r>
        <w:t xml:space="preserve"> </w:t>
      </w:r>
      <w:r>
        <w:t xml:space="preserve">compound, disagreeing with each other along the</w:t>
      </w:r>
      <w:r>
        <w:t xml:space="preserve"> </w:t>
      </w:r>
      <w:r>
        <w:t xml:space="preserve">way. The deeper reason is architectural. An LLM produces fluent text; it does not compute a fingerprint,</w:t>
      </w:r>
      <w:r>
        <w:t xml:space="preserve"> </w:t>
      </w:r>
      <w:r>
        <w:t xml:space="preserve">fit structure to measured activity, or attach a calibrated probability, a coverage guarantee or a domain</w:t>
      </w:r>
      <w:r>
        <w:t xml:space="preserve"> </w:t>
      </w:r>
      <w:r>
        <w:t xml:space="preserve">boundary, and it will hallucinate with confidence (Ji</w:t>
      </w:r>
      <w:r>
        <w:t xml:space="preserve"> </w:t>
      </w:r>
      <w:r>
        <w:rPr>
          <w:i/>
          <w:iCs/>
        </w:rPr>
        <w:t xml:space="preserve">et al.</w:t>
      </w:r>
      <w:r>
        <w:t xml:space="preserve">, 2023). BrainSafe returns, 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structure, a calibrated probability, a conformal set with roughly 90% empirical coverage, an explicit</w:t>
      </w:r>
      <w:r>
        <w:t xml:space="preserve"> </w:t>
      </w:r>
      <w:r>
        <w:t xml:space="preserve">in- or out-of-domain flag, and the nearest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analogue with its pChEMBL. The two are</w:t>
      </w:r>
      <w:r>
        <w:t xml:space="preserve"> </w:t>
      </w:r>
      <w:r>
        <w:t xml:space="preserve">complementary, not interchangeable, wherever a decision has to be auditable and grounded in measurement.</w:t>
      </w:r>
    </w:p>
    <w:p>
      <w:pPr>
        <w:pStyle w:val="BodyText"/>
      </w:pPr>
      <w:r>
        <w:rPr>
          <w:b/>
          <w:bCs/>
        </w:rPr>
        <w:t xml:space="preserve">Threats to validity (scientific-flaw self-audit, with quantitative tests).</w:t>
      </w:r>
      <w:r>
        <w:t xml:space="preserve"> </w:t>
      </w:r>
      <w:r>
        <w:t xml:space="preserve">We enumerated the</w:t>
      </w:r>
      <w:r>
        <w:t xml:space="preserve"> </w:t>
      </w:r>
      <w:r>
        <w:t xml:space="preserve">model’s principal methodological risks and, rather than merely noting them, ran targeted analyses</w:t>
      </w:r>
      <w:r>
        <w:t xml:space="preserve"> </w:t>
      </w:r>
      <w:r>
        <w:t xml:space="preserve">to bound each (script</w:t>
      </w:r>
      <w:r>
        <w:t xml:space="preserve"> </w:t>
      </w:r>
      <w:r>
        <w:rPr>
          <w:rStyle w:val="VerbatimChar"/>
        </w:rPr>
        <w:t xml:space="preserve">BS_flaw_fixes.py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BS_assay_composition.py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BS_assay_sensitivity.py</w:t>
      </w:r>
      <w:r>
        <w:t xml:space="preserve">;</w:t>
      </w:r>
      <w:r>
        <w:t xml:space="preserve"> </w:t>
      </w:r>
      <w:r>
        <w:rPr>
          <w:rStyle w:val="VerbatimChar"/>
        </w:rPr>
        <w:t xml:space="preserve">BS_flaw_fixes.json</w:t>
      </w:r>
      <w:r>
        <w:t xml:space="preserve">).</w:t>
      </w:r>
      <w:r>
        <w:t xml:space="preserve"> </w:t>
      </w:r>
      <w:r>
        <w:t xml:space="preserve">(1)</w:t>
      </w:r>
      <w:r>
        <w:t xml:space="preserve"> </w:t>
      </w:r>
      <w:r>
        <w:rPr>
          <w:i/>
          <w:iCs/>
        </w:rPr>
        <w:t xml:space="preserve">Assay heterogeneity.</w:t>
      </w:r>
      <w:r>
        <w:t xml:space="preserve"> </w:t>
      </w:r>
      <w:r>
        <w:t xml:space="preserve">Activities pooled per target span IC50/Ki/Kd/EC50/Potency. We first</w:t>
      </w:r>
      <w:r>
        <w:t xml:space="preserve"> </w:t>
      </w:r>
      <w:r>
        <w:t xml:space="preserve">quantified the composition (Supplementary Table S11): IC50 is dominant for every target</w:t>
      </w:r>
      <w:r>
        <w:t xml:space="preserve"> </w:t>
      </w:r>
      <w:r>
        <w:t xml:space="preserve">(81–92 %) except GSK-3β, which is genuinely mixed (IC50 49 %, EC50 33 %, Ki 16 %). We then</w:t>
      </w:r>
      <w:r>
        <w:t xml:space="preserve"> </w:t>
      </w:r>
      <w:r>
        <w:t xml:space="preserve">retrained the deployed ensemble under scaffold CV on the</w:t>
      </w:r>
      <w:r>
        <w:t xml:space="preserve"> </w:t>
      </w:r>
      <w:r>
        <w:rPr>
          <w:b/>
          <w:bCs/>
        </w:rPr>
        <w:t xml:space="preserve">dominant single assay type (IC50)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versus the pooled set: scaffold AUROC changed by</w:t>
      </w:r>
      <w:r>
        <w:t xml:space="preserve"> </w:t>
      </w:r>
      <w:r>
        <w:rPr>
          <w:b/>
          <w:bCs/>
        </w:rPr>
        <w:t xml:space="preserve">≤0.006</w:t>
      </w:r>
      <w:r>
        <w:t xml:space="preserve"> </w:t>
      </w:r>
      <w:r>
        <w:t xml:space="preserve">for all three endpoints tested,</w:t>
      </w:r>
      <w:r>
        <w:t xml:space="preserve"> </w:t>
      </w:r>
      <w:r>
        <w:t xml:space="preserve">including the most heterogeneous, GSK-3β (pooled 0.919 vs IC50-only 0.913; MAO-B −0.006; hERG 0.000;</w:t>
      </w:r>
      <w:r>
        <w:t xml:space="preserve"> </w:t>
      </w:r>
      <w:r>
        <w:t xml:space="preserve">Supplementary Table S12). Pooling on the standardised pChEMBL scale therefore does not materially</w:t>
      </w:r>
      <w:r>
        <w:t xml:space="preserve"> </w:t>
      </w:r>
      <w:r>
        <w:t xml:space="preserve">distort discrimination.</w:t>
      </w:r>
      <w:r>
        <w:t xml:space="preserve"> </w:t>
      </w:r>
      <w:r>
        <w:t xml:space="preserve">(2)</w:t>
      </w:r>
      <w:r>
        <w:t xml:space="preserve"> </w:t>
      </w:r>
      <w:r>
        <w:rPr>
          <w:i/>
          <w:iCs/>
        </w:rPr>
        <w:t xml:space="preserve">Label-threshold sensitivity.</w:t>
      </w:r>
      <w:r>
        <w:t xml:space="preserve"> </w:t>
      </w:r>
      <w:r>
        <w:t xml:space="preserve">The pChEMBL ≥6/&lt;5 cut is a modelling choice, so we re-derived</w:t>
      </w:r>
      <w:r>
        <w:t xml:space="preserve"> </w:t>
      </w:r>
      <w:r>
        <w:t xml:space="preserve">labels from the raw activity records at alternative definitions and re-measured scaffold-CV AUROC</w:t>
      </w:r>
      <w:r>
        <w:t xml:space="preserve"> </w:t>
      </w:r>
      <w:r>
        <w:t xml:space="preserve">with the deployed ensemble (Supplementary Table S10). Across four endpoints and four definitions</w:t>
      </w:r>
      <w:r>
        <w:t xml:space="preserve"> </w:t>
      </w:r>
      <w:r>
        <w:t xml:space="preserve">the maximum AUROC spread was</w:t>
      </w:r>
      <w:r>
        <w:t xml:space="preserve"> </w:t>
      </w:r>
      <w:r>
        <w:rPr>
          <w:b/>
          <w:bCs/>
        </w:rPr>
        <w:t xml:space="preserve">0.109</w:t>
      </w:r>
      <w:r>
        <w:t xml:space="preserve">; the stricter ≥6.5/&lt;5.5 cut sat within 0.01–0.02 of the</w:t>
      </w:r>
      <w:r>
        <w:t xml:space="preserve"> </w:t>
      </w:r>
      <w:r>
        <w:t xml:space="preserve">deployed cut, and the</w:t>
      </w:r>
      <w:r>
        <w:t xml:space="preserve"> </w:t>
      </w:r>
      <w:r>
        <w:t xml:space="preserve">“sharp boundary”</w:t>
      </w:r>
      <w:r>
        <w:t xml:space="preserve"> </w:t>
      </w:r>
      <w:r>
        <w:t xml:space="preserve">cut that keeps the 5–6 grey zone was consistently the</w:t>
      </w:r>
      <w:r>
        <w:t xml:space="preserve"> </w:t>
      </w:r>
      <w:r>
        <w:rPr>
          <w:i/>
          <w:iCs/>
        </w:rPr>
        <w:t xml:space="preserve">worst</w:t>
      </w:r>
      <w:r>
        <w:t xml:space="preserve">, empirically validating the decision to discard it. Per-operating-threshold</w:t>
      </w:r>
      <w:r>
        <w:t xml:space="preserve"> </w:t>
      </w:r>
      <w:r>
        <w:t xml:space="preserve">precision/recall/F1 are additionally in Supplementary Table S4.</w:t>
      </w:r>
      <w:r>
        <w:t xml:space="preserve"> </w:t>
      </w:r>
      <w:r>
        <w:t xml:space="preserve">(3)</w:t>
      </w:r>
      <w:r>
        <w:t xml:space="preserve"> </w:t>
      </w:r>
      <w:r>
        <w:rPr>
          <w:i/>
          <w:iCs/>
        </w:rPr>
        <w:t xml:space="preserve">Applicability-domain cut-off.</w:t>
      </w:r>
      <w:r>
        <w:t xml:space="preserve"> </w:t>
      </w:r>
      <w:r>
        <w:t xml:space="preserve">The Tanimoto AD threshold is empirically, not arbitrarily,</w:t>
      </w:r>
      <w:r>
        <w:t xml:space="preserve"> </w:t>
      </w:r>
      <w:r>
        <w:t xml:space="preserve">set: the n-weighted similarity-binned AUROC falls monotonically from 0.958 (nearest neighbour</w:t>
      </w:r>
      <w:r>
        <w:t xml:space="preserve"> </w:t>
      </w:r>
      <w:r>
        <w:t xml:space="preserve">Tanimoto ≥0.8) to 0.939, 0.866 and</w:t>
      </w:r>
      <w:r>
        <w:t xml:space="preserve"> </w:t>
      </w:r>
      <w:r>
        <w:rPr>
          <w:b/>
          <w:bCs/>
        </w:rPr>
        <w:t xml:space="preserve">0.770</w:t>
      </w:r>
      <w:r>
        <w:t xml:space="preserve"> </w:t>
      </w:r>
      <w:r>
        <w:t xml:space="preserve">(&lt;0.4) (Supplementary Table S5), justifying the</w:t>
      </w:r>
      <w:r>
        <w:t xml:space="preserve"> </w:t>
      </w:r>
      <w:r>
        <w:t xml:space="preserve">out-of-domain flag in the 0.3–0.4 band.</w:t>
      </w:r>
      <w:r>
        <w:t xml:space="preserve"> </w:t>
      </w:r>
      <w:r>
        <w:t xml:space="preserve">(4)</w:t>
      </w:r>
      <w:r>
        <w:t xml:space="preserve"> </w:t>
      </w:r>
      <w:r>
        <w:rPr>
          <w:i/>
          <w:iCs/>
        </w:rPr>
        <w:t xml:space="preserve">Disease mapping.</w:t>
      </w:r>
      <w:r>
        <w:t xml:space="preserve"> </w:t>
      </w:r>
      <w:r>
        <w:t xml:space="preserve">The target→disease synthesis is a transparent, knowledge-based rule</w:t>
      </w:r>
      <w:r>
        <w:t xml:space="preserve"> </w:t>
      </w:r>
      <w:r>
        <w:t xml:space="preserve">(not a learned layer), each driver tagged by provenance, so it can be inspected and overridden.</w:t>
      </w:r>
      <w:r>
        <w:t xml:space="preserve"> </w:t>
      </w:r>
      <w:r>
        <w:t xml:space="preserve">(5)</w:t>
      </w:r>
      <w:r>
        <w:t xml:space="preserve"> </w:t>
      </w:r>
      <w:r>
        <w:rPr>
          <w:i/>
          <w:iCs/>
        </w:rPr>
        <w:t xml:space="preserve">Single safety anti-target.</w:t>
      </w:r>
      <w:r>
        <w:t xml:space="preserve"> </w:t>
      </w:r>
      <w:r>
        <w:t xml:space="preserve">Cardiotoxicity is represented by hERG alone; other liabilities</w:t>
      </w:r>
      <w:r>
        <w:t xml:space="preserve"> </w:t>
      </w:r>
      <w:r>
        <w:t xml:space="preserve">(e.g. Nav1.5, hepatotoxicity) are out of scope and stated as such.</w:t>
      </w:r>
      <w:r>
        <w:t xml:space="preserve"> </w:t>
      </w:r>
      <w:r>
        <w:t xml:space="preserve">(6)</w:t>
      </w:r>
      <w:r>
        <w:t xml:space="preserve"> </w:t>
      </w:r>
      <w:r>
        <w:rPr>
          <w:i/>
          <w:iCs/>
        </w:rPr>
        <w:t xml:space="preserve">Read-across ceiling.</w:t>
      </w:r>
      <w:r>
        <w:t xml:space="preserve"> </w:t>
      </w:r>
      <w:r>
        <w:t xml:space="preserve">Because the ensemble beats a kNN-Tanimoto baseline on every endpoint</w:t>
      </w:r>
      <w:r>
        <w:t xml:space="preserve"> </w:t>
      </w:r>
      <w:r>
        <w:t xml:space="preserve">(§3.6), performance is not merely memorised nearest-neighbour recall. None of these is concealed;</w:t>
      </w:r>
      <w:r>
        <w:t xml:space="preserve"> </w:t>
      </w:r>
      <w:r>
        <w:t xml:space="preserve">each is surfaced in the tool output or the supplementary tables.</w:t>
      </w:r>
    </w:p>
    <w:p>
      <w:pPr>
        <w:pStyle w:val="BodyText"/>
      </w:pPr>
      <w:r>
        <w:rPr>
          <w:b/>
          <w:bCs/>
        </w:rPr>
        <w:t xml:space="preserve">Validation honesty.</w:t>
      </w:r>
      <w:r>
        <w:t xml:space="preserve"> </w:t>
      </w:r>
      <w:r>
        <w:t xml:space="preserve">Reporting all four splits is a deliberate choice. The drop from random</w:t>
      </w:r>
      <w:r>
        <w:t xml:space="preserve"> </w:t>
      </w:r>
      <w:r>
        <w:t xml:space="preserve">(0.94–0.98) to temporal (0.61–0.92) puts a number on how hard genuine prospective prediction is:</w:t>
      </w:r>
      <w:r>
        <w:t xml:space="preserve"> </w:t>
      </w:r>
      <w:r>
        <w:t xml:space="preserve">between 71 % and 91 % of the recent compounds carry scaffolds the model never saw in training. A high</w:t>
      </w:r>
      <w:r>
        <w:t xml:space="preserve"> </w:t>
      </w:r>
      <w:r>
        <w:t xml:space="preserve">temporal AUROC is not always the good news it looks like: BACE1’s 0.92 owes something to a recent</w:t>
      </w:r>
      <w:r>
        <w:t xml:space="preserve"> </w:t>
      </w:r>
      <w:r>
        <w:t xml:space="preserve">test set that is 93 % active, whereas MAO-A’s balanced set (45 % active) yields a plainer 0.61. We</w:t>
      </w:r>
      <w:r>
        <w:t xml:space="preserve"> </w:t>
      </w:r>
      <w:r>
        <w:t xml:space="preserve">would rather show these numbers than bury them.</w:t>
      </w:r>
    </w:p>
    <w:p>
      <w:pPr>
        <w:pStyle w:val="BodyText"/>
      </w:pPr>
      <w:r>
        <w:rPr>
          <w:b/>
          <w:bCs/>
        </w:rPr>
        <w:t xml:space="preserve">Limitations (explicit and, where inherent, unfixable computationally).</w:t>
      </w:r>
      <w:r>
        <w:t xml:space="preserve"> </w:t>
      </w:r>
      <w:r>
        <w:t xml:space="preserve">(i) Models predict</w:t>
      </w:r>
      <w:r>
        <w:t xml:space="preserve"> </w:t>
      </w:r>
      <w:r>
        <w:rPr>
          <w:b/>
          <w:bCs/>
        </w:rPr>
        <w:t xml:space="preserve">engagement/binding, not direction</w:t>
      </w:r>
      <w:r>
        <w:t xml:space="preserve"> </w:t>
      </w:r>
      <w:r>
        <w:t xml:space="preserve">(agonist vs antagonist).</w:t>
      </w:r>
      <w:r>
        <w:t xml:space="preserve"> </w:t>
      </w:r>
      <w:r>
        <w:t xml:space="preserve">(ii)</w:t>
      </w:r>
      <w:r>
        <w:t xml:space="preserve"> </w:t>
      </w:r>
      <w:r>
        <w:rPr>
          <w:b/>
          <w:bCs/>
        </w:rPr>
        <w:t xml:space="preserve">Engagement is not efficacy</w:t>
      </w:r>
      <w:r>
        <w:t xml:space="preserve">; the clinical layer provides</w:t>
      </w:r>
      <w:r>
        <w:t xml:space="preserve"> </w:t>
      </w:r>
      <w:r>
        <w:rPr>
          <w:i/>
          <w:iCs/>
        </w:rPr>
        <w:t xml:space="preserve">precedent from real trial</w:t>
      </w:r>
      <w:r>
        <w:rPr>
          <w:i/>
          <w:iCs/>
        </w:rPr>
        <w:t xml:space="preserve"> </w:t>
      </w:r>
      <w:r>
        <w:rPr>
          <w:i/>
          <w:iCs/>
        </w:rPr>
        <w:t xml:space="preserve">data</w:t>
      </w:r>
      <w:r>
        <w:t xml:space="preserve">, not an efficacy prediction.</w:t>
      </w:r>
      <w:r>
        <w:t xml:space="preserve"> </w:t>
      </w:r>
      <w:r>
        <w:t xml:space="preserve">(iii)</w:t>
      </w:r>
      <w:r>
        <w:t xml:space="preserve"> </w:t>
      </w:r>
      <w:r>
        <w:rPr>
          <w:b/>
          <w:bCs/>
        </w:rPr>
        <w:t xml:space="preserve">No wet-lab prospective validation</w:t>
      </w:r>
      <w:r>
        <w:t xml:space="preserve"> </w:t>
      </w:r>
      <w:r>
        <w:t xml:space="preserve">has been performed; that step requires experiments.</w:t>
      </w:r>
      <w:r>
        <w:t xml:space="preserve"> </w:t>
      </w:r>
      <w:r>
        <w:t xml:space="preserve">(iv)</w:t>
      </w:r>
      <w:r>
        <w:t xml:space="preserve"> </w:t>
      </w:r>
      <w:r>
        <w:rPr>
          <w:b/>
          <w:bCs/>
        </w:rPr>
        <w:t xml:space="preserve">Temporal generalisation to novel scaffolds is bounded</w:t>
      </w:r>
      <w:r>
        <w:t xml:space="preserve"> </w:t>
      </w:r>
      <w:r>
        <w:t xml:space="preserve">by covariate shift; receptor</w:t>
      </w:r>
      <w:r>
        <w:t xml:space="preserve"> </w:t>
      </w:r>
      <w:r>
        <w:t xml:space="preserve">and pooled-assay (DPPH) endpoints generalise across time only weakly and are flagged.</w:t>
      </w:r>
      <w:r>
        <w:t xml:space="preserve"> </w:t>
      </w:r>
      <w:r>
        <w:t xml:space="preserve">(v) GSK-3β and MAO-A degrade temporally and are marked lower-confidence.</w:t>
      </w:r>
      <w:r>
        <w:t xml:space="preserve"> </w:t>
      </w:r>
      <w:r>
        <w:t xml:space="preserve">(vi)</w:t>
      </w:r>
      <w:r>
        <w:t xml:space="preserve"> </w:t>
      </w:r>
      <w:r>
        <w:rPr>
          <w:b/>
          <w:bCs/>
        </w:rPr>
        <w:t xml:space="preserve">Bioactivity is pooled across assay formats</w:t>
      </w:r>
      <w:r>
        <w:t xml:space="preserve"> </w:t>
      </w:r>
      <w:r>
        <w:t xml:space="preserve">(IC50/Ki/Kd/EC50) on the pChEMBL scale;</w:t>
      </w:r>
      <w:r>
        <w:t xml:space="preserve"> </w:t>
      </w:r>
      <w:r>
        <w:t xml:space="preserve">residual cross-assay variance is bounded but not eliminated (see Threats to validity).</w:t>
      </w:r>
      <w:r>
        <w:t xml:space="preserve"> </w:t>
      </w:r>
      <w:r>
        <w:t xml:space="preserve">(vii)</w:t>
      </w:r>
      <w:r>
        <w:t xml:space="preserve"> </w:t>
      </w:r>
      <w:r>
        <w:rPr>
          <w:b/>
          <w:bCs/>
        </w:rPr>
        <w:t xml:space="preserve">A single cardiac safety anti-target (hERG)</w:t>
      </w:r>
      <w:r>
        <w:t xml:space="preserve"> </w:t>
      </w:r>
      <w:r>
        <w:t xml:space="preserve">is modelled; other safety liabilities are</w:t>
      </w:r>
      <w:r>
        <w:t xml:space="preserve"> </w:t>
      </w:r>
      <w:r>
        <w:t xml:space="preserve">out of scope.</w:t>
      </w:r>
    </w:p>
    <w:p>
      <w:pPr>
        <w:pStyle w:val="BodyText"/>
      </w:pPr>
      <w:r>
        <w:rPr>
          <w:b/>
          <w:bCs/>
        </w:rPr>
        <w:t xml:space="preserve">Intended use.</w:t>
      </w:r>
      <w:r>
        <w:t xml:space="preserve"> </w:t>
      </w:r>
      <w:r>
        <w:t xml:space="preserve">Research hypothesis-generation, triage and prioritisation, not clinical or</w:t>
      </w:r>
      <w:r>
        <w:t xml:space="preserve"> </w:t>
      </w:r>
      <w:r>
        <w:t xml:space="preserve">diagnostic use.</w:t>
      </w:r>
    </w:p>
    <w:bookmarkEnd w:id="30"/>
    <w:bookmarkStart w:id="31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BrainSafe AI is a calibrated, evidence-grounded, multi-endpoint CNS profiler built entirely on</w:t>
      </w:r>
      <w:r>
        <w:t xml:space="preserve"> </w:t>
      </w:r>
      <w:r>
        <w:t xml:space="preserve">measured public data. Its per-endpoint performance is state-of-the-art-grade on like-for-like splits,</w:t>
      </w:r>
      <w:r>
        <w:t xml:space="preserve"> </w:t>
      </w:r>
      <w:r>
        <w:t xml:space="preserve">and we place the harder scaffold, cluster and temporal numbers alongside rather than out of sight. We</w:t>
      </w:r>
      <w:r>
        <w:t xml:space="preserve"> </w:t>
      </w:r>
      <w:r>
        <w:t xml:space="preserve">have done everything that can be validated computationally; the gaps that remain (predicting</w:t>
      </w:r>
      <w:r>
        <w:t xml:space="preserve"> </w:t>
      </w:r>
      <w:r>
        <w:t xml:space="preserve">efficacy, telling agonism from antagonism, confirming results at the bench) are inherent to the</w:t>
      </w:r>
      <w:r>
        <w:t xml:space="preserve"> </w:t>
      </w:r>
      <w:r>
        <w:t xml:space="preserve">approach, and we say so plainly. On that footing the tool stands both as a resource publication and as</w:t>
      </w:r>
      <w:r>
        <w:t xml:space="preserve"> </w:t>
      </w:r>
      <w:r>
        <w:t xml:space="preserve">something researchers can actually use.</w:t>
      </w:r>
    </w:p>
    <w:bookmarkEnd w:id="31"/>
    <w:bookmarkStart w:id="32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All models (</w:t>
      </w:r>
      <w:r>
        <w:rPr>
          <w:rStyle w:val="VerbatimChar"/>
        </w:rPr>
        <w:t xml:space="preserve">models_brain/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models_brain_reg/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models_genuine/</w:t>
      </w:r>
      <w:r>
        <w:t xml:space="preserve">), datasets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data/endpoints/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data/endpoints_reg/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data/clinical_cns_reference.csv</w:t>
      </w:r>
      <w:r>
        <w:t xml:space="preserve">), validation</w:t>
      </w:r>
      <w:r>
        <w:t xml:space="preserve"> </w:t>
      </w:r>
      <w:r>
        <w:t xml:space="preserve">reports (</w:t>
      </w:r>
      <w:r>
        <w:rPr>
          <w:rStyle w:val="VerbatimChar"/>
        </w:rPr>
        <w:t xml:space="preserve">*_report.json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BS_randomsplit_benchmark.json</w:t>
      </w:r>
      <w:r>
        <w:t xml:space="preserve">), the model card (</w:t>
      </w:r>
      <w:r>
        <w:rPr>
          <w:rStyle w:val="VerbatimChar"/>
        </w:rPr>
        <w:t xml:space="preserve">BS_MODEL_CARD.md</w:t>
      </w:r>
      <w:r>
        <w:t xml:space="preserve">),</w:t>
      </w:r>
      <w:r>
        <w:t xml:space="preserve"> </w:t>
      </w:r>
      <w:r>
        <w:t xml:space="preserve">and all fetch/train/validation scripts are in the repository. App:</w:t>
      </w:r>
      <w:r>
        <w:t xml:space="preserve"> </w:t>
      </w:r>
      <w:r>
        <w:rPr>
          <w:rStyle w:val="VerbatimChar"/>
        </w:rPr>
        <w:t xml:space="preserve">app_v6_final.py</w:t>
      </w:r>
      <w:r>
        <w:t xml:space="preserve">.</w:t>
      </w:r>
    </w:p>
    <w:bookmarkEnd w:id="32"/>
    <w:bookmarkStart w:id="33" w:name="supplementary-materials"/>
    <w:p>
      <w:pPr>
        <w:pStyle w:val="Heading2"/>
      </w:pPr>
      <w:r>
        <w:t xml:space="preserve">Supplementary materials</w:t>
      </w:r>
    </w:p>
    <w:p>
      <w:pPr>
        <w:pStyle w:val="FirstParagraph"/>
      </w:pPr>
      <w:r>
        <w:rPr>
          <w:b/>
          <w:bCs/>
        </w:rPr>
        <w:t xml:space="preserve">Figures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figures/</w:t>
      </w:r>
      <w:r>
        <w:t xml:space="preserve">, 300 dpi, regenerated from out-of-fold predictions):</w:t>
      </w:r>
      <w:r>
        <w:t xml:space="preserve"> </w:t>
      </w:r>
      <w:r>
        <w:t xml:space="preserve">Fig 1 pipeline/workflow · Fig 2 dataset size &amp; class balance · Fig 3 AUROC across validation</w:t>
      </w:r>
      <w:r>
        <w:t xml:space="preserve"> </w:t>
      </w:r>
      <w:r>
        <w:t xml:space="preserve">regimes (random/scaffold/cluster/temporal) · Fig 4 (A) scaffold-CV ROC curves, (B) calibration</w:t>
      </w:r>
      <w:r>
        <w:t xml:space="preserve"> </w:t>
      </w:r>
      <w:r>
        <w:t xml:space="preserve">reliability · Fig 5 (A) conformal coverage, (B) ensemble vs kNN/logistic baselines ·</w:t>
      </w:r>
      <w:r>
        <w:t xml:space="preserve"> </w:t>
      </w:r>
      <w:r>
        <w:t xml:space="preserve">Fig 6 benchmark vs literature · Fig 7 predicted-vs-measured regression scatter (antioxidant + receptors).</w:t>
      </w:r>
      <w:r>
        <w:t xml:space="preserve"> </w:t>
      </w:r>
      <w:r>
        <w:rPr>
          <w:b/>
          <w:bCs/>
        </w:rPr>
        <w:t xml:space="preserve">Supplementary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supplementary/</w:t>
      </w:r>
      <w:r>
        <w:t xml:space="preserve">, exact values from the validation artifacts):</w:t>
      </w:r>
      <w:r>
        <w:t xml:space="preserve"> </w:t>
      </w:r>
      <w:r>
        <w:t xml:space="preserve">S1 classification metrics (random/scaffold/cluster/temporal, PR-AUC, BA, MCC, Brier, conformal) ·</w:t>
      </w:r>
      <w:r>
        <w:t xml:space="preserve"> </w:t>
      </w:r>
      <w:r>
        <w:t xml:space="preserve">S2 receptor regression · S3 antioxidant (measured DPPH) · S4 threshold sensitivity ·</w:t>
      </w:r>
      <w:r>
        <w:t xml:space="preserve"> </w:t>
      </w:r>
      <w:r>
        <w:t xml:space="preserve">S5 similarity-binned generalisation · S6 clinical-reference composition · S7 benchmark vs literature ·</w:t>
      </w:r>
      <w:r>
        <w:t xml:space="preserve"> </w:t>
      </w:r>
      <w:r>
        <w:t xml:space="preserve">S8 BrainSafe-vs-LLM capability matrix · S9 ablation vs kNN-Tanimoto and logistic-regression baselines ·</w:t>
      </w:r>
      <w:r>
        <w:t xml:space="preserve"> </w:t>
      </w:r>
      <w:r>
        <w:t xml:space="preserve">S10 label-definition robustness (scaffold AUROC under alternative pChEMBL cuts) ·</w:t>
      </w:r>
      <w:r>
        <w:t xml:space="preserve"> </w:t>
      </w:r>
      <w:r>
        <w:t xml:space="preserve">S11 assay-type composition per endpoint · S12 single-assay (IC50-only) vs pooled sensitivity.</w:t>
      </w:r>
      <w:r>
        <w:t xml:space="preserve"> </w:t>
      </w:r>
      <w:r>
        <w:rPr>
          <w:b/>
          <w:bCs/>
        </w:rPr>
        <w:t xml:space="preserve">Model card:</w:t>
      </w:r>
      <w:r>
        <w:t xml:space="preserve"> </w:t>
      </w:r>
      <w:r>
        <w:rPr>
          <w:rStyle w:val="VerbatimChar"/>
        </w:rPr>
        <w:t xml:space="preserve">BS_MODEL_CARD.md</w:t>
      </w:r>
      <w:r>
        <w:t xml:space="preserve"> </w:t>
      </w:r>
      <w:r>
        <w:t xml:space="preserve">(full provenance, diagnosis, and limitations).</w:t>
      </w:r>
      <w:r>
        <w:t xml:space="preserve"> </w:t>
      </w:r>
      <w:r>
        <w:rPr>
          <w:b/>
          <w:bCs/>
        </w:rPr>
        <w:t xml:space="preserve">Comparison artifacts:</w:t>
      </w:r>
      <w:r>
        <w:t xml:space="preserve"> </w:t>
      </w:r>
      <w:r>
        <w:rPr>
          <w:rStyle w:val="VerbatimChar"/>
        </w:rPr>
        <w:t xml:space="preserve">BS_llm_comparison.py</w:t>
      </w:r>
      <w:r>
        <w:t xml:space="preserve">/</w:t>
      </w:r>
      <w:r>
        <w:rPr>
          <w:rStyle w:val="VerbatimChar"/>
        </w:rPr>
        <w:t xml:space="preserve">BS_llm_comparison.json</w:t>
      </w:r>
      <w:r>
        <w:t xml:space="preserve"> </w:t>
      </w:r>
      <w:r>
        <w:t xml:space="preserve">(baseline summary +</w:t>
      </w:r>
      <w:r>
        <w:t xml:space="preserve"> </w:t>
      </w:r>
      <w:r>
        <w:t xml:space="preserve">grounded-output demonstration);</w:t>
      </w:r>
      <w:r>
        <w:t xml:space="preserve"> </w:t>
      </w:r>
      <w:r>
        <w:rPr>
          <w:rStyle w:val="VerbatimChar"/>
        </w:rPr>
        <w:t xml:space="preserve">BS_flaw_fixes.py</w:t>
      </w:r>
      <w:r>
        <w:t xml:space="preserve">/</w:t>
      </w:r>
      <w:r>
        <w:rPr>
          <w:rStyle w:val="VerbatimChar"/>
        </w:rPr>
        <w:t xml:space="preserve">BS_flaw_fixes.json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BS_assay_composition.py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BS_assay_sensitivity.py</w:t>
      </w:r>
      <w:r>
        <w:t xml:space="preserve"> </w:t>
      </w:r>
      <w:r>
        <w:t xml:space="preserve">(threats-to-validity analyses);</w:t>
      </w:r>
      <w:r>
        <w:t xml:space="preserve"> </w:t>
      </w:r>
      <w:r>
        <w:rPr>
          <w:rStyle w:val="VerbatimChar"/>
        </w:rPr>
        <w:t xml:space="preserve">BS_LLM_benchmark_protocol.md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BS_llm_benchmark.py</w:t>
      </w:r>
      <w:r>
        <w:t xml:space="preserve"> </w:t>
      </w:r>
      <w:r>
        <w:t xml:space="preserve">(pre-registered LLM head-to-head).</w:t>
      </w:r>
    </w:p>
    <w:bookmarkEnd w:id="33"/>
    <w:bookmarkStart w:id="34" w:name="key-references"/>
    <w:p>
      <w:pPr>
        <w:pStyle w:val="Heading2"/>
      </w:pPr>
      <w:r>
        <w:t xml:space="preserve">Key references</w:t>
      </w:r>
    </w:p>
    <w:p>
      <w:pPr>
        <w:pStyle w:val="Compact"/>
        <w:numPr>
          <w:ilvl w:val="0"/>
          <w:numId w:val="1004"/>
        </w:numPr>
      </w:pPr>
      <w:r>
        <w:t xml:space="preserve">Mendez D, et al. ChEMBL: towards direct deposition of bioassay data.</w:t>
      </w:r>
      <w:r>
        <w:t xml:space="preserve"> </w:t>
      </w:r>
      <w:r>
        <w:rPr>
          <w:i/>
          <w:iCs/>
        </w:rPr>
        <w:t xml:space="preserve">Nucleic Acids Res</w:t>
      </w:r>
      <w:r>
        <w:t xml:space="preserve"> </w:t>
      </w:r>
      <w:r>
        <w:t xml:space="preserve">2019;47:D930.</w:t>
      </w:r>
    </w:p>
    <w:p>
      <w:pPr>
        <w:pStyle w:val="Compact"/>
        <w:numPr>
          <w:ilvl w:val="0"/>
          <w:numId w:val="1004"/>
        </w:numPr>
      </w:pPr>
      <w:r>
        <w:t xml:space="preserve">Meng F, et al. A curated diverse molecular database of blood–brain barrier permeability (B3DB).</w:t>
      </w:r>
      <w:r>
        <w:t xml:space="preserve"> </w:t>
      </w:r>
      <w:r>
        <w:rPr>
          <w:i/>
          <w:iCs/>
        </w:rPr>
        <w:t xml:space="preserve">Sci Data</w:t>
      </w:r>
      <w:r>
        <w:t xml:space="preserve"> </w:t>
      </w:r>
      <w:r>
        <w:t xml:space="preserve">2021;8:289.</w:t>
      </w:r>
    </w:p>
    <w:p>
      <w:pPr>
        <w:pStyle w:val="Compact"/>
        <w:numPr>
          <w:ilvl w:val="0"/>
          <w:numId w:val="1004"/>
        </w:numPr>
      </w:pPr>
      <w:r>
        <w:t xml:space="preserve">Rogers D, Hahn M. Extended-connectivity fingerprints.</w:t>
      </w:r>
      <w:r>
        <w:t xml:space="preserve"> </w:t>
      </w:r>
      <w:r>
        <w:rPr>
          <w:i/>
          <w:iCs/>
        </w:rPr>
        <w:t xml:space="preserve">J Chem Inf Model</w:t>
      </w:r>
      <w:r>
        <w:t xml:space="preserve"> </w:t>
      </w:r>
      <w:r>
        <w:t xml:space="preserve">2010;50:742.</w:t>
      </w:r>
    </w:p>
    <w:p>
      <w:pPr>
        <w:pStyle w:val="Compact"/>
        <w:numPr>
          <w:ilvl w:val="0"/>
          <w:numId w:val="1004"/>
        </w:numPr>
      </w:pPr>
      <w:r>
        <w:t xml:space="preserve">Bemis GW, Murcko MA. The properties of known drugs. 1. Molecular frameworks.</w:t>
      </w:r>
      <w:r>
        <w:t xml:space="preserve"> </w:t>
      </w:r>
      <w:r>
        <w:rPr>
          <w:i/>
          <w:iCs/>
        </w:rPr>
        <w:t xml:space="preserve">J Med Chem</w:t>
      </w:r>
      <w:r>
        <w:t xml:space="preserve"> </w:t>
      </w:r>
      <w:r>
        <w:t xml:space="preserve">1996;39:2887.</w:t>
      </w:r>
    </w:p>
    <w:p>
      <w:pPr>
        <w:pStyle w:val="Compact"/>
        <w:numPr>
          <w:ilvl w:val="0"/>
          <w:numId w:val="1004"/>
        </w:numPr>
      </w:pPr>
      <w:r>
        <w:t xml:space="preserve">Pedregosa F, et al. Scikit-learn: machine learning in Python.</w:t>
      </w:r>
      <w:r>
        <w:t xml:space="preserve"> </w:t>
      </w:r>
      <w:r>
        <w:rPr>
          <w:i/>
          <w:iCs/>
        </w:rPr>
        <w:t xml:space="preserve">JMLR</w:t>
      </w:r>
      <w:r>
        <w:t xml:space="preserve"> </w:t>
      </w:r>
      <w:r>
        <w:t xml:space="preserve">2011;12:2825.</w:t>
      </w:r>
    </w:p>
    <w:p>
      <w:pPr>
        <w:pStyle w:val="Compact"/>
        <w:numPr>
          <w:ilvl w:val="0"/>
          <w:numId w:val="1004"/>
        </w:numPr>
      </w:pPr>
      <w:r>
        <w:t xml:space="preserve">Norinder U, Carlsson L, Boyer S, Eklund M. Introducing conformal prediction in predictive modeling.</w:t>
      </w:r>
      <w:r>
        <w:t xml:space="preserve"> </w:t>
      </w:r>
      <w:r>
        <w:rPr>
          <w:i/>
          <w:iCs/>
        </w:rPr>
        <w:t xml:space="preserve">J Chem Inf Model</w:t>
      </w:r>
      <w:r>
        <w:t xml:space="preserve"> </w:t>
      </w:r>
      <w:r>
        <w:t xml:space="preserve">2014;54:1596.</w:t>
      </w:r>
    </w:p>
    <w:p>
      <w:pPr>
        <w:pStyle w:val="Compact"/>
        <w:numPr>
          <w:ilvl w:val="0"/>
          <w:numId w:val="1004"/>
        </w:numPr>
      </w:pPr>
      <w:r>
        <w:t xml:space="preserve">Bickerton GR, et al. Quantifying the chemical beauty of drugs (QED).</w:t>
      </w:r>
      <w:r>
        <w:t xml:space="preserve"> </w:t>
      </w:r>
      <w:r>
        <w:rPr>
          <w:i/>
          <w:iCs/>
        </w:rPr>
        <w:t xml:space="preserve">Nat Chem</w:t>
      </w:r>
      <w:r>
        <w:t xml:space="preserve"> </w:t>
      </w:r>
      <w:r>
        <w:t xml:space="preserve">2012;4:90.</w:t>
      </w:r>
    </w:p>
    <w:p>
      <w:pPr>
        <w:pStyle w:val="Compact"/>
        <w:numPr>
          <w:ilvl w:val="0"/>
          <w:numId w:val="1004"/>
        </w:numPr>
      </w:pPr>
      <w:r>
        <w:t xml:space="preserve">Lipinski CA, et al. Rule of five.</w:t>
      </w:r>
      <w:r>
        <w:t xml:space="preserve"> </w:t>
      </w:r>
      <w:r>
        <w:rPr>
          <w:i/>
          <w:iCs/>
        </w:rPr>
        <w:t xml:space="preserve">Adv Drug Deliv Rev</w:t>
      </w:r>
      <w:r>
        <w:t xml:space="preserve"> </w:t>
      </w:r>
      <w:r>
        <w:t xml:space="preserve">2001;46:3.</w:t>
      </w:r>
    </w:p>
    <w:p>
      <w:pPr>
        <w:pStyle w:val="Compact"/>
        <w:numPr>
          <w:ilvl w:val="0"/>
          <w:numId w:val="1004"/>
        </w:numPr>
      </w:pPr>
      <w:r>
        <w:t xml:space="preserve">Veber DF, et al. Molecular properties affecting oral bioavailability.</w:t>
      </w:r>
      <w:r>
        <w:t xml:space="preserve"> </w:t>
      </w:r>
      <w:r>
        <w:rPr>
          <w:i/>
          <w:iCs/>
        </w:rPr>
        <w:t xml:space="preserve">J Med Chem</w:t>
      </w:r>
      <w:r>
        <w:t xml:space="preserve"> </w:t>
      </w:r>
      <w:r>
        <w:t xml:space="preserve">2002;45:2615.</w:t>
      </w:r>
    </w:p>
    <w:p>
      <w:pPr>
        <w:pStyle w:val="Compact"/>
        <w:numPr>
          <w:ilvl w:val="0"/>
          <w:numId w:val="1004"/>
        </w:numPr>
      </w:pPr>
      <w:r>
        <w:t xml:space="preserve">Wager TT, et al. CNS multiparameter optimization (CNS-MPO).</w:t>
      </w:r>
      <w:r>
        <w:t xml:space="preserve"> </w:t>
      </w:r>
      <w:r>
        <w:rPr>
          <w:i/>
          <w:iCs/>
        </w:rPr>
        <w:t xml:space="preserve">ACS Chem Neurosci</w:t>
      </w:r>
      <w:r>
        <w:t xml:space="preserve"> </w:t>
      </w:r>
      <w:r>
        <w:t xml:space="preserve">2010;1:435.</w:t>
      </w:r>
    </w:p>
    <w:p>
      <w:pPr>
        <w:pStyle w:val="Compact"/>
        <w:numPr>
          <w:ilvl w:val="0"/>
          <w:numId w:val="1004"/>
        </w:numPr>
      </w:pPr>
      <w:r>
        <w:t xml:space="preserve">RDKit: Open-source cheminformatics. https://www.rdkit.org</w:t>
      </w:r>
    </w:p>
    <w:p>
      <w:pPr>
        <w:pStyle w:val="Compact"/>
        <w:numPr>
          <w:ilvl w:val="0"/>
          <w:numId w:val="1004"/>
        </w:numPr>
      </w:pPr>
      <w:r>
        <w:t xml:space="preserve">Guo T, Guo K, Nan B, Liang Z, Guo Z, Chawla NV, Wiest O, Zhang X. What can large language models do in chemistry? A comprehensive benchmark on eight tasks.</w:t>
      </w:r>
      <w:r>
        <w:t xml:space="preserve"> </w:t>
      </w:r>
      <w:r>
        <w:rPr>
          <w:i/>
          <w:iCs/>
        </w:rPr>
        <w:t xml:space="preserve">NeurIPS 2023 Datasets and Benchmarks Track</w:t>
      </w:r>
      <w:r>
        <w:t xml:space="preserve">. arXiv:2305.18365.</w:t>
      </w:r>
    </w:p>
    <w:p>
      <w:pPr>
        <w:pStyle w:val="Compact"/>
        <w:numPr>
          <w:ilvl w:val="0"/>
          <w:numId w:val="1004"/>
        </w:numPr>
      </w:pPr>
      <w:r>
        <w:t xml:space="preserve">Zhong Z, Zhou K, Mottin D. Benchmarking large language models for molecule prediction tasks. 2024. arXiv:2403.05075.</w:t>
      </w:r>
    </w:p>
    <w:p>
      <w:pPr>
        <w:pStyle w:val="Compact"/>
        <w:numPr>
          <w:ilvl w:val="0"/>
          <w:numId w:val="1004"/>
        </w:numPr>
      </w:pPr>
      <w:r>
        <w:t xml:space="preserve">Jablonka KM, Schwaller P, Ortega-Guerrero A, Smit B. Leveraging large language models for predictive chemistry.</w:t>
      </w:r>
      <w:r>
        <w:t xml:space="preserve"> </w:t>
      </w:r>
      <w:r>
        <w:rPr>
          <w:i/>
          <w:iCs/>
        </w:rPr>
        <w:t xml:space="preserve">Nat Mach Intell</w:t>
      </w:r>
      <w:r>
        <w:t xml:space="preserve"> </w:t>
      </w:r>
      <w:r>
        <w:t xml:space="preserve">2024;6:161–169.</w:t>
      </w:r>
    </w:p>
    <w:p>
      <w:pPr>
        <w:pStyle w:val="Compact"/>
        <w:numPr>
          <w:ilvl w:val="0"/>
          <w:numId w:val="1004"/>
        </w:numPr>
      </w:pPr>
      <w:r>
        <w:t xml:space="preserve">Ji Z, Lee N, Frieske R, Yu T, Su D, Xu Y, et al. Survey of hallucination in natural language generation.</w:t>
      </w:r>
      <w:r>
        <w:t xml:space="preserve"> </w:t>
      </w:r>
      <w:r>
        <w:rPr>
          <w:i/>
          <w:iCs/>
        </w:rPr>
        <w:t xml:space="preserve">ACM Comput Surv</w:t>
      </w:r>
      <w:r>
        <w:t xml:space="preserve"> </w:t>
      </w:r>
      <w:r>
        <w:t xml:space="preserve">2023;55(12):Article 248.</w:t>
      </w:r>
    </w:p>
    <w:bookmarkEnd w:id="34"/>
    <w:bookmarkEnd w:id="35"/>
    <w:bookmarkStart w:id="69" w:name="figures"/>
    <w:p>
      <w:pPr>
        <w:pStyle w:val="Heading1"/>
      </w:pPr>
      <w:r>
        <w:t xml:space="preserve">Figures</w: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Random-forest classifiers, ten-fold cross-validation (random vs scaffold split).</w:t>
      </w:r>
    </w:p>
    <w:p>
      <w:pPr>
        <w:pStyle w:val="CaptionedFigure"/>
      </w:pPr>
      <w:r>
        <w:drawing>
          <wp:inline>
            <wp:extent cx="5334000" cy="2687052"/>
            <wp:effectExtent b="0" l="0" r="0" t="0"/>
            <wp:docPr descr="Figure 1" title="" id="37" name="Picture"/>
            <a:graphic>
              <a:graphicData uri="http://schemas.openxmlformats.org/drawingml/2006/picture">
                <pic:pic>
                  <pic:nvPicPr>
                    <pic:cNvPr descr="D:/BRAINSAFE_AI/results/figures/fig_rf_classification_auroc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7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Random-forest receptor and antioxidant regressors, ten-fold cross-validation.</w:t>
      </w:r>
    </w:p>
    <w:p>
      <w:pPr>
        <w:pStyle w:val="CaptionedFigure"/>
      </w:pPr>
      <w:r>
        <w:drawing>
          <wp:inline>
            <wp:extent cx="5334000" cy="3234190"/>
            <wp:effectExtent b="0" l="0" r="0" t="0"/>
            <wp:docPr descr="Figure 2" title="" id="40" name="Picture"/>
            <a:graphic>
              <a:graphicData uri="http://schemas.openxmlformats.org/drawingml/2006/picture">
                <pic:pic>
                  <pic:nvPicPr>
                    <pic:cNvPr descr="D:/BRAINSAFE_AI/results/figures/fig_rf_regression_r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4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Measured compounds per target endpoint.</w:t>
      </w:r>
    </w:p>
    <w:p>
      <w:pPr>
        <w:pStyle w:val="CaptionedFigure"/>
      </w:pPr>
      <w:r>
        <w:drawing>
          <wp:inline>
            <wp:extent cx="5334000" cy="3297053"/>
            <wp:effectExtent b="0" l="0" r="0" t="0"/>
            <wp:docPr descr="Figure 3" title="" id="43" name="Picture"/>
            <a:graphic>
              <a:graphicData uri="http://schemas.openxmlformats.org/drawingml/2006/picture">
                <pic:pic>
                  <pic:nvPicPr>
                    <pic:cNvPr descr="D:/BRAINSAFE_AI/results/figures/fig_compound_count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Feature-block ablation: fingerprint vs descriptors vs combined.</w:t>
      </w:r>
    </w:p>
    <w:p>
      <w:pPr>
        <w:pStyle w:val="CaptionedFigure"/>
      </w:pPr>
      <w:r>
        <w:drawing>
          <wp:inline>
            <wp:extent cx="5334000" cy="2290674"/>
            <wp:effectExtent b="0" l="0" r="0" t="0"/>
            <wp:docPr descr="Figure 4" title="" id="46" name="Picture"/>
            <a:graphic>
              <a:graphicData uri="http://schemas.openxmlformats.org/drawingml/2006/picture">
                <pic:pic>
                  <pic:nvPicPr>
                    <pic:cNvPr descr="D:/BRAINSAFE_AI/results/figures/fig_feature_block_ablat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0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Permutation importance of the twelve descriptors per endpoint.</w:t>
      </w:r>
    </w:p>
    <w:p>
      <w:pPr>
        <w:pStyle w:val="CaptionedFigure"/>
      </w:pPr>
      <w:r>
        <w:drawing>
          <wp:inline>
            <wp:extent cx="5334000" cy="2759617"/>
            <wp:effectExtent b="0" l="0" r="0" t="0"/>
            <wp:docPr descr="Figure 5" title="" id="49" name="Picture"/>
            <a:graphic>
              <a:graphicData uri="http://schemas.openxmlformats.org/drawingml/2006/picture">
                <pic:pic>
                  <pic:nvPicPr>
                    <pic:cNvPr descr="D:/BRAINSAFE_AI/results/figures/fig_descriptor_importanc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9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</w:t>
      </w:r>
    </w:p>
    <w:p>
      <w:pPr>
        <w:pStyle w:val="BodyText"/>
      </w:pPr>
      <w:r>
        <w:rPr>
          <w:b/>
          <w:bCs/>
        </w:rPr>
        <w:t xml:space="preserve">Figure 6.</w:t>
      </w:r>
      <w:r>
        <w:t xml:space="preserve"> </w:t>
      </w:r>
      <w:r>
        <w:t xml:space="preserve">Probability calibration (expected calibration error, raw vs isotonic).</w:t>
      </w:r>
    </w:p>
    <w:p>
      <w:pPr>
        <w:pStyle w:val="CaptionedFigure"/>
      </w:pPr>
      <w:r>
        <w:drawing>
          <wp:inline>
            <wp:extent cx="5334000" cy="2566736"/>
            <wp:effectExtent b="0" l="0" r="0" t="0"/>
            <wp:docPr descr="Figure 6" title="" id="52" name="Picture"/>
            <a:graphic>
              <a:graphicData uri="http://schemas.openxmlformats.org/drawingml/2006/picture">
                <pic:pic>
                  <pic:nvPicPr>
                    <pic:cNvPr descr="D:/BRAINSAFE_AI/results/figures/fig_calibratio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6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</w:t>
      </w:r>
    </w:p>
    <w:p>
      <w:pPr>
        <w:pStyle w:val="BodyText"/>
      </w:pPr>
      <w:r>
        <w:rPr>
          <w:b/>
          <w:bCs/>
        </w:rPr>
        <w:t xml:space="preserve">Figure 7.</w:t>
      </w:r>
      <w:r>
        <w:t xml:space="preserve"> </w:t>
      </w:r>
      <w:r>
        <w:t xml:space="preserve">Applicability-domain coverage of DrugBank per endpoint.</w:t>
      </w:r>
    </w:p>
    <w:p>
      <w:pPr>
        <w:pStyle w:val="CaptionedFigure"/>
      </w:pPr>
      <w:r>
        <w:drawing>
          <wp:inline>
            <wp:extent cx="5334000" cy="3028627"/>
            <wp:effectExtent b="0" l="0" r="0" t="0"/>
            <wp:docPr descr="Figure 7" title="" id="55" name="Picture"/>
            <a:graphic>
              <a:graphicData uri="http://schemas.openxmlformats.org/drawingml/2006/picture">
                <pic:pic>
                  <pic:nvPicPr>
                    <pic:cNvPr descr="D:/BRAINSAFE_AI/results/figures/fig_applicability_coverag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</w:t>
      </w:r>
    </w:p>
    <w:p>
      <w:pPr>
        <w:pStyle w:val="BodyText"/>
      </w:pPr>
      <w:r>
        <w:rPr>
          <w:b/>
          <w:bCs/>
        </w:rPr>
        <w:t xml:space="preserve">Figure 8.</w:t>
      </w:r>
      <w:r>
        <w:t xml:space="preserve"> </w:t>
      </w:r>
      <w:r>
        <w:t xml:space="preserve">Scaffold-honest learning curves: where more data still helps.</w:t>
      </w:r>
    </w:p>
    <w:p>
      <w:pPr>
        <w:pStyle w:val="CaptionedFigure"/>
      </w:pPr>
      <w:r>
        <w:drawing>
          <wp:inline>
            <wp:extent cx="5334000" cy="3293204"/>
            <wp:effectExtent b="0" l="0" r="0" t="0"/>
            <wp:docPr descr="Figure 8" title="" id="58" name="Picture"/>
            <a:graphic>
              <a:graphicData uri="http://schemas.openxmlformats.org/drawingml/2006/picture">
                <pic:pic>
                  <pic:nvPicPr>
                    <pic:cNvPr descr="D:/BRAINSAFE_AI/results/figures/fig_learning_curv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3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</w:t>
      </w:r>
    </w:p>
    <w:p>
      <w:pPr>
        <w:pStyle w:val="BodyText"/>
      </w:pPr>
      <w:r>
        <w:rPr>
          <w:b/>
          <w:bCs/>
        </w:rPr>
        <w:t xml:space="preserve">Figure 9.</w:t>
      </w:r>
      <w:r>
        <w:t xml:space="preserve"> </w:t>
      </w:r>
      <w:r>
        <w:t xml:space="preserve">Graph network (GIN) vs random forest on the same scaffold split.</w:t>
      </w:r>
    </w:p>
    <w:p>
      <w:pPr>
        <w:pStyle w:val="CaptionedFigure"/>
      </w:pPr>
      <w:r>
        <w:drawing>
          <wp:inline>
            <wp:extent cx="5334000" cy="3087852"/>
            <wp:effectExtent b="0" l="0" r="0" t="0"/>
            <wp:docPr descr="Figure 9" title="" id="61" name="Picture"/>
            <a:graphic>
              <a:graphicData uri="http://schemas.openxmlformats.org/drawingml/2006/picture">
                <pic:pic>
                  <pic:nvPicPr>
                    <pic:cNvPr descr="D:/BRAINSAFE_AI/results/figures/fig_gnn_vs_rf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</w:t>
      </w:r>
    </w:p>
    <w:p>
      <w:pPr>
        <w:pStyle w:val="BodyText"/>
      </w:pPr>
      <w:r>
        <w:rPr>
          <w:b/>
          <w:bCs/>
        </w:rPr>
        <w:t xml:space="preserve">Figure 10.</w:t>
      </w:r>
      <w:r>
        <w:t xml:space="preserve"> </w:t>
      </w:r>
      <w:r>
        <w:t xml:space="preserve">ADME / exposure models, scaffold ten-fold performance.</w:t>
      </w:r>
    </w:p>
    <w:p>
      <w:pPr>
        <w:pStyle w:val="CaptionedFigure"/>
      </w:pPr>
      <w:r>
        <w:drawing>
          <wp:inline>
            <wp:extent cx="5334000" cy="2630959"/>
            <wp:effectExtent b="0" l="0" r="0" t="0"/>
            <wp:docPr descr="Figure 10" title="" id="64" name="Picture"/>
            <a:graphic>
              <a:graphicData uri="http://schemas.openxmlformats.org/drawingml/2006/picture">
                <pic:pic>
                  <pic:nvPicPr>
                    <pic:cNvPr descr="D:/BRAINSAFE_AI/results/figures/fig_adme_performanc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0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</w:t>
      </w:r>
    </w:p>
    <w:p>
      <w:pPr>
        <w:pStyle w:val="BodyText"/>
      </w:pPr>
      <w:r>
        <w:rPr>
          <w:b/>
          <w:bCs/>
        </w:rPr>
        <w:t xml:space="preserve">Figure 11.</w:t>
      </w:r>
      <w:r>
        <w:t xml:space="preserve"> </w:t>
      </w:r>
      <w:r>
        <w:t xml:space="preserve">Predicted unbound brain exposure (K_p,uu) on known central and peripheral drugs.</w:t>
      </w:r>
    </w:p>
    <w:p>
      <w:pPr>
        <w:pStyle w:val="CaptionedFigure"/>
      </w:pPr>
      <w:r>
        <w:drawing>
          <wp:inline>
            <wp:extent cx="5334000" cy="3028627"/>
            <wp:effectExtent b="0" l="0" r="0" t="0"/>
            <wp:docPr descr="Figure 11" title="" id="67" name="Picture"/>
            <a:graphic>
              <a:graphicData uri="http://schemas.openxmlformats.org/drawingml/2006/picture">
                <pic:pic>
                  <pic:nvPicPr>
                    <pic:cNvPr descr="D:/BRAINSAFE_AI/results/figures/fig_kpuu_exposur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45" Target="media/rId45.png" /><Relationship Type="http://schemas.openxmlformats.org/officeDocument/2006/relationships/image" Id="rId60" Target="media/rId60.png" /><Relationship Type="http://schemas.openxmlformats.org/officeDocument/2006/relationships/image" Id="rId66" Target="media/rId66.png" /><Relationship Type="http://schemas.openxmlformats.org/officeDocument/2006/relationships/image" Id="rId57" Target="media/rId57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2026-07-22T07:28:38Z</dcterms:created>
  <dcterms:modified xsi:type="dcterms:W3CDTF">2026-07-22T07:28:38Z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