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2026-08-24,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10"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Start w:id="9" w:name="how-to-read-this-document"/>
    <w:p>
      <w:pPr>
        <w:pStyle w:val="Heading3"/>
      </w:pPr>
      <w:r>
        <w:t xml:space="preserve">0.1 How to read this document</w:t>
      </w:r>
    </w:p>
    <w:p>
      <w:pPr>
        <w:pStyle w:val="FirstParagraph"/>
      </w:pPr>
      <w:r>
        <w:t xml:space="preserve">This report is read by people with incompatible backgrounds. A statistician wants the estimator, the</w:t>
      </w:r>
      <w:r>
        <w:t xml:space="preserve"> </w:t>
      </w:r>
      <w:r>
        <w:t xml:space="preserve">splitting scheme and the interval construction stated precisely, and will not accept prose where an</w:t>
      </w:r>
      <w:r>
        <w:t xml:space="preserve"> </w:t>
      </w:r>
      <w:r>
        <w:t xml:space="preserve">equation belongs. A pharmacologist wants to know what the panel measures, whether the targets are the</w:t>
      </w:r>
      <w:r>
        <w:t xml:space="preserve"> </w:t>
      </w:r>
      <w:r>
        <w:t xml:space="preserve">right ones, and what a number means for a compound they might make. Writing only for either one</w:t>
      </w:r>
      <w:r>
        <w:t xml:space="preserve"> </w:t>
      </w:r>
      <w:r>
        <w:t xml:space="preserve">produces a document the other cannot check.</w:t>
      </w:r>
    </w:p>
    <w:p>
      <w:pPr>
        <w:pStyle w:val="BodyText"/>
      </w:pPr>
      <w:r>
        <w:t xml:space="preserve">The response here is not to compromise but to say the same things twice, in the register each reader</w:t>
      </w:r>
      <w:r>
        <w:t xml:space="preserve"> </w:t>
      </w:r>
      <w:r>
        <w:t xml:space="preserve">needs, and to mark which is which. Prose sections carry the reasoning and the biology. Section 3.7</w:t>
      </w:r>
      <w:r>
        <w:t xml:space="preserve"> </w:t>
      </w:r>
      <w:r>
        <w:t xml:space="preserve">restates the entire pipeline in notation, and is the one place where nothing is explained twice. The</w:t>
      </w:r>
      <w:r>
        <w:t xml:space="preserve"> </w:t>
      </w:r>
      <w:r>
        <w:t xml:space="preserve">two must agree; if they do not, that is a defect in this document.</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If you are</w:t>
            </w:r>
          </w:p>
        </w:tc>
        <w:tc>
          <w:tcPr>
            <w:shd w:val="clear" w:fill="EAF0F7"/>
          </w:tcPr>
          <w:p>
            <w:pPr>
              <w:pStyle w:val="Compact"/>
            </w:pPr>
            <w:r>
              <w:rPr>
                <w:b/>
                <w:sz w:val="17"/>
              </w:rPr>
              <w:t xml:space="preserve">Start at</w:t>
            </w:r>
          </w:p>
        </w:tc>
        <w:tc>
          <w:tcPr>
            <w:shd w:val="clear" w:fill="EAF0F7"/>
          </w:tcPr>
          <w:p>
            <w:pPr>
              <w:pStyle w:val="Compact"/>
            </w:pPr>
            <w:r>
              <w:rPr>
                <w:b/>
                <w:sz w:val="17"/>
              </w:rPr>
              <w:t xml:space="preserve">And you can skip</w:t>
            </w:r>
          </w:p>
        </w:tc>
      </w:tr>
      <w:tr>
        <w:tc>
          <w:tcPr/>
          <w:p>
            <w:pPr>
              <w:pStyle w:val="Compact"/>
            </w:pPr>
            <w:r>
              <w:rPr>
                <w:b/>
                <w:bCs/>
              </w:rPr>
              <w:t xml:space="preserve">A statistician or machine-learning reviewer</w:t>
            </w:r>
          </w:p>
        </w:tc>
        <w:tc>
          <w:tcPr/>
          <w:p>
            <w:pPr>
              <w:pStyle w:val="Compact"/>
            </w:pPr>
            <w:r>
              <w:rPr>
                <w:b/>
                <w:bCs/>
              </w:rPr>
              <w:t xml:space="preserve">3.7</w:t>
            </w:r>
            <w:r>
              <w:t xml:space="preserve">, the formal specification: estimator, splits, calibration, conformal construction, thresholds, aggregation, metrics. Then 6.1 (cross-validation), 6.5 (external validation), 6.9 (leakage and null models)</w:t>
            </w:r>
          </w:p>
        </w:tc>
        <w:tc>
          <w:tcPr/>
          <w:p>
            <w:pPr>
              <w:pStyle w:val="Compact"/>
            </w:pPr>
            <w:r>
              <w:t xml:space="preserve">Section 2.3 and section 5’s prose, which restate for a biological reader what 3.7 already says exactly</w:t>
            </w:r>
          </w:p>
        </w:tc>
      </w:tr>
      <w:tr>
        <w:tc>
          <w:tcPr/>
          <w:p>
            <w:pPr>
              <w:pStyle w:val="Compact"/>
            </w:pPr>
            <w:r>
              <w:rPr>
                <w:b/>
                <w:bCs/>
              </w:rPr>
              <w:t xml:space="preserve">A pharmacologist, neuroscientist or clinician</w:t>
            </w:r>
          </w:p>
        </w:tc>
        <w:tc>
          <w:tcPr/>
          <w:p>
            <w:pPr>
              <w:pStyle w:val="Compact"/>
            </w:pPr>
            <w:r>
              <w:rPr>
                <w:b/>
                <w:bCs/>
              </w:rPr>
              <w:t xml:space="preserve">1</w:t>
            </w:r>
            <w:r>
              <w:t xml:space="preserve"> </w:t>
            </w:r>
            <w:r>
              <w:t xml:space="preserve">(what the system is), then</w:t>
            </w:r>
            <w:r>
              <w:t xml:space="preserve"> </w:t>
            </w:r>
            <w:r>
              <w:rPr>
                <w:b/>
                <w:bCs/>
              </w:rPr>
              <w:t xml:space="preserve">2.3</w:t>
            </w:r>
            <w:r>
              <w:t xml:space="preserve"> </w:t>
            </w:r>
            <w:r>
              <w:t xml:space="preserve">(why these endpoints, by therapeutic axis), then</w:t>
            </w:r>
            <w:r>
              <w:t xml:space="preserve"> </w:t>
            </w:r>
            <w:r>
              <w:rPr>
                <w:b/>
                <w:bCs/>
              </w:rPr>
              <w:t xml:space="preserve">5</w:t>
            </w:r>
            <w:r>
              <w:t xml:space="preserve"> </w:t>
            </w:r>
            <w:r>
              <w:t xml:space="preserve">(how the layers combine) and</w:t>
            </w:r>
            <w:r>
              <w:t xml:space="preserve"> </w:t>
            </w:r>
            <w:r>
              <w:rPr>
                <w:b/>
                <w:bCs/>
              </w:rPr>
              <w:t xml:space="preserve">5.1</w:t>
            </w:r>
            <w:r>
              <w:t xml:space="preserve"> </w:t>
            </w:r>
            <w:r>
              <w:t xml:space="preserve">(a real query, read line by line)</w:t>
            </w:r>
          </w:p>
        </w:tc>
        <w:tc>
          <w:tcPr/>
          <w:p>
            <w:pPr>
              <w:pStyle w:val="Compact"/>
            </w:pPr>
            <w:r>
              <w:t xml:space="preserve">Section 3.7 entirely, and the interval arithmetic in 3.3 and 3.4; sections 6.5.1 to 6.5.6 can be read from their opening paragraphs alone</w:t>
            </w:r>
          </w:p>
        </w:tc>
      </w:tr>
      <w:tr>
        <w:tc>
          <w:tcPr/>
          <w:p>
            <w:pPr>
              <w:pStyle w:val="Compact"/>
            </w:pPr>
            <w:r>
              <w:rPr>
                <w:b/>
                <w:bCs/>
              </w:rPr>
              <w:t xml:space="preserve">A reviewer checking whether the claims are earned</w:t>
            </w:r>
          </w:p>
        </w:tc>
        <w:tc>
          <w:tcPr/>
          <w:p>
            <w:pPr>
              <w:pStyle w:val="Compact"/>
            </w:pPr>
            <w:r>
              <w:rPr>
                <w:b/>
                <w:bCs/>
              </w:rPr>
              <w:t xml:space="preserve">6</w:t>
            </w:r>
            <w:r>
              <w:t xml:space="preserve"> </w:t>
            </w:r>
            <w:r>
              <w:t xml:space="preserve">in full, then</w:t>
            </w:r>
            <w:r>
              <w:t xml:space="preserve"> </w:t>
            </w:r>
            <w:r>
              <w:rPr>
                <w:b/>
                <w:bCs/>
              </w:rPr>
              <w:t xml:space="preserve">8</w:t>
            </w:r>
            <w:r>
              <w:t xml:space="preserve"> </w:t>
            </w:r>
            <w:r>
              <w:t xml:space="preserve">and</w:t>
            </w:r>
            <w:r>
              <w:t xml:space="preserve"> </w:t>
            </w:r>
            <w:r>
              <w:rPr>
                <w:b/>
                <w:bCs/>
              </w:rPr>
              <w:t xml:space="preserve">8.2</w:t>
            </w:r>
            <w:r>
              <w:t xml:space="preserve">, where the five foreseeable criticisms are answered with measurements rather than argument</w:t>
            </w:r>
          </w:p>
        </w:tc>
        <w:tc>
          <w:tcPr/>
          <w:p>
            <w:pPr>
              <w:pStyle w:val="Compact"/>
            </w:pPr>
            <w:r>
              <w:t xml:space="preserve">Nothing. That is the point of those sections</w:t>
            </w:r>
          </w:p>
        </w:tc>
      </w:tr>
      <w:tr>
        <w:tc>
          <w:tcPr/>
          <w:p>
            <w:pPr>
              <w:pStyle w:val="Compact"/>
            </w:pPr>
            <w:r>
              <w:rPr>
                <w:b/>
                <w:bCs/>
              </w:rPr>
              <w:t xml:space="preserve">Someone deciding whether to use the server</w:t>
            </w:r>
          </w:p>
        </w:tc>
        <w:tc>
          <w:tcPr/>
          <w:p>
            <w:pPr>
              <w:pStyle w:val="Compact"/>
            </w:pPr>
            <w:r>
              <w:rPr>
                <w:b/>
                <w:bCs/>
              </w:rPr>
              <w:t xml:space="preserve">0</w:t>
            </w:r>
            <w:r>
              <w:t xml:space="preserve"> </w:t>
            </w:r>
            <w:r>
              <w:t xml:space="preserve">(executive summary),</w:t>
            </w:r>
            <w:r>
              <w:t xml:space="preserve"> </w:t>
            </w:r>
            <w:r>
              <w:rPr>
                <w:b/>
                <w:bCs/>
              </w:rPr>
              <w:t xml:space="preserve">5.1</w:t>
            </w:r>
            <w:r>
              <w:t xml:space="preserve"> </w:t>
            </w:r>
            <w:r>
              <w:t xml:space="preserve">(a worked query),</w:t>
            </w:r>
            <w:r>
              <w:t xml:space="preserve"> </w:t>
            </w:r>
            <w:r>
              <w:rPr>
                <w:b/>
                <w:bCs/>
              </w:rPr>
              <w:t xml:space="preserve">8</w:t>
            </w:r>
            <w:r>
              <w:t xml:space="preserve"> </w:t>
            </w:r>
            <w:r>
              <w:t xml:space="preserve">(limitations)</w:t>
            </w:r>
          </w:p>
        </w:tc>
        <w:tc>
          <w:tcPr/>
          <w:p>
            <w:pPr>
              <w:pStyle w:val="Compact"/>
            </w:pPr>
            <w:r>
              <w:t xml:space="preserve">Everything else</w:t>
            </w:r>
          </w:p>
        </w:tc>
      </w:tr>
    </w:tbl>
    <w:p>
      <w:pPr>
        <w:pStyle w:val="BodyText"/>
      </w:pPr>
      <w:r>
        <w:t xml:space="preserve">Three conventions hold throughout. Every number is read from an artefact in this repository at</w:t>
      </w:r>
      <w:r>
        <w:t xml:space="preserve"> </w:t>
      </w:r>
      <w:r>
        <w:t xml:space="preserve">generation time, so no figure here was typed by hand and none can drift from what the code produced.</w:t>
      </w:r>
      <w:r>
        <w:t xml:space="preserve"> </w:t>
      </w:r>
      <w:r>
        <w:t xml:space="preserve">Results that do not flatter the system are reported at the same size as results that do, and section</w:t>
      </w:r>
      <w:r>
        <w:t xml:space="preserve"> </w:t>
      </w:r>
      <w:r>
        <w:t xml:space="preserve">6.7 exists because four of the nine falsification hypotheses were refuted. And where a claim rests on</w:t>
      </w:r>
      <w:r>
        <w:t xml:space="preserve"> </w:t>
      </w:r>
      <w:r>
        <w:t xml:space="preserve">an assumption rather than a measurement, the assumption is named in the sentence that makes the</w:t>
      </w:r>
      <w:r>
        <w:t xml:space="preserve"> </w:t>
      </w:r>
      <w:r>
        <w:t xml:space="preserve">claim, not in a footnote.</w:t>
      </w:r>
    </w:p>
    <w:p>
      <w:r>
        <w:pict>
          <v:rect style="width:0;height:1.5pt" o:hralign="center" o:hrstd="t" o:hr="t"/>
        </w:pict>
      </w:r>
    </w:p>
    <w:bookmarkEnd w:id="9"/>
    <w:bookmarkEnd w:id="10"/>
    <w:bookmarkStart w:id="12"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1"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1"/>
    <w:bookmarkEnd w:id="12"/>
    <w:bookmarkStart w:id="16" w:name="the-endpoints"/>
    <w:p>
      <w:pPr>
        <w:pStyle w:val="Heading2"/>
      </w:pPr>
      <w:r>
        <w:t xml:space="preserve">2. The endpoints</w:t>
      </w:r>
    </w:p>
    <w:bookmarkStart w:id="13"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3"/>
    <w:bookmarkStart w:id="14"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4"/>
    <w:bookmarkStart w:id="15"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5"/>
    <w:bookmarkEnd w:id="16"/>
    <w:bookmarkStart w:id="31" w:name="algorithms-and-definitions"/>
    <w:p>
      <w:pPr>
        <w:pStyle w:val="Heading2"/>
      </w:pPr>
      <w:r>
        <w:t xml:space="preserve">3. Algorithms and definitions</w:t>
      </w:r>
    </w:p>
    <w:bookmarkStart w:id="17"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7"/>
    <w:bookmarkStart w:id="24"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9" name="Picture"/>
            <a:graphic>
              <a:graphicData uri="http://schemas.openxmlformats.org/drawingml/2006/picture">
                <pic:pic>
                  <pic:nvPicPr>
                    <pic:cNvPr descr="_report_figures/flowchart_1.png" id="20" name="Picture"/>
                    <pic:cNvPicPr>
                      <a:picLocks noChangeArrowheads="1" noChangeAspect="1"/>
                    </pic:cNvPicPr>
                  </pic:nvPicPr>
                  <pic:blipFill>
                    <a:blip r:embed="rId18"/>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2" name="Picture"/>
            <a:graphic>
              <a:graphicData uri="http://schemas.openxmlformats.org/drawingml/2006/picture">
                <pic:pic>
                  <pic:nvPicPr>
                    <pic:cNvPr descr="_report_figures/flowchart_2.png" id="23" name="Picture"/>
                    <pic:cNvPicPr>
                      <a:picLocks noChangeArrowheads="1" noChangeAspect="1"/>
                    </pic:cNvPicPr>
                  </pic:nvPicPr>
                  <pic:blipFill>
                    <a:blip r:embed="rId21"/>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4"/>
    <w:bookmarkStart w:id="25"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5"/>
    <w:bookmarkStart w:id="26"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6"/>
    <w:bookmarkStart w:id="27"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7"/>
    <w:bookmarkStart w:id="28"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8"/>
    <w:bookmarkStart w:id="29"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bookmarkEnd w:id="29"/>
    <w:bookmarkStart w:id="30" w:name="formal-specification"/>
    <w:p>
      <w:pPr>
        <w:pStyle w:val="Heading3"/>
      </w:pPr>
      <w:r>
        <w:t xml:space="preserve">3.7 Formal specification</w:t>
      </w:r>
    </w:p>
    <w:p>
      <w:pPr>
        <w:pStyle w:val="FirstParagraph"/>
      </w:pPr>
      <w:r>
        <w:t xml:space="preserve">Everything above is stated in prose, because the reasoning is what most readers want. This section</w:t>
      </w:r>
      <w:r>
        <w:t xml:space="preserve"> </w:t>
      </w:r>
      <w:r>
        <w:t xml:space="preserve">states the same system in notation, so that a reader who wants to check the arithmetic, reimplement a</w:t>
      </w:r>
      <w:r>
        <w:t xml:space="preserve"> </w:t>
      </w:r>
      <w:r>
        <w:t xml:space="preserve">step, or locate the assumption hidden inside a sentence can do so without reading the source. Nothing</w:t>
      </w:r>
      <w:r>
        <w:t xml:space="preserve"> </w:t>
      </w:r>
      <w:r>
        <w:t xml:space="preserve">here is new. It is the same pipeline written twice, and any disagreement between the two is a defect</w:t>
      </w:r>
      <w:r>
        <w:t xml:space="preserve"> </w:t>
      </w:r>
      <w:r>
        <w:t xml:space="preserve">in this document rather than a choice.</w:t>
      </w:r>
    </w:p>
    <w:p>
      <w:pPr>
        <w:pStyle w:val="BodyText"/>
      </w:pPr>
      <w:r>
        <w:rPr>
          <w:b/>
          <w:bCs/>
        </w:rPr>
        <w:t xml:space="preserve">Representation.</w:t>
      </w:r>
      <w:r>
        <w:t xml:space="preserve"> </w:t>
      </w:r>
      <w:r>
        <w:t xml:space="preserve">A molecule</w:t>
      </w:r>
      <w:r>
        <w:t xml:space="preserve"> </w:t>
      </w:r>
      <m:oMath>
        <m:r>
          <m:t>m</m:t>
        </m:r>
      </m:oMath>
      <w:r>
        <w:t xml:space="preserve"> </w:t>
      </w:r>
      <w:r>
        <w:t xml:space="preserve">is standardised to its neutral parent (largest organic fragment,</w:t>
      </w:r>
      <w:r>
        <w:t xml:space="preserve"> </w:t>
      </w:r>
      <w:r>
        <w:t xml:space="preserve">sanitised, counter-ion removed, protonation neutralised) and mapped by</w:t>
      </w:r>
    </w:p>
    <w:p>
      <w:pPr>
        <w:pStyle w:val="BodyText"/>
      </w:pPr>
      <m:oMathPara>
        <m:oMathParaPr>
          <m:jc m:val="center"/>
        </m:oMathParaPr>
        <m:oMath>
          <m:r>
            <m:t>φ</m:t>
          </m:r>
          <m:r>
            <m:rPr>
              <m:sty m:val="p"/>
            </m:rPr>
            <m:t>(</m:t>
          </m:r>
          <m:r>
            <m:t>m</m:t>
          </m:r>
          <m:r>
            <m:rPr>
              <m:sty m:val="p"/>
            </m:rPr>
            <m:t>)</m:t>
          </m:r>
          <m:r>
            <m:rPr>
              <m:sty m:val="p"/>
            </m:rPr>
            <m:t>=</m:t>
          </m:r>
          <m:d>
            <m:dPr>
              <m:begChr m:val="("/>
              <m:sepChr m:val=""/>
              <m:endChr m:val=")"/>
              <m:grow/>
            </m:dPr>
            <m:e>
              <m:limLow>
                <m:e>
                  <m:limLow>
                    <m:e>
                      <m:sSub>
                        <m:e>
                          <m:r>
                            <m:t>h</m:t>
                          </m:r>
                        </m:e>
                        <m:sub>
                          <m:r>
                            <m:t>1</m:t>
                          </m:r>
                        </m:sub>
                      </m:sSub>
                      <m:r>
                        <m:rPr>
                          <m:sty m:val="p"/>
                        </m:rPr>
                        <m:t>,</m:t>
                      </m:r>
                      <m:r>
                        <m:rPr>
                          <m:sty m:val="p"/>
                        </m:rPr>
                        <m:t>…</m:t>
                      </m:r>
                      <m:r>
                        <m:rPr>
                          <m:sty m:val="p"/>
                        </m:rPr>
                        <m:t>,</m:t>
                      </m:r>
                      <m:sSub>
                        <m:e>
                          <m:r>
                            <m:t>h</m:t>
                          </m:r>
                        </m:e>
                        <m:sub>
                          <m:r>
                            <m:t>1024</m:t>
                          </m:r>
                        </m:sub>
                      </m:sSub>
                    </m:e>
                    <m:lim>
                      <m:r>
                        <m:rPr>
                          <m:sty m:val="p"/>
                        </m:rPr>
                        <m:t>⏟</m:t>
                      </m:r>
                    </m:lim>
                  </m:limLow>
                </m:e>
                <m:lim>
                  <m:r>
                    <m:rPr>
                      <m:nor/>
                      <m:sty m:val="p"/>
                    </m:rPr>
                    <m:t>ECFP-4, folded</m:t>
                  </m:r>
                </m:lim>
              </m:limLow>
              <m:r>
                <m:rPr>
                  <m:sty m:val="p"/>
                </m:rPr>
                <m:t>,</m:t>
              </m:r>
              <m:r>
                <m:t> </m:t>
              </m:r>
              <m:limLow>
                <m:e>
                  <m:limLow>
                    <m:e>
                      <m:sSub>
                        <m:e>
                          <m:r>
                            <m:t>d</m:t>
                          </m:r>
                        </m:e>
                        <m:sub>
                          <m:r>
                            <m:t>1</m:t>
                          </m:r>
                        </m:sub>
                      </m:sSub>
                      <m:r>
                        <m:rPr>
                          <m:sty m:val="p"/>
                        </m:rPr>
                        <m:t>,</m:t>
                      </m:r>
                      <m:r>
                        <m:rPr>
                          <m:sty m:val="p"/>
                        </m:rPr>
                        <m:t>…</m:t>
                      </m:r>
                      <m:r>
                        <m:rPr>
                          <m:sty m:val="p"/>
                        </m:rPr>
                        <m:t>,</m:t>
                      </m:r>
                      <m:sSub>
                        <m:e>
                          <m:r>
                            <m:t>d</m:t>
                          </m:r>
                        </m:e>
                        <m:sub>
                          <m:r>
                            <m:t>12</m:t>
                          </m:r>
                        </m:sub>
                      </m:sSub>
                    </m:e>
                    <m:lim>
                      <m:r>
                        <m:rPr>
                          <m:sty m:val="p"/>
                        </m:rPr>
                        <m:t>⏟</m:t>
                      </m:r>
                    </m:lim>
                  </m:limLow>
                </m:e>
                <m:lim>
                  <m:r>
                    <m:rPr>
                      <m:nor/>
                      <m:sty m:val="p"/>
                    </m:rPr>
                    <m:t>descriptors</m:t>
                  </m:r>
                </m:lim>
              </m:limLow>
            </m:e>
          </m:d>
          <m:r>
            <m:rPr>
              <m:sty m:val="p"/>
            </m:rPr>
            <m:t>∈</m:t>
          </m:r>
          <m:r>
            <m:rPr>
              <m:sty m:val="p"/>
            </m:rPr>
            <m:t>{</m:t>
          </m:r>
          <m:r>
            <m:t>0</m:t>
          </m:r>
          <m:r>
            <m:rPr>
              <m:sty m:val="p"/>
            </m:rPr>
            <m:t>,</m:t>
          </m:r>
          <m:r>
            <m:t>1</m:t>
          </m:r>
          <m:sSup>
            <m:e>
              <m:r>
                <m:rPr>
                  <m:sty m:val="p"/>
                </m:rPr>
                <m:t>}</m:t>
              </m:r>
            </m:e>
            <m:sup>
              <m:r>
                <m:t>1024</m:t>
              </m:r>
            </m:sup>
          </m:sSup>
          <m:r>
            <m:rPr>
              <m:sty m:val="p"/>
            </m:rPr>
            <m:t>×</m:t>
          </m:r>
          <m:sSup>
            <m:e>
              <m:r>
                <m:rPr>
                  <m:scr m:val="double-struck"/>
                  <m:sty m:val="p"/>
                </m:rPr>
                <m:t>R</m:t>
              </m:r>
            </m:e>
            <m:sup>
              <m:r>
                <m:t>12</m:t>
              </m:r>
            </m:sup>
          </m:sSup>
          <m:r>
            <m:rPr>
              <m:sty m:val="p"/>
            </m:rPr>
            <m:t>⊂</m:t>
          </m:r>
          <m:sSup>
            <m:e>
              <m:r>
                <m:rPr>
                  <m:scr m:val="double-struck"/>
                  <m:sty m:val="p"/>
                </m:rPr>
                <m:t>R</m:t>
              </m:r>
            </m:e>
            <m:sup>
              <m:r>
                <m:t>1036</m:t>
              </m:r>
            </m:sup>
          </m:sSup>
        </m:oMath>
      </m:oMathPara>
    </w:p>
    <w:p>
      <w:pPr>
        <w:pStyle w:val="FirstParagraph"/>
      </w:pPr>
      <w:r>
        <w:t xml:space="preserve">where</w:t>
      </w:r>
      <w:r>
        <w:t xml:space="preserve"> </w:t>
      </w:r>
      <m:oMath>
        <m:sSub>
          <m:e>
            <m:r>
              <m:t>h</m:t>
            </m:r>
          </m:e>
          <m:sub>
            <m:r>
              <m:t>j</m:t>
            </m:r>
          </m:sub>
        </m:sSub>
        <m:r>
          <m:rPr>
            <m:sty m:val="p"/>
          </m:rPr>
          <m:t>=</m:t>
        </m:r>
        <m:r>
          <m:t>1</m:t>
        </m:r>
      </m:oMath>
      <w:r>
        <w:t xml:space="preserve"> </w:t>
      </w:r>
      <w:r>
        <w:t xml:space="preserve">exactly when some atom environment of radius</w:t>
      </w:r>
      <w:r>
        <w:t xml:space="preserve"> </w:t>
      </w:r>
      <m:oMath>
        <m:r>
          <m:rPr>
            <m:sty m:val="p"/>
          </m:rPr>
          <m:t>≤</m:t>
        </m:r>
        <m:r>
          <m:t>2</m:t>
        </m:r>
      </m:oMath>
      <w:r>
        <w:t xml:space="preserve"> </w:t>
      </w:r>
      <w:r>
        <w:t xml:space="preserve">has a hash congruent to</w:t>
      </w:r>
      <w:r>
        <w:t xml:space="preserve"> </w:t>
      </w:r>
      <m:oMath>
        <m:r>
          <m:t>j</m:t>
        </m:r>
      </m:oMath>
      <w:r>
        <w:t xml:space="preserve"> </w:t>
      </w:r>
      <w:r>
        <w:t xml:space="preserve">modulo</w:t>
      </w:r>
      <w:r>
        <w:t xml:space="preserve"> </w:t>
      </w:r>
      <m:oMath>
        <m:r>
          <m:t>1024</m:t>
        </m:r>
      </m:oMath>
      <w:r>
        <w:t xml:space="preserve">. Folding is not injective:</w:t>
      </w:r>
      <w:r>
        <w:t xml:space="preserve"> </w:t>
      </w:r>
      <m:oMath>
        <m:sSub>
          <m:e>
            <m:r>
              <m:t>h</m:t>
            </m:r>
          </m:e>
          <m:sub>
            <m:r>
              <m:t>j</m:t>
            </m:r>
          </m:sub>
        </m:sSub>
        <m:r>
          <m:rPr>
            <m:sty m:val="p"/>
          </m:rPr>
          <m:t>=</m:t>
        </m:r>
        <m:r>
          <m:t>1</m:t>
        </m:r>
      </m:oMath>
      <w:r>
        <w:t xml:space="preserve"> </w:t>
      </w:r>
      <w:r>
        <w:t xml:space="preserve">says</w:t>
      </w:r>
      <w:r>
        <w:t xml:space="preserve"> </w:t>
      </w:r>
      <w:r>
        <w:rPr>
          <w:i/>
          <w:iCs/>
        </w:rPr>
        <w:t xml:space="preserve">some</w:t>
      </w:r>
      <w:r>
        <w:t xml:space="preserve"> </w:t>
      </w:r>
      <w:r>
        <w:t xml:space="preserve">environment hashing to</w:t>
      </w:r>
      <w:r>
        <w:t xml:space="preserve"> </w:t>
      </w:r>
      <m:oMath>
        <m:r>
          <m:t>j</m:t>
        </m:r>
      </m:oMath>
      <w:r>
        <w:t xml:space="preserve"> </w:t>
      </w:r>
      <w:r>
        <w:t xml:space="preserve">is present,</w:t>
      </w:r>
      <w:r>
        <w:t xml:space="preserve"> </w:t>
      </w:r>
      <w:r>
        <w:t xml:space="preserve">not which one. Chirality is excluded from the hash, so enantiomers have identical</w:t>
      </w:r>
      <w:r>
        <w:t xml:space="preserve"> </w:t>
      </w:r>
      <m:oMath>
        <m:r>
          <m:t>φ</m:t>
        </m:r>
      </m:oMath>
      <w:r>
        <w:t xml:space="preserve">; section</w:t>
      </w:r>
      <w:r>
        <w:t xml:space="preserve"> </w:t>
      </w:r>
      <w:r>
        <w:t xml:space="preserve">8.2.2 bounds what that costs.</w:t>
      </w:r>
    </w:p>
    <w:p>
      <w:pPr>
        <w:pStyle w:val="BodyText"/>
      </w:pPr>
      <w:r>
        <w:rPr>
          <w:b/>
          <w:bCs/>
        </w:rPr>
        <w:t xml:space="preserve">Data.</w:t>
      </w:r>
      <w:r>
        <w:t xml:space="preserve"> </w:t>
      </w:r>
      <w:r>
        <w:t xml:space="preserve">For endpoint</w:t>
      </w:r>
      <w:r>
        <w:t xml:space="preserve"> </w:t>
      </w:r>
      <m:oMath>
        <m:r>
          <m:t>t</m:t>
        </m:r>
      </m:oMath>
      <w:r>
        <w:t xml:space="preserve">,</w:t>
      </w:r>
      <w:r>
        <w:t xml:space="preserve"> </w:t>
      </w:r>
      <m:oMath>
        <m:sSub>
          <m:e>
            <m:r>
              <m:t>D</m:t>
            </m:r>
          </m:e>
          <m:sub>
            <m:r>
              <m:t>t</m:t>
            </m:r>
          </m:sub>
        </m:sSub>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sSub>
              <m:e>
                <m:r>
                  <m:t>n</m:t>
                </m:r>
              </m:e>
              <m:sub>
                <m:r>
                  <m:t>t</m:t>
                </m:r>
              </m:sub>
            </m:sSub>
          </m:sup>
        </m:sSubSup>
      </m:oMath>
      <w:r>
        <w:t xml:space="preserve"> </w:t>
      </w:r>
      <w:r>
        <w:t xml:space="preserve">with</w:t>
      </w:r>
      <w:r>
        <w:t xml:space="preserve"> </w:t>
      </w:r>
      <m:oMath>
        <m:sSub>
          <m:e>
            <m:r>
              <m:t>x</m:t>
            </m:r>
          </m:e>
          <m:sub>
            <m:r>
              <m:t>i</m:t>
            </m:r>
          </m:sub>
        </m:sSub>
        <m:r>
          <m:rPr>
            <m:sty m:val="p"/>
          </m:rPr>
          <m:t>=</m:t>
        </m:r>
        <m:r>
          <m:t>φ</m:t>
        </m:r>
        <m:r>
          <m:rPr>
            <m:sty m:val="p"/>
          </m:rPr>
          <m:t>(</m:t>
        </m:r>
        <m:sSub>
          <m:e>
            <m:r>
              <m:t>m</m:t>
            </m:r>
          </m:e>
          <m:sub>
            <m:r>
              <m:t>i</m:t>
            </m:r>
          </m:sub>
        </m:sSub>
        <m:r>
          <m:rPr>
            <m:sty m:val="p"/>
          </m:rPr>
          <m:t>)</m:t>
        </m:r>
      </m:oMath>
      <w:r>
        <w:t xml:space="preserve">, and</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for classification or</w:t>
      </w:r>
      <w:r>
        <w:t xml:space="preserve"> </w:t>
      </w:r>
      <m:oMath>
        <m:sSub>
          <m:e>
            <m:r>
              <m:t>y</m:t>
            </m:r>
          </m:e>
          <m:sub>
            <m:r>
              <m:t>i</m:t>
            </m:r>
          </m:sub>
        </m:sSub>
        <m:r>
          <m:rPr>
            <m:sty m:val="p"/>
          </m:rPr>
          <m:t>∈</m:t>
        </m:r>
        <m:r>
          <m:rPr>
            <m:scr m:val="double-struck"/>
            <m:sty m:val="p"/>
          </m:rPr>
          <m:t>R</m:t>
        </m:r>
      </m:oMath>
      <w:r>
        <w:t xml:space="preserve"> </w:t>
      </w:r>
      <w:r>
        <w:t xml:space="preserve">(pChEMBL) for regression. Rows identical</w:t>
      </w:r>
      <w:r>
        <w:t xml:space="preserve"> </w:t>
      </w:r>
      <w:r>
        <w:t xml:space="preserve">in</w:t>
      </w:r>
      <w:r>
        <w:t xml:space="preserve"> </w:t>
      </w:r>
      <m:oMath>
        <m:r>
          <m:t>φ</m:t>
        </m:r>
      </m:oMath>
      <w:r>
        <w:t xml:space="preserve"> </w:t>
      </w:r>
      <w:r>
        <w:t xml:space="preserve">are collapsed before any split, and a collapsed group whose labels disagree is dropped</w:t>
      </w:r>
      <w:r>
        <w:t xml:space="preserve"> </w:t>
      </w:r>
      <w:r>
        <w:t xml:space="preserve">rather than resolved by vote, because the featuriser cannot tell its members apart.</w:t>
      </w:r>
    </w:p>
    <w:p>
      <w:pPr>
        <w:pStyle w:val="BodyText"/>
      </w:pPr>
      <w:r>
        <w:rPr>
          <w:b/>
          <w:bCs/>
        </w:rPr>
        <w:t xml:space="preserve">Estimator.</w:t>
      </w:r>
      <w:r>
        <w:t xml:space="preserve"> </w:t>
      </w:r>
      <w:r>
        <w:t xml:space="preserve">A random forest of</w:t>
      </w:r>
      <w:r>
        <w:t xml:space="preserve"> </w:t>
      </w:r>
      <m:oMath>
        <m:r>
          <m:t>B</m:t>
        </m:r>
        <m:r>
          <m:rPr>
            <m:sty m:val="p"/>
          </m:rPr>
          <m:t>=</m:t>
        </m:r>
        <m:r>
          <m:t>300</m:t>
        </m:r>
      </m:oMath>
      <w:r>
        <w:t xml:space="preserve"> </w:t>
      </w:r>
      <w:r>
        <w:t xml:space="preserve">trees,</w:t>
      </w:r>
    </w:p>
    <w:p>
      <w:pPr>
        <w:pStyle w:val="BodyText"/>
      </w:pPr>
      <m:oMathPara>
        <m:oMathParaPr>
          <m:jc m:val="center"/>
        </m:oMathParaPr>
        <m:oMath>
          <m:sSub>
            <m:e>
              <m:acc>
                <m:accPr>
                  <m:chr m:val="̂"/>
                </m:accPr>
                <m:e>
                  <m:r>
                    <m:t>q</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p</m:t>
                      </m:r>
                    </m:e>
                  </m:acc>
                </m:e>
                <m:sub>
                  <m:r>
                    <m:t>b</m:t>
                  </m:r>
                </m:sub>
              </m:sSub>
            </m:e>
          </m:nary>
          <m:r>
            <m:rPr>
              <m:sty m:val="p"/>
            </m:rPr>
            <m:t>(</m:t>
          </m:r>
          <m:r>
            <m:t>x</m:t>
          </m:r>
          <m:r>
            <m:rPr>
              <m:sty m:val="p"/>
            </m:rPr>
            <m:t>)</m:t>
          </m:r>
          <m:r>
            <m:rPr>
              <m:sty m:val="p"/>
            </m:rPr>
            <m:t>,</m:t>
          </m:r>
          <m:r>
            <m:t>  </m:t>
          </m:r>
          <m:sSub>
            <m:e>
              <m:acc>
                <m:accPr>
                  <m:chr m:val="̂"/>
                </m:accPr>
                <m:e>
                  <m:r>
                    <m:t>f</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T</m:t>
                  </m:r>
                </m:e>
                <m:sub>
                  <m:r>
                    <m:t>b</m:t>
                  </m:r>
                </m:sub>
              </m:sSub>
            </m:e>
          </m:nary>
          <m:r>
            <m:rPr>
              <m:sty m:val="p"/>
            </m:rPr>
            <m:t>(</m:t>
          </m:r>
          <m:r>
            <m:t>x</m:t>
          </m:r>
          <m:r>
            <m:rPr>
              <m:sty m:val="p"/>
            </m:rPr>
            <m:t>)</m:t>
          </m:r>
        </m:oMath>
      </m:oMathPara>
    </w:p>
    <w:p>
      <w:pPr>
        <w:pStyle w:val="FirstParagraph"/>
      </w:pPr>
      <w:r>
        <w:t xml:space="preserve">for classification and regression respectively, with</w:t>
      </w:r>
      <w:r>
        <w:t xml:space="preserve"> </w:t>
      </w:r>
      <m:oMath>
        <m:sSub>
          <m:e>
            <m:acc>
              <m:accPr>
                <m:chr m:val="̂"/>
              </m:accPr>
              <m:e>
                <m:r>
                  <m:t>p</m:t>
                </m:r>
              </m:e>
            </m:acc>
          </m:e>
          <m:sub>
            <m:r>
              <m:t>b</m:t>
            </m:r>
          </m:sub>
        </m:sSub>
      </m:oMath>
      <w:r>
        <w:t xml:space="preserve"> </w:t>
      </w:r>
      <w:r>
        <w:t xml:space="preserve">the class-1 leaf frequency of tree</w:t>
      </w:r>
      <w:r>
        <w:t xml:space="preserve"> </w:t>
      </w:r>
      <m:oMath>
        <m:r>
          <m:t>b</m:t>
        </m:r>
      </m:oMath>
      <w:r>
        <w:t xml:space="preserve">. Trees are grown on bootstrap resamples,</w:t>
      </w:r>
      <w:r>
        <w:t xml:space="preserve"> </w:t>
      </w:r>
      <m:oMath>
        <m:r>
          <m:rPr>
            <m:sty m:val="p"/>
          </m:rPr>
          <m:t>⌊</m:t>
        </m:r>
        <m:rad>
          <m:radPr>
            <m:degHide m:val="on"/>
          </m:radPr>
          <m:deg/>
          <m:e>
            <m:r>
              <m:t>1036</m:t>
            </m:r>
          </m:e>
        </m:rad>
        <m:r>
          <m:rPr>
            <m:sty m:val="p"/>
          </m:rPr>
          <m:t>⌋</m:t>
        </m:r>
      </m:oMath>
      <w:r>
        <w:t xml:space="preserve"> </w:t>
      </w:r>
      <w:r>
        <w:t xml:space="preserve">features considered per</w:t>
      </w:r>
      <w:r>
        <w:t xml:space="preserve"> </w:t>
      </w:r>
      <w:r>
        <w:t xml:space="preserve">split, to a minimum leaf size of 2 for the core endpoints and 4 for the binder panel. Binder models</w:t>
      </w:r>
      <w:r>
        <w:t xml:space="preserve"> </w:t>
      </w:r>
      <w:r>
        <w:t xml:space="preserve">weight class</w:t>
      </w:r>
      <w:r>
        <w:t xml:space="preserve"> </w:t>
      </w:r>
      <m:oMath>
        <m:r>
          <m:t>c</m:t>
        </m:r>
      </m:oMath>
      <w:r>
        <w:t xml:space="preserve"> </w:t>
      </w:r>
      <w:r>
        <w:t xml:space="preserve">by</w:t>
      </w:r>
      <w:r>
        <w:t xml:space="preserve"> </w:t>
      </w:r>
      <m:oMath>
        <m:r>
          <m:t>n</m:t>
        </m:r>
        <m:r>
          <m:rPr>
            <m:sty m:val="p"/>
          </m:rPr>
          <m:t>/</m:t>
        </m:r>
        <m:r>
          <m:rPr>
            <m:sty m:val="p"/>
          </m:rPr>
          <m:t>(</m:t>
        </m:r>
        <m:r>
          <m:t>2</m:t>
        </m:r>
        <m:sSub>
          <m:e>
            <m:r>
              <m:t>n</m:t>
            </m:r>
          </m:e>
          <m:sub>
            <m:r>
              <m:t>c</m:t>
            </m:r>
          </m:sub>
        </m:sSub>
        <m:r>
          <m:rPr>
            <m:sty m:val="p"/>
          </m:rPr>
          <m:t>)</m:t>
        </m:r>
      </m:oMath>
      <w:r>
        <w:t xml:space="preserve">, so an endpoint that is 90 per cent active cannot be fitted by</w:t>
      </w:r>
      <w:r>
        <w:t xml:space="preserve"> </w:t>
      </w:r>
      <w:r>
        <w:t xml:space="preserve">answering</w:t>
      </w:r>
      <w:r>
        <w:t xml:space="preserve"> </w:t>
      </w:r>
      <w:r>
        <w:t xml:space="preserve">“active”</w:t>
      </w:r>
      <w:r>
        <w:t xml:space="preserve">.</w:t>
      </w:r>
    </w:p>
    <w:p>
      <w:pPr>
        <w:pStyle w:val="BodyText"/>
      </w:pPr>
      <w:r>
        <w:rPr>
          <w:b/>
          <w:bCs/>
        </w:rPr>
        <w:t xml:space="preserve">Splitting.</w:t>
      </w:r>
      <w:r>
        <w:t xml:space="preserve"> </w:t>
      </w:r>
      <w:r>
        <w:t xml:space="preserve">Let</w:t>
      </w:r>
      <w:r>
        <w:t xml:space="preserve"> </w:t>
      </w:r>
      <m:oMath>
        <m:r>
          <m:t>σ</m:t>
        </m:r>
        <m:r>
          <m:rPr>
            <m:sty m:val="p"/>
          </m:rPr>
          <m:t>(</m:t>
        </m:r>
        <m:r>
          <m:t>m</m:t>
        </m:r>
        <m:r>
          <m:rPr>
            <m:sty m:val="p"/>
          </m:rPr>
          <m:t>)</m:t>
        </m:r>
      </m:oMath>
      <w:r>
        <w:t xml:space="preserve"> </w:t>
      </w:r>
      <w:r>
        <w:t xml:space="preserve">denote the Bemis-Murcko scaffold of</w:t>
      </w:r>
      <w:r>
        <w:t xml:space="preserve"> </w:t>
      </w:r>
      <m:oMath>
        <m:r>
          <m:t>m</m:t>
        </m:r>
      </m:oMath>
      <w:r>
        <w:t xml:space="preserve">: ring systems and the linkers</w:t>
      </w:r>
      <w:r>
        <w:t xml:space="preserve"> </w:t>
      </w:r>
      <w:r>
        <w:t xml:space="preserve">between them, side chains stripped, atom and bond types retained. Cross-validation is</w:t>
      </w:r>
      <w:r>
        <w:t xml:space="preserve"> </w:t>
      </w:r>
      <m:oMath>
        <m:r>
          <m:rPr>
            <m:sty m:val="p"/>
          </m:rPr>
          <m:t>G</m:t>
        </m:r>
        <m:r>
          <m:rPr>
            <m:sty m:val="p"/>
          </m:rPr>
          <m:t>r</m:t>
        </m:r>
        <m:r>
          <m:rPr>
            <m:sty m:val="p"/>
          </m:rPr>
          <m:t>o</m:t>
        </m:r>
        <m:r>
          <m:rPr>
            <m:sty m:val="p"/>
          </m:rPr>
          <m:t>u</m:t>
        </m:r>
        <m:r>
          <m:rPr>
            <m:sty m:val="p"/>
          </m:rPr>
          <m:t>p</m:t>
        </m:r>
        <m:r>
          <m:rPr>
            <m:sty m:val="p"/>
          </m:rPr>
          <m:t>K</m:t>
        </m:r>
        <m:r>
          <m:rPr>
            <m:sty m:val="p"/>
          </m:rPr>
          <m:t>F</m:t>
        </m:r>
        <m:r>
          <m:rPr>
            <m:sty m:val="p"/>
          </m:rPr>
          <m:t>o</m:t>
        </m:r>
        <m:r>
          <m:rPr>
            <m:sty m:val="p"/>
          </m:rPr>
          <m:t>l</m:t>
        </m:r>
        <m:r>
          <m:rPr>
            <m:sty m:val="p"/>
          </m:rPr>
          <m:t>d</m:t>
        </m:r>
        <m:r>
          <m:rPr>
            <m:sty m:val="p"/>
          </m:rPr>
          <m:t>(</m:t>
        </m:r>
        <m:r>
          <m:t>10</m:t>
        </m:r>
        <m:r>
          <m:rPr>
            <m:sty m:val="p"/>
          </m:rPr>
          <m:t>)</m:t>
        </m:r>
      </m:oMath>
      <w:r>
        <w:t xml:space="preserve"> </w:t>
      </w:r>
      <w:r>
        <w:t xml:space="preserve">with groups</w:t>
      </w:r>
      <w:r>
        <w:t xml:space="preserve"> </w:t>
      </w:r>
      <m:oMath>
        <m:r>
          <m:t>σ</m:t>
        </m:r>
        <m:r>
          <m:rPr>
            <m:sty m:val="p"/>
          </m:rPr>
          <m:t>(</m:t>
        </m:r>
        <m:sSub>
          <m:e>
            <m:r>
              <m:t>m</m:t>
            </m:r>
          </m:e>
          <m:sub>
            <m:r>
              <m:t>i</m:t>
            </m:r>
          </m:sub>
        </m:sSub>
        <m:r>
          <m:rPr>
            <m:sty m:val="p"/>
          </m:rPr>
          <m:t>)</m:t>
        </m:r>
      </m:oMath>
      <w:r>
        <w:t xml:space="preserve">, so that</w:t>
      </w:r>
    </w:p>
    <w:p>
      <w:pPr>
        <w:pStyle w:val="BodyText"/>
      </w:pPr>
      <m:oMathPara>
        <m:oMathParaPr>
          <m:jc m:val="center"/>
        </m:oMathParaPr>
        <m:oMath>
          <m:r>
            <m:t>σ</m:t>
          </m:r>
          <m:r>
            <m:rPr>
              <m:sty m:val="p"/>
            </m:rPr>
            <m:t>(</m:t>
          </m:r>
          <m:sSub>
            <m:e>
              <m:r>
                <m:t>m</m:t>
              </m:r>
            </m:e>
            <m:sub>
              <m:r>
                <m:t>i</m:t>
              </m:r>
            </m:sub>
          </m:sSub>
          <m:r>
            <m:rPr>
              <m:sty m:val="p"/>
            </m:rPr>
            <m:t>)</m:t>
          </m:r>
          <m:r>
            <m:rPr>
              <m:sty m:val="p"/>
            </m:rPr>
            <m:t>=</m:t>
          </m:r>
          <m:r>
            <m:t>σ</m:t>
          </m:r>
          <m:r>
            <m:rPr>
              <m:sty m:val="p"/>
            </m:rPr>
            <m:t>(</m:t>
          </m:r>
          <m:sSub>
            <m:e>
              <m:r>
                <m:t>m</m:t>
              </m:r>
            </m:e>
            <m:sub>
              <m:r>
                <m:t>j</m:t>
              </m:r>
            </m:sub>
          </m:sSub>
          <m:r>
            <m:rPr>
              <m:sty m:val="p"/>
            </m:rPr>
            <m:t>)</m:t>
          </m:r>
          <m:r>
            <m:rPr>
              <m:sty m:val="p"/>
            </m:rPr>
            <m:t>⟹</m:t>
          </m:r>
          <m:r>
            <m:t>i</m:t>
          </m:r>
          <m:r>
            <m:rPr>
              <m:nor/>
              <m:sty m:val="p"/>
            </m:rPr>
            <m:t> and </m:t>
          </m:r>
          <m:r>
            <m:t>j</m:t>
          </m:r>
          <m:r>
            <m:rPr>
              <m:nor/>
              <m:sty m:val="p"/>
            </m:rPr>
            <m:t> share a fold.</m:t>
          </m:r>
        </m:oMath>
      </m:oMathPara>
    </w:p>
    <w:p>
      <w:pPr>
        <w:pStyle w:val="FirstParagraph"/>
      </w:pPr>
      <w:r>
        <w:t xml:space="preserve">The random split is the same estimator under</w:t>
      </w:r>
      <w:r>
        <w:t xml:space="preserve"> </w:t>
      </w:r>
      <m:oMath>
        <m:r>
          <m:rPr>
            <m:sty m:val="p"/>
          </m:rPr>
          <m:t>S</m:t>
        </m:r>
        <m:r>
          <m:rPr>
            <m:sty m:val="p"/>
          </m:rPr>
          <m:t>t</m:t>
        </m:r>
        <m:r>
          <m:rPr>
            <m:sty m:val="p"/>
          </m:rPr>
          <m:t>r</m:t>
        </m:r>
        <m:r>
          <m:rPr>
            <m:sty m:val="p"/>
          </m:rPr>
          <m:t>a</m:t>
        </m:r>
        <m:r>
          <m:rPr>
            <m:sty m:val="p"/>
          </m:rPr>
          <m:t>t</m:t>
        </m:r>
        <m:r>
          <m:rPr>
            <m:sty m:val="p"/>
          </m:rPr>
          <m:t>i</m:t>
        </m:r>
        <m:r>
          <m:rPr>
            <m:sty m:val="p"/>
          </m:rPr>
          <m:t>f</m:t>
        </m:r>
        <m:r>
          <m:rPr>
            <m:sty m:val="p"/>
          </m:rPr>
          <m:t>i</m:t>
        </m:r>
        <m:r>
          <m:rPr>
            <m:sty m:val="p"/>
          </m:rPr>
          <m:t>e</m:t>
        </m:r>
        <m:r>
          <m:rPr>
            <m:sty m:val="p"/>
          </m:rPr>
          <m:t>d</m:t>
        </m:r>
        <m:r>
          <m:rPr>
            <m:sty m:val="p"/>
          </m:rPr>
          <m:t>K</m:t>
        </m:r>
        <m:r>
          <m:rPr>
            <m:sty m:val="p"/>
          </m:rPr>
          <m:t>F</m:t>
        </m:r>
        <m:r>
          <m:rPr>
            <m:sty m:val="p"/>
          </m:rPr>
          <m:t>o</m:t>
        </m:r>
        <m:r>
          <m:rPr>
            <m:sty m:val="p"/>
          </m:rPr>
          <m:t>l</m:t>
        </m:r>
        <m:r>
          <m:rPr>
            <m:sty m:val="p"/>
          </m:rPr>
          <m:t>d</m:t>
        </m:r>
        <m:r>
          <m:rPr>
            <m:sty m:val="p"/>
          </m:rPr>
          <m:t>(</m:t>
        </m:r>
        <m:r>
          <m:t>10</m:t>
        </m:r>
        <m:r>
          <m:rPr>
            <m:sty m:val="p"/>
          </m:rPr>
          <m:t>)</m:t>
        </m:r>
      </m:oMath>
      <w:r>
        <w:t xml:space="preserve">, reported only as the</w:t>
      </w:r>
      <w:r>
        <w:t xml:space="preserve"> </w:t>
      </w:r>
      <w:r>
        <w:t xml:space="preserve">interpolation baseline. Acyclic molecules have no scaffold and are placed in one shared group, so a</w:t>
      </w:r>
      <w:r>
        <w:t xml:space="preserve"> </w:t>
      </w:r>
      <w:r>
        <w:t xml:space="preserve">fold boundary never runs through them.</w:t>
      </w:r>
    </w:p>
    <w:p>
      <w:pPr>
        <w:pStyle w:val="BodyText"/>
      </w:pPr>
      <w:r>
        <w:rPr>
          <w:b/>
          <w:bCs/>
        </w:rPr>
        <w:t xml:space="preserve">Calibration.</w:t>
      </w:r>
      <w:r>
        <w:t xml:space="preserve"> </w:t>
      </w:r>
      <w:r>
        <w:t xml:space="preserve">Core classifiers are calibrated by isotonic regression on out-of-fold predictions,</w:t>
      </w:r>
    </w:p>
    <w:p>
      <w:pPr>
        <w:pStyle w:val="BodyText"/>
      </w:pPr>
      <m:oMathPara>
        <m:oMathParaPr>
          <m:jc m:val="center"/>
        </m:oMathParaPr>
        <m:oMath>
          <m:sSub>
            <m:e>
              <m:acc>
                <m:accPr>
                  <m:chr m:val="̂"/>
                </m:accPr>
                <m:e>
                  <m:r>
                    <m:t>g</m:t>
                  </m:r>
                </m:e>
              </m:acc>
            </m:e>
            <m:sub>
              <m:r>
                <m:t>t</m:t>
              </m:r>
            </m:sub>
          </m:sSub>
          <m:r>
            <m:rPr>
              <m:sty m:val="p"/>
            </m:rPr>
            <m:t>=</m:t>
          </m:r>
          <m:limLow>
            <m:e>
              <m:r>
                <m:rPr>
                  <m:sty m:val="p"/>
                </m:rPr>
                <m:t>arg min</m:t>
              </m:r>
            </m:e>
            <m:lim>
              <m:r>
                <m:t>g</m:t>
              </m:r>
              <m:r>
                <m:t> </m:t>
              </m:r>
              <m:r>
                <m:rPr>
                  <m:nor/>
                  <m:sty m:val="p"/>
                </m:rPr>
                <m:t>non-decreasing</m:t>
              </m:r>
            </m:lim>
          </m:limLow>
          <m:nary>
            <m:naryPr>
              <m:chr m:val="∑"/>
              <m:limLoc m:val="undOvr"/>
              <m:subHide m:val="off"/>
              <m:supHide m:val="on"/>
            </m:naryPr>
            <m:sub>
              <m:r>
                <m:t>i</m:t>
              </m:r>
            </m:sub>
            <m:sup>
              <m:r>
                <m:t>​</m:t>
              </m:r>
            </m:sup>
            <m:e>
              <m:r>
                <m:rPr>
                  <m:sty m:val="p"/>
                </m:rPr>
                <m:t>(</m:t>
              </m:r>
            </m:e>
          </m:nary>
          <m:r>
            <m:t>g</m:t>
          </m:r>
          <m:r>
            <m:rPr>
              <m:sty m:val="p"/>
            </m:rPr>
            <m:t>(</m:t>
          </m:r>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r>
            <m:rPr>
              <m:sty m:val="p"/>
            </m:rPr>
            <m:t>(</m:t>
          </m:r>
          <m:sSub>
            <m:e>
              <m:r>
                <m:t>x</m:t>
              </m:r>
            </m:e>
            <m:sub>
              <m:r>
                <m:t>i</m:t>
              </m:r>
            </m:sub>
          </m:sSub>
          <m:r>
            <m:rPr>
              <m:sty m:val="p"/>
            </m:rPr>
            <m:t>)</m:t>
          </m:r>
          <m:r>
            <m:rPr>
              <m:sty m:val="p"/>
            </m:rPr>
            <m:t>)</m:t>
          </m:r>
          <m:r>
            <m:rPr>
              <m:sty m:val="p"/>
            </m:rPr>
            <m:t>−</m:t>
          </m:r>
          <m:sSub>
            <m:e>
              <m:r>
                <m:t>y</m:t>
              </m:r>
            </m:e>
            <m:sub>
              <m:r>
                <m:t>i</m:t>
              </m:r>
            </m:sub>
          </m:sSub>
          <m:sSup>
            <m:e>
              <m:r>
                <m:rPr>
                  <m:sty m:val="p"/>
                </m:rPr>
                <m:t>)</m:t>
              </m:r>
            </m:e>
            <m:sup>
              <m:r>
                <m:t>2</m:t>
              </m:r>
            </m:sup>
          </m:sSup>
        </m:oMath>
      </m:oMathPara>
    </w:p>
    <w:p>
      <w:pPr>
        <w:pStyle w:val="FirstParagraph"/>
      </w:pPr>
      <w:r>
        <w:t xml:space="preserve">solved by pool-adjacent-violators, where</w:t>
      </w:r>
      <w:r>
        <w:t xml:space="preserve"> </w:t>
      </w:r>
      <m:oMath>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oMath>
      <w:r>
        <w:t xml:space="preserve"> </w:t>
      </w:r>
      <w:r>
        <w:t xml:space="preserve">is fitted without the fold containing</w:t>
      </w:r>
      <w:r>
        <w:t xml:space="preserve"> </w:t>
      </w:r>
      <m:oMath>
        <m:r>
          <m:t>i</m:t>
        </m:r>
      </m:oMath>
      <w:r>
        <w:t xml:space="preserve">. Because</w:t>
      </w:r>
      <w:r>
        <w:t xml:space="preserve"> </w:t>
      </w:r>
      <m:oMath>
        <m:sSub>
          <m:e>
            <m:acc>
              <m:accPr>
                <m:chr m:val="̂"/>
              </m:accPr>
              <m:e>
                <m:r>
                  <m:t>g</m:t>
                </m:r>
              </m:e>
            </m:acc>
          </m:e>
          <m:sub>
            <m:r>
              <m:t>t</m:t>
            </m:r>
          </m:sub>
        </m:sSub>
      </m:oMath>
      <w:r>
        <w:t xml:space="preserve"> </w:t>
      </w:r>
      <w:r>
        <w:t xml:space="preserve">is monotone it cannot reorder compounds, so AUROC is invariant under</w:t>
      </w:r>
      <w:r>
        <w:t xml:space="preserve"> </w:t>
      </w:r>
      <w:r>
        <w:t xml:space="preserve">calibration and only the probability changes. Binder models instead use Platt scaling,</w:t>
      </w:r>
      <w:r>
        <w:t xml:space="preserve"> </w:t>
      </w:r>
      <m:oMath>
        <m:sSub>
          <m:e>
            <m:acc>
              <m:accPr>
                <m:chr m:val="̂"/>
              </m:accPr>
              <m:e>
                <m:r>
                  <m:t>g</m:t>
                </m:r>
              </m:e>
            </m:acc>
          </m:e>
          <m:sub>
            <m:r>
              <m:t>t</m:t>
            </m:r>
          </m:sub>
        </m:sSub>
        <m:r>
          <m:rPr>
            <m:sty m:val="p"/>
          </m:rPr>
          <m:t>(</m:t>
        </m:r>
        <m:r>
          <m:t>p</m:t>
        </m:r>
        <m:r>
          <m:rPr>
            <m:sty m:val="p"/>
          </m:rPr>
          <m:t>)</m:t>
        </m:r>
        <m:r>
          <m:rPr>
            <m:sty m:val="p"/>
          </m:rPr>
          <m:t>=</m:t>
        </m:r>
        <m:r>
          <m:rPr>
            <m:sty m:val="p"/>
          </m:rPr>
          <m:t>(</m:t>
        </m:r>
        <m:r>
          <m:t>1</m:t>
        </m:r>
        <m:r>
          <m:rPr>
            <m:sty m:val="p"/>
          </m:rPr>
          <m:t>+</m:t>
        </m:r>
        <m:sSup>
          <m:e>
            <m:r>
              <m:t>e</m:t>
            </m:r>
          </m:e>
          <m:sup>
            <m:r>
              <m:rPr>
                <m:sty m:val="p"/>
              </m:rPr>
              <m:t>−</m:t>
            </m:r>
            <m:r>
              <m:rPr>
                <m:sty m:val="p"/>
              </m:rPr>
              <m:t>(</m:t>
            </m:r>
            <m:r>
              <m:t>a</m:t>
            </m:r>
            <m:r>
              <m:t>p</m:t>
            </m:r>
            <m:r>
              <m:rPr>
                <m:sty m:val="p"/>
              </m:rPr>
              <m:t>+</m:t>
            </m:r>
            <m:r>
              <m:t>b</m:t>
            </m:r>
            <m:r>
              <m:rPr>
                <m:sty m:val="p"/>
              </m:rPr>
              <m:t>)</m:t>
            </m:r>
          </m:sup>
        </m:sSup>
        <m:sSup>
          <m:e>
            <m:r>
              <m:rPr>
                <m:sty m:val="p"/>
              </m:rPr>
              <m:t>)</m:t>
            </m:r>
          </m:e>
          <m:sup>
            <m:r>
              <m:rPr>
                <m:sty m:val="p"/>
              </m:rPr>
              <m:t>−</m:t>
            </m:r>
            <m:r>
              <m:t>1</m:t>
            </m:r>
          </m:sup>
        </m:sSup>
      </m:oMath>
      <w:r>
        <w:t xml:space="preserve">, fitted by maximum likelihood on a stratified fifth withheld</w:t>
      </w:r>
      <w:r>
        <w:t xml:space="preserve"> </w:t>
      </w:r>
      <w:r>
        <w:t xml:space="preserve">from the forest’s own fit, because their positive class is too small for an isotonic step that would</w:t>
      </w:r>
      <w:r>
        <w:t xml:space="preserve"> </w:t>
      </w:r>
      <w:r>
        <w:t xml:space="preserve">not overfit the calibrator.</w:t>
      </w:r>
    </w:p>
    <w:p>
      <w:pPr>
        <w:pStyle w:val="BodyText"/>
      </w:pPr>
      <w:r>
        <w:rPr>
          <w:b/>
          <w:bCs/>
        </w:rPr>
        <w:t xml:space="preserve">Conformal prediction.</w:t>
      </w:r>
      <w:r>
        <w:t xml:space="preserve"> </w:t>
      </w:r>
      <w:r>
        <w:t xml:space="preserve">Inductive, Mondrian (class-conditional), at significance</w:t>
      </w:r>
      <w:r>
        <w:t xml:space="preserve"> </w:t>
      </w:r>
      <m:oMath>
        <m:r>
          <m:t>ε</m:t>
        </m:r>
        <m:r>
          <m:rPr>
            <m:sty m:val="p"/>
          </m:rPr>
          <m:t>=</m:t>
        </m:r>
        <m:r>
          <m:t>0.10</m:t>
        </m:r>
      </m:oMath>
      <w:r>
        <w:t xml:space="preserve">. On a calibration set disjoint from training the nonconformity of a labelled</w:t>
      </w:r>
      <w:r>
        <w:t xml:space="preserve"> </w:t>
      </w:r>
      <w:r>
        <w:t xml:space="preserve">compound is</w:t>
      </w:r>
      <w:r>
        <w:t xml:space="preserve"> </w:t>
      </w:r>
      <m:oMath>
        <m:sSub>
          <m:e>
            <m:r>
              <m:t>α</m:t>
            </m:r>
          </m:e>
          <m:sub>
            <m:r>
              <m:t>i</m:t>
            </m:r>
          </m:sub>
        </m:sSub>
        <m:r>
          <m:rPr>
            <m:sty m:val="p"/>
          </m:rPr>
          <m:t>=</m:t>
        </m:r>
        <m:r>
          <m:t>1</m:t>
        </m:r>
        <m:r>
          <m:rPr>
            <m:sty m:val="p"/>
          </m:rPr>
          <m:t>−</m:t>
        </m:r>
        <m:sSub>
          <m:e>
            <m:acc>
              <m:accPr>
                <m:chr m:val="̂"/>
              </m:accPr>
              <m:e>
                <m:r>
                  <m:t>q</m:t>
                </m:r>
              </m:e>
            </m:acc>
          </m:e>
          <m:sub>
            <m:r>
              <m:t>t</m:t>
            </m:r>
          </m:sub>
        </m:sSub>
        <m:r>
          <m:rPr>
            <m:sty m:val="p"/>
          </m:rPr>
          <m:t>(</m:t>
        </m:r>
        <m:sSub>
          <m:e>
            <m:r>
              <m:t>y</m:t>
            </m:r>
          </m:e>
          <m:sub>
            <m:r>
              <m:t>i</m:t>
            </m:r>
          </m:sub>
        </m:sSub>
        <m:r>
          <m:rPr>
            <m:sty m:val="p"/>
          </m:rPr>
          <m:t>∣</m:t>
        </m:r>
        <m:sSub>
          <m:e>
            <m:r>
              <m:t>x</m:t>
            </m:r>
          </m:e>
          <m:sub>
            <m:r>
              <m:t>i</m:t>
            </m:r>
          </m:sub>
        </m:sSub>
        <m:r>
          <m:rPr>
            <m:sty m:val="p"/>
          </m:rPr>
          <m:t>)</m:t>
        </m:r>
      </m:oMath>
      <w:r>
        <w:t xml:space="preserve">. For class</w:t>
      </w:r>
      <w:r>
        <w:t xml:space="preserve"> </w:t>
      </w:r>
      <m:oMath>
        <m:r>
          <m:t>c</m:t>
        </m:r>
      </m:oMath>
      <w:r>
        <w:t xml:space="preserve"> </w:t>
      </w:r>
      <w:r>
        <w:t xml:space="preserve">with</w:t>
      </w:r>
      <w:r>
        <w:t xml:space="preserve"> </w:t>
      </w:r>
      <m:oMath>
        <m:sSub>
          <m:e>
            <m:r>
              <m:t>n</m:t>
            </m:r>
          </m:e>
          <m:sub>
            <m:r>
              <m:t>c</m:t>
            </m:r>
          </m:sub>
        </m:sSub>
      </m:oMath>
      <w:r>
        <w:t xml:space="preserve"> </w:t>
      </w:r>
      <w:r>
        <w:t xml:space="preserve">calibration points the</w:t>
      </w:r>
      <w:r>
        <w:t xml:space="preserve"> </w:t>
      </w:r>
      <w:r>
        <w:t xml:space="preserve">threshold</w:t>
      </w:r>
      <w:r>
        <w:t xml:space="preserve"> </w:t>
      </w:r>
      <m:oMath>
        <m:sSub>
          <m:e>
            <m:r>
              <m:t>τ</m:t>
            </m:r>
          </m:e>
          <m:sub>
            <m:r>
              <m:t>c</m:t>
            </m:r>
          </m:sub>
        </m:sSub>
      </m:oMath>
      <w:r>
        <w:t xml:space="preserve"> </w:t>
      </w:r>
      <w:r>
        <w:t xml:space="preserve">is the</w:t>
      </w:r>
      <w:r>
        <w:t xml:space="preserve"> </w:t>
      </w:r>
      <m:oMath>
        <m:r>
          <m:t>k</m:t>
        </m:r>
      </m:oMath>
      <w:r>
        <w:t xml:space="preserve">-th smallest such</w:t>
      </w:r>
      <w:r>
        <w:t xml:space="preserve"> </w:t>
      </w:r>
      <m:oMath>
        <m:r>
          <m:t>α</m:t>
        </m:r>
      </m:oMath>
      <w:r>
        <w:t xml:space="preserve"> </w:t>
      </w:r>
      <w:r>
        <w:t xml:space="preserve">within that class, where</w:t>
      </w:r>
    </w:p>
    <w:p>
      <w:pPr>
        <w:pStyle w:val="BodyText"/>
      </w:pPr>
      <m:oMathPara>
        <m:oMathParaPr>
          <m:jc m:val="center"/>
        </m:oMathParaPr>
        <m:oMath>
          <m:r>
            <m:t>k</m:t>
          </m:r>
          <m:r>
            <m:rPr>
              <m:sty m:val="p"/>
            </m:rPr>
            <m:t>=</m:t>
          </m:r>
          <m:d>
            <m:dPr>
              <m:begChr m:val="⌈"/>
              <m:sepChr m:val=""/>
              <m:endChr m:val="⌉"/>
              <m:grow/>
            </m:dPr>
            <m:e>
              <m:r>
                <m:rPr>
                  <m:sty m:val="p"/>
                </m:rPr>
                <m:t>(</m:t>
              </m:r>
              <m:sSub>
                <m:e>
                  <m:r>
                    <m:t>n</m:t>
                  </m:r>
                </m:e>
                <m:sub>
                  <m:r>
                    <m:t>c</m:t>
                  </m:r>
                </m:sub>
              </m:sSub>
              <m:r>
                <m:rPr>
                  <m:sty m:val="p"/>
                </m:rPr>
                <m:t>+</m:t>
              </m:r>
              <m:r>
                <m:t>1</m:t>
              </m:r>
              <m:r>
                <m:rPr>
                  <m:sty m:val="p"/>
                </m:rPr>
                <m:t>)</m:t>
              </m:r>
              <m:r>
                <m:rPr>
                  <m:sty m:val="p"/>
                </m:rPr>
                <m:t>(</m:t>
              </m:r>
              <m:r>
                <m:t>1</m:t>
              </m:r>
              <m:r>
                <m:rPr>
                  <m:sty m:val="p"/>
                </m:rPr>
                <m:t>−</m:t>
              </m:r>
              <m:r>
                <m:t>ε</m:t>
              </m:r>
              <m:r>
                <m:rPr>
                  <m:sty m:val="p"/>
                </m:rPr>
                <m:t>)</m:t>
              </m:r>
            </m:e>
          </m:d>
          <m:r>
            <m:rPr>
              <m:sty m:val="p"/>
            </m:rPr>
            <m:t>,</m:t>
          </m:r>
        </m:oMath>
      </m:oMathPara>
    </w:p>
    <w:p>
      <w:pPr>
        <w:pStyle w:val="FirstParagraph"/>
      </w:pPr>
      <w:r>
        <w:t xml:space="preserve">and the prediction set for a new</w:t>
      </w:r>
      <w:r>
        <w:t xml:space="preserve"> </w:t>
      </w:r>
      <m:oMath>
        <m:r>
          <m:t>x</m:t>
        </m:r>
      </m:oMath>
      <w:r>
        <w:t xml:space="preserve"> </w:t>
      </w:r>
      <w:r>
        <w:t xml:space="preserve">is</w:t>
      </w:r>
    </w:p>
    <w:p>
      <w:pPr>
        <w:pStyle w:val="BodyText"/>
      </w:pPr>
      <m:oMathPara>
        <m:oMathParaPr>
          <m:jc m:val="center"/>
        </m:oMathParaPr>
        <m:oMath>
          <m:sSub>
            <m:e>
              <m:r>
                <m:rPr>
                  <m:sty m:val="p"/>
                </m:rPr>
                <m:t>Γ</m:t>
              </m:r>
            </m:e>
            <m:sub>
              <m:r>
                <m:t>ε</m:t>
              </m:r>
            </m:sub>
          </m:sSub>
          <m:r>
            <m:rPr>
              <m:sty m:val="p"/>
            </m:rPr>
            <m:t>(</m:t>
          </m:r>
          <m:r>
            <m:t>x</m:t>
          </m:r>
          <m:r>
            <m:rPr>
              <m:sty m:val="p"/>
            </m:rPr>
            <m:t>)</m:t>
          </m:r>
          <m:r>
            <m:rPr>
              <m:sty m:val="p"/>
            </m:rPr>
            <m:t>=</m:t>
          </m:r>
          <m:r>
            <m:rPr>
              <m:sty m:val="p"/>
            </m:rPr>
            <m:t>{</m:t>
          </m:r>
          <m:r>
            <m:t> </m:t>
          </m:r>
          <m:r>
            <m:t>c</m:t>
          </m:r>
          <m:r>
            <m:t> </m:t>
          </m:r>
          <m:r>
            <m:rPr>
              <m:sty m:val="p"/>
            </m:rPr>
            <m:t>:</m:t>
          </m:r>
          <m:r>
            <m:t> </m:t>
          </m:r>
          <m:r>
            <m:t>1</m:t>
          </m:r>
          <m:r>
            <m:rPr>
              <m:sty m:val="p"/>
            </m:rPr>
            <m:t>−</m:t>
          </m:r>
          <m:sSub>
            <m:e>
              <m:acc>
                <m:accPr>
                  <m:chr m:val="̂"/>
                </m:accPr>
                <m:e>
                  <m:r>
                    <m:t>q</m:t>
                  </m:r>
                </m:e>
              </m:acc>
            </m:e>
            <m:sub>
              <m:r>
                <m:t>t</m:t>
              </m:r>
            </m:sub>
          </m:sSub>
          <m:r>
            <m:rPr>
              <m:sty m:val="p"/>
            </m:rPr>
            <m:t>(</m:t>
          </m:r>
          <m:r>
            <m:t>c</m:t>
          </m:r>
          <m:r>
            <m:rPr>
              <m:sty m:val="p"/>
            </m:rPr>
            <m:t>∣</m:t>
          </m:r>
          <m:r>
            <m:t>x</m:t>
          </m:r>
          <m:r>
            <m:rPr>
              <m:sty m:val="p"/>
            </m:rPr>
            <m:t>)</m:t>
          </m:r>
          <m:r>
            <m:rPr>
              <m:sty m:val="p"/>
            </m:rPr>
            <m:t>≤</m:t>
          </m:r>
          <m:sSub>
            <m:e>
              <m:r>
                <m:t>τ</m:t>
              </m:r>
            </m:e>
            <m:sub>
              <m:r>
                <m:t>c</m:t>
              </m:r>
            </m:sub>
          </m:sSub>
          <m:r>
            <m:t> </m:t>
          </m:r>
          <m:r>
            <m:rPr>
              <m:sty m:val="p"/>
            </m:rPr>
            <m:t>}</m:t>
          </m:r>
          <m:r>
            <m:rPr>
              <m:sty m:val="p"/>
            </m:rPr>
            <m:t>.</m:t>
          </m:r>
        </m:oMath>
      </m:oMathPara>
    </w:p>
    <w:p>
      <w:pPr>
        <w:pStyle w:val="FirstParagraph"/>
      </w:pPr>
      <w:r>
        <w:t xml:space="preserve">Under exchangeability this gives</w:t>
      </w:r>
      <w:r>
        <w:t xml:space="preserve"> </w:t>
      </w:r>
      <m:oMath>
        <m:r>
          <m:rPr>
            <m:sty m:val="p"/>
          </m:rPr>
          <m:t>Pr</m:t>
        </m:r>
        <m:r>
          <m:rPr>
            <m:sty m:val="p"/>
          </m:rPr>
          <m:t>[</m:t>
        </m:r>
        <m:r>
          <m:t>y</m:t>
        </m:r>
        <m:r>
          <m:rPr>
            <m:sty m:val="p"/>
          </m:rPr>
          <m:t>∈</m:t>
        </m:r>
        <m:sSub>
          <m:e>
            <m:r>
              <m:rPr>
                <m:sty m:val="p"/>
              </m:rPr>
              <m:t>Γ</m:t>
            </m:r>
          </m:e>
          <m:sub>
            <m:r>
              <m:t>ε</m:t>
            </m:r>
          </m:sub>
        </m:sSub>
        <m:r>
          <m:rPr>
            <m:sty m:val="p"/>
          </m:rPr>
          <m:t>(</m:t>
        </m:r>
        <m:r>
          <m:t>x</m:t>
        </m:r>
        <m:r>
          <m:rPr>
            <m:sty m:val="p"/>
          </m:rPr>
          <m:t>)</m:t>
        </m:r>
        <m:r>
          <m:rPr>
            <m:sty m:val="p"/>
          </m:rPr>
          <m:t>]</m:t>
        </m:r>
        <m:r>
          <m:rPr>
            <m:sty m:val="p"/>
          </m:rPr>
          <m:t>≥</m:t>
        </m:r>
        <m:r>
          <m:t>1</m:t>
        </m:r>
        <m:r>
          <m:rPr>
            <m:sty m:val="p"/>
          </m:rPr>
          <m:t>−</m:t>
        </m:r>
        <m:r>
          <m:t>ε</m:t>
        </m:r>
      </m:oMath>
      <w:r>
        <w:t xml:space="preserve"> </w:t>
      </w:r>
      <w:r>
        <w:rPr>
          <w:i/>
          <w:iCs/>
        </w:rPr>
        <w:t xml:space="preserve">within each</w:t>
      </w:r>
      <w:r>
        <w:rPr>
          <w:i/>
          <w:iCs/>
        </w:rPr>
        <w:t xml:space="preserve"> </w:t>
      </w:r>
      <w:r>
        <w:rPr>
          <w:i/>
          <w:iCs/>
        </w:rPr>
        <w:t xml:space="preserve">class</w:t>
      </w:r>
      <w:r>
        <w:t xml:space="preserve">. That is what the class-conditional form adds over the marginal one, and it is the reason for</w:t>
      </w:r>
      <w:r>
        <w:t xml:space="preserve"> </w:t>
      </w:r>
      <w:r>
        <w:t xml:space="preserve">using it here: marginal coverage can be satisfied while the rare class fails systematically.</w:t>
      </w:r>
      <w:r>
        <w:t xml:space="preserve"> </w:t>
      </w:r>
      <m:oMath>
        <m:sSub>
          <m:e>
            <m:r>
              <m:rPr>
                <m:sty m:val="p"/>
              </m:rPr>
              <m:t>Γ</m:t>
            </m:r>
          </m:e>
          <m:sub>
            <m:r>
              <m:t>ε</m:t>
            </m:r>
          </m:sub>
        </m:sSub>
        <m:r>
          <m:rPr>
            <m:sty m:val="p"/>
          </m:rPr>
          <m:t>(</m:t>
        </m:r>
        <m:r>
          <m:t>x</m:t>
        </m:r>
        <m:r>
          <m:rPr>
            <m:sty m:val="p"/>
          </m:rPr>
          <m:t>)</m:t>
        </m:r>
      </m:oMath>
      <w:r>
        <w:t xml:space="preserve"> </w:t>
      </w:r>
      <w:r>
        <w:t xml:space="preserve">may be empty, meaning the compound conforms to neither class, or contain both,</w:t>
      </w:r>
      <w:r>
        <w:t xml:space="preserve"> </w:t>
      </w:r>
      <w:r>
        <w:t xml:space="preserve">meaning it separates neither. Both are informative and both are displayed.</w:t>
      </w:r>
    </w:p>
    <w:p>
      <w:pPr>
        <w:pStyle w:val="BodyText"/>
      </w:pPr>
      <w:r>
        <w:rPr>
          <w:b/>
          <w:bCs/>
        </w:rPr>
        <w:t xml:space="preserve">Decision thresholds.</w:t>
      </w:r>
      <w:r>
        <w:t xml:space="preserve"> </w:t>
      </w:r>
      <w:r>
        <w:t xml:space="preserve">For binder endpoint</w:t>
      </w:r>
      <w:r>
        <w:t xml:space="preserve"> </w:t>
      </w:r>
      <m:oMath>
        <m:r>
          <m:t>t</m:t>
        </m:r>
      </m:oMath>
      <w:r>
        <w:t xml:space="preserve">, let</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be the half of its</w:t>
      </w:r>
      <w:r>
        <w:t xml:space="preserve"> </w:t>
      </w:r>
      <w:r>
        <w:t xml:space="preserve">measured inactives withheld from fitting. With target false-positive rate</w:t>
      </w:r>
      <w:r>
        <w:t xml:space="preserve"> </w:t>
      </w:r>
      <m:oMath>
        <m:r>
          <m:t>ϕ</m:t>
        </m:r>
        <m:r>
          <m:rPr>
            <m:sty m:val="p"/>
          </m:rPr>
          <m:t>=</m:t>
        </m:r>
        <m:r>
          <m:t>0.10</m:t>
        </m:r>
      </m:oMath>
      <w:r>
        <w:t xml:space="preserve">,</w:t>
      </w:r>
    </w:p>
    <w:p>
      <w:pPr>
        <w:pStyle w:val="BodyText"/>
      </w:pPr>
      <m:oMathPara>
        <m:oMathParaPr>
          <m:jc m:val="center"/>
        </m:oMathParaPr>
        <m:oMath>
          <m:sSub>
            <m:e>
              <m:r>
                <m:t>τ</m:t>
              </m:r>
            </m:e>
            <m:sub>
              <m:r>
                <m:t>t</m:t>
              </m:r>
            </m:sub>
          </m:sSub>
          <m:r>
            <m:rPr>
              <m:sty m:val="p"/>
            </m:rPr>
            <m:t>=</m:t>
          </m:r>
          <m:r>
            <m:rPr>
              <m:sty m:val="p"/>
            </m:rPr>
            <m:t>c</m:t>
          </m:r>
          <m:r>
            <m:rPr>
              <m:sty m:val="p"/>
            </m:rPr>
            <m:t>l</m:t>
          </m:r>
          <m:r>
            <m:rPr>
              <m:sty m:val="p"/>
            </m:rPr>
            <m:t>i</m:t>
          </m:r>
          <m:r>
            <m:rPr>
              <m:sty m:val="p"/>
            </m:rPr>
            <m:t>p</m:t>
          </m:r>
          <m:d>
            <m:dPr>
              <m:begChr m:val="("/>
              <m:sepChr m:val=""/>
              <m:endChr m:val=")"/>
              <m:grow/>
            </m:dPr>
            <m:e>
              <m:sSub>
                <m:e>
                  <m:r>
                    <m:t>Q</m:t>
                  </m:r>
                </m:e>
                <m:sub>
                  <m:r>
                    <m:t>1</m:t>
                  </m:r>
                  <m:r>
                    <m:rPr>
                      <m:sty m:val="p"/>
                    </m:rPr>
                    <m:t>−</m:t>
                  </m:r>
                  <m:r>
                    <m:t>ϕ</m:t>
                  </m:r>
                </m:sub>
              </m:sSub>
              <m:d>
                <m:dPr>
                  <m:begChr m:val="("/>
                  <m:sepChr m:val=""/>
                  <m:endChr m:val=")"/>
                  <m:grow/>
                </m:dPr>
                <m:e>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t>x</m:t>
                  </m:r>
                  <m:r>
                    <m:rPr>
                      <m:sty m:val="p"/>
                    </m:rPr>
                    <m:t>∈</m:t>
                  </m:r>
                  <m:sSubSup>
                    <m:e>
                      <m:r>
                        <m:t>I</m:t>
                      </m:r>
                    </m:e>
                    <m:sub>
                      <m:r>
                        <m:t>t</m:t>
                      </m:r>
                    </m:sub>
                    <m:sup>
                      <m:r>
                        <m:rPr>
                          <m:sty m:val="p"/>
                        </m:rPr>
                        <m:t>h</m:t>
                      </m:r>
                      <m:r>
                        <m:rPr>
                          <m:sty m:val="p"/>
                        </m:rPr>
                        <m:t>o</m:t>
                      </m:r>
                      <m:r>
                        <m:rPr>
                          <m:sty m:val="p"/>
                        </m:rPr>
                        <m:t>l</m:t>
                      </m:r>
                      <m:r>
                        <m:rPr>
                          <m:sty m:val="p"/>
                        </m:rPr>
                        <m:t>d</m:t>
                      </m:r>
                    </m:sup>
                  </m:sSubSup>
                  <m:r>
                    <m:rPr>
                      <m:sty m:val="p"/>
                    </m:rPr>
                    <m:t>}</m:t>
                  </m:r>
                </m:e>
              </m:d>
              <m:r>
                <m:rPr>
                  <m:sty m:val="p"/>
                </m:rPr>
                <m:t>,</m:t>
              </m:r>
              <m:r>
                <m:t> </m:t>
              </m:r>
              <m:r>
                <m:t>0.05</m:t>
              </m:r>
              <m:r>
                <m:rPr>
                  <m:sty m:val="p"/>
                </m:rPr>
                <m:t>,</m:t>
              </m:r>
              <m:r>
                <m:t> </m:t>
              </m:r>
              <m:r>
                <m:t>0.999</m:t>
              </m:r>
            </m:e>
          </m:d>
        </m:oMath>
      </m:oMathPara>
    </w:p>
    <w:p>
      <w:pPr>
        <w:pStyle w:val="FirstParagraph"/>
      </w:pPr>
      <w:r>
        <w:t xml:space="preserve">with</w:t>
      </w:r>
      <w:r>
        <w:t xml:space="preserve"> </w:t>
      </w:r>
      <m:oMath>
        <m:sSub>
          <m:e>
            <m:r>
              <m:t>Q</m:t>
            </m:r>
          </m:e>
          <m:sub>
            <m:r>
              <m:t>γ</m:t>
            </m:r>
          </m:sub>
        </m:sSub>
      </m:oMath>
      <w:r>
        <w:t xml:space="preserve"> </w:t>
      </w:r>
      <w:r>
        <w:t xml:space="preserve">the empirical</w:t>
      </w:r>
      <w:r>
        <w:t xml:space="preserve"> </w:t>
      </w:r>
      <m:oMath>
        <m:r>
          <m:t>γ</m:t>
        </m:r>
      </m:oMath>
      <w:r>
        <w:t xml:space="preserve">-quantile. The false-positive rate on</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is</w:t>
      </w:r>
      <w:r>
        <w:t xml:space="preserve"> </w:t>
      </w:r>
      <w:r>
        <w:t xml:space="preserve">then</w:t>
      </w:r>
      <w:r>
        <w:t xml:space="preserve"> </w:t>
      </w:r>
      <m:oMath>
        <m:r>
          <m:t>ϕ</m:t>
        </m:r>
      </m:oMath>
      <w:r>
        <w:t xml:space="preserve"> </w:t>
      </w:r>
      <w:r>
        <w:t xml:space="preserve">by construction and is not evidence of anything; the rate that is reported is measured on</w:t>
      </w:r>
      <w:r>
        <w:t xml:space="preserve"> </w:t>
      </w:r>
      <w:r>
        <w:t xml:space="preserve">the evaluation pool, disjoint from both the decoy pool used in fitting and the threshold pool used</w:t>
      </w:r>
      <w:r>
        <w:t xml:space="preserve"> </w:t>
      </w:r>
      <w:r>
        <w:t xml:space="preserve">here. Section 3.6 gives the argument for why the three must be disjoint.</w:t>
      </w:r>
    </w:p>
    <w:p>
      <w:pPr>
        <w:pStyle w:val="BodyText"/>
      </w:pPr>
      <w:r>
        <w:rPr>
          <w:b/>
          <w:bCs/>
        </w:rPr>
        <w:t xml:space="preserve">Applicability domain.</w:t>
      </w:r>
      <w:r>
        <w:t xml:space="preserve"> </w:t>
      </w:r>
      <w:r>
        <w:t xml:space="preserve">With</w:t>
      </w:r>
      <w:r>
        <w:t xml:space="preserve"> </w:t>
      </w:r>
      <m:oMath>
        <m:r>
          <m:rPr>
            <m:scr m:val="script"/>
            <m:sty m:val="p"/>
          </m:rPr>
          <m:t>R</m:t>
        </m:r>
      </m:oMath>
      <w:r>
        <w:t xml:space="preserve"> </w:t>
      </w:r>
      <w:r>
        <w:t xml:space="preserve">the measured reference library and</w:t>
      </w:r>
      <w:r>
        <w:t xml:space="preserve"> </w:t>
      </w:r>
      <m:oMath>
        <m:r>
          <m:t>T</m:t>
        </m:r>
      </m:oMath>
      <w:r>
        <w:t xml:space="preserve"> </w:t>
      </w:r>
      <w:r>
        <w:t xml:space="preserve">the Tanimoto</w:t>
      </w:r>
      <w:r>
        <w:t xml:space="preserve"> </w:t>
      </w:r>
      <w:r>
        <w:t xml:space="preserve">coefficient on 2048-bit Morgan fingerprints,</w:t>
      </w:r>
    </w:p>
    <w:p>
      <w:pPr>
        <w:pStyle w:val="BodyText"/>
      </w:pPr>
      <m:oMathPara>
        <m:oMathParaPr>
          <m:jc m:val="center"/>
        </m:oMathParaPr>
        <m:oMath>
          <m:r>
            <m:t>a</m:t>
          </m:r>
          <m:r>
            <m:rPr>
              <m:sty m:val="p"/>
            </m:rPr>
            <m:t>(</m:t>
          </m:r>
          <m:r>
            <m:t>x</m:t>
          </m:r>
          <m:r>
            <m:rPr>
              <m:sty m:val="p"/>
            </m:rPr>
            <m:t>)</m:t>
          </m:r>
          <m:r>
            <m:rPr>
              <m:sty m:val="p"/>
            </m:rPr>
            <m:t>=</m:t>
          </m:r>
          <m:limLow>
            <m:e>
              <m:r>
                <m:rPr>
                  <m:sty m:val="p"/>
                </m:rPr>
                <m:t>max</m:t>
              </m:r>
            </m:e>
            <m:lim>
              <m:r>
                <m:t>r</m:t>
              </m:r>
              <m:r>
                <m:rPr>
                  <m:sty m:val="p"/>
                </m:rPr>
                <m:t>∈</m:t>
              </m:r>
              <m:r>
                <m:rPr>
                  <m:scr m:val="script"/>
                  <m:sty m:val="p"/>
                </m:rPr>
                <m:t>R</m:t>
              </m:r>
            </m:lim>
          </m:limLow>
          <m:r>
            <m:t>T</m:t>
          </m:r>
          <m:r>
            <m:rPr>
              <m:sty m:val="p"/>
            </m:rPr>
            <m:t>(</m:t>
          </m:r>
          <m:r>
            <m:t>x</m:t>
          </m:r>
          <m:r>
            <m:rPr>
              <m:sty m:val="p"/>
            </m:rPr>
            <m:t>,</m:t>
          </m:r>
          <m:r>
            <m:t>r</m:t>
          </m:r>
          <m:r>
            <m:rPr>
              <m:sty m:val="p"/>
            </m:rPr>
            <m:t>)</m:t>
          </m:r>
          <m:r>
            <m:rPr>
              <m:sty m:val="p"/>
            </m:rPr>
            <m:t>.</m:t>
          </m:r>
        </m:oMath>
      </m:oMathPara>
    </w:p>
    <w:p>
      <w:pPr>
        <w:pStyle w:val="FirstParagraph"/>
      </w:pPr>
      <w:r>
        <w:t xml:space="preserve">Section 6.5.2 shows that recall is a monotone function of</w:t>
      </w:r>
      <w:r>
        <w:t xml:space="preserve"> </w:t>
      </w:r>
      <m:oMath>
        <m:r>
          <m:t>a</m:t>
        </m:r>
      </m:oMath>
      <w:r>
        <w:t xml:space="preserve">, which is the property that makes it</w:t>
      </w:r>
      <w:r>
        <w:t xml:space="preserve"> </w:t>
      </w:r>
      <w:r>
        <w:t xml:space="preserve">useful. Section 8.2.4 shows it is a weak discriminator of non-drug-like chemistry, which is the</w:t>
      </w:r>
      <w:r>
        <w:t xml:space="preserve"> </w:t>
      </w:r>
      <w:r>
        <w:t xml:space="preserve">property it was designed for and does not have.</w:t>
      </w:r>
    </w:p>
    <w:p>
      <w:pPr>
        <w:pStyle w:val="BodyText"/>
      </w:pPr>
      <w:r>
        <w:rPr>
          <w:b/>
          <w:bCs/>
        </w:rPr>
        <w:t xml:space="preserve">Engagement signal.</w:t>
      </w:r>
      <w:r>
        <w:t xml:space="preserve"> </w:t>
      </w:r>
      <w:r>
        <w:t xml:space="preserve">The endpoints are not commensurable: each has its own base rate, its own</w:t>
      </w:r>
      <w:r>
        <w:t xml:space="preserve"> </w:t>
      </w:r>
      <w:r>
        <w:t xml:space="preserve">threshold, and one has a continuous readout. Three maps carry them onto a common</w:t>
      </w:r>
      <w:r>
        <w:t xml:space="preserve"> </w:t>
      </w:r>
      <m:oMath>
        <m:r>
          <m:rPr>
            <m:sty m:val="p"/>
          </m:rPr>
          <m:t>[</m:t>
        </m:r>
        <m:r>
          <m:t>0</m:t>
        </m:r>
        <m:r>
          <m:rPr>
            <m:sty m:val="p"/>
          </m:rPr>
          <m:t>,</m:t>
        </m:r>
        <m:r>
          <m:t>1</m:t>
        </m:r>
        <m:r>
          <m:rPr>
            <m:sty m:val="p"/>
          </m:rPr>
          <m:t>]</m:t>
        </m:r>
      </m:oMath>
      <w:r>
        <w:t xml:space="preserve"> </w:t>
      </w:r>
      <w:r>
        <w:t xml:space="preserve">scale. Where</w:t>
      </w:r>
      <w:r>
        <w:t xml:space="preserve"> </w:t>
      </w:r>
      <w:r>
        <w:t xml:space="preserve">the negatives are measured, with base rate</w:t>
      </w:r>
      <w:r>
        <w:t xml:space="preserve"> </w:t>
      </w:r>
      <m:oMath>
        <m:sSub>
          <m:e>
            <m:r>
              <m:t>b</m:t>
            </m:r>
          </m:e>
          <m:sub>
            <m:r>
              <m:t>t</m:t>
            </m:r>
          </m:sub>
        </m:sSub>
      </m:oMath>
      <w:r>
        <w:t xml:space="preserve">,</w:t>
      </w:r>
    </w:p>
    <w:p>
      <w:pPr>
        <w:pStyle w:val="BodyText"/>
      </w:pPr>
      <m:oMathPara>
        <m:oMathParaPr>
          <m:jc m:val="center"/>
        </m:oMathParaPr>
        <m:oMath>
          <m:sSub>
            <m:e>
              <m:r>
                <m:t>E</m:t>
              </m:r>
            </m:e>
            <m:sub>
              <m:r>
                <m:t>t</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rPr>
                            <m:sty m:val="p"/>
                          </m:rPr>
                          <m:t>−</m:t>
                        </m:r>
                        <m:sSub>
                          <m:e>
                            <m:r>
                              <m:t>b</m:t>
                            </m:r>
                          </m:e>
                          <m:sub>
                            <m:r>
                              <m:t>t</m:t>
                            </m:r>
                          </m:sub>
                        </m:sSub>
                      </m:num>
                      <m:den>
                        <m:r>
                          <m:t>1</m:t>
                        </m:r>
                        <m:r>
                          <m:rPr>
                            <m:sty m:val="p"/>
                          </m:rPr>
                          <m:t>−</m:t>
                        </m:r>
                        <m:sSub>
                          <m:e>
                            <m:r>
                              <m:t>b</m:t>
                            </m:r>
                          </m:e>
                          <m:sub>
                            <m:r>
                              <m:t>t</m:t>
                            </m:r>
                          </m:sub>
                        </m:sSub>
                      </m:den>
                    </m:f>
                    <m:r>
                      <m:rPr>
                        <m:sty m:val="p"/>
                      </m:rPr>
                      <m:t>,</m:t>
                    </m:r>
                  </m:e>
                  <m:e>
                    <m:r>
                      <m:t>p</m:t>
                    </m:r>
                    <m:r>
                      <m:rPr>
                        <m:sty m:val="p"/>
                      </m:rPr>
                      <m:t>≥</m:t>
                    </m:r>
                    <m:sSub>
                      <m:e>
                        <m:r>
                          <m:t>b</m:t>
                        </m:r>
                      </m:e>
                      <m:sub>
                        <m:r>
                          <m:t>t</m:t>
                        </m:r>
                      </m:sub>
                    </m:sSub>
                  </m:e>
                </m:mr>
                <m:mr>
                  <m:e>
                    <m:f>
                      <m:fPr>
                        <m:type m:val="bar"/>
                      </m:fPr>
                      <m:num>
                        <m:r>
                          <m:t>p</m:t>
                        </m:r>
                        <m:r>
                          <m:rPr>
                            <m:sty m:val="p"/>
                          </m:rPr>
                          <m:t>−</m:t>
                        </m:r>
                        <m:sSub>
                          <m:e>
                            <m:r>
                              <m:t>b</m:t>
                            </m:r>
                          </m:e>
                          <m:sub>
                            <m:r>
                              <m:t>t</m:t>
                            </m:r>
                          </m:sub>
                        </m:sSub>
                      </m:num>
                      <m:den>
                        <m:sSub>
                          <m:e>
                            <m:r>
                              <m:t>b</m:t>
                            </m:r>
                          </m:e>
                          <m:sub>
                            <m:r>
                              <m:t>t</m:t>
                            </m:r>
                          </m:sub>
                        </m:sSub>
                      </m:den>
                    </m:f>
                    <m:r>
                      <m:rPr>
                        <m:sty m:val="p"/>
                      </m:rPr>
                      <m:t>,</m:t>
                    </m:r>
                  </m:e>
                  <m:e>
                    <m:r>
                      <m:t>p</m:t>
                    </m:r>
                    <m:r>
                      <m:rPr>
                        <m:sty m:val="p"/>
                      </m:rPr>
                      <m:t>&lt;</m:t>
                    </m:r>
                    <m:sSub>
                      <m:e>
                        <m:r>
                          <m:t>b</m:t>
                        </m:r>
                      </m:e>
                      <m:sub>
                        <m:r>
                          <m:t>t</m:t>
                        </m:r>
                      </m:sub>
                    </m:sSub>
                  </m:e>
                </m:mr>
              </m:m>
            </m:e>
          </m:d>
          <m:r>
            <m:rPr>
              <m:sty m:val="p"/>
            </m:rPr>
            <m:t>∈</m:t>
          </m:r>
          <m:r>
            <m:rPr>
              <m:sty m:val="p"/>
            </m:rPr>
            <m:t>[</m:t>
          </m:r>
          <m:r>
            <m:rPr>
              <m:sty m:val="p"/>
            </m:rPr>
            <m:t>−</m:t>
          </m:r>
          <m:r>
            <m:t>1</m:t>
          </m:r>
          <m:r>
            <m:rPr>
              <m:sty m:val="p"/>
            </m:rPr>
            <m:t>,</m:t>
          </m:r>
          <m:r>
            <m:t>1</m:t>
          </m:r>
          <m:r>
            <m:rPr>
              <m:sty m:val="p"/>
            </m:rPr>
            <m:t>]</m:t>
          </m:r>
          <m:r>
            <m:rPr>
              <m:sty m:val="p"/>
            </m:rPr>
            <m:t>,</m:t>
          </m:r>
          <m:r>
            <m:t>  </m:t>
          </m:r>
          <m:sSub>
            <m:e>
              <m:r>
                <m:t>s</m:t>
              </m:r>
            </m:e>
            <m:sub>
              <m:r>
                <m:t>t</m:t>
              </m:r>
            </m:sub>
          </m:sSub>
          <m:r>
            <m:rPr>
              <m:sty m:val="p"/>
            </m:rPr>
            <m:t>(</m:t>
          </m:r>
          <m:r>
            <m:t>x</m:t>
          </m:r>
          <m:r>
            <m:rPr>
              <m:sty m:val="p"/>
            </m:rPr>
            <m:t>)</m:t>
          </m:r>
          <m:r>
            <m:rPr>
              <m:sty m:val="p"/>
            </m:rPr>
            <m:t>=</m:t>
          </m:r>
          <m:r>
            <m:rPr>
              <m:sty m:val="p"/>
            </m:rPr>
            <m:t>max</m:t>
          </m:r>
          <m:r>
            <m:rPr>
              <m:sty m:val="p"/>
            </m:rPr>
            <m:t>{</m:t>
          </m:r>
          <m:r>
            <m:t>0</m:t>
          </m:r>
          <m:r>
            <m:rPr>
              <m:sty m:val="p"/>
            </m:rPr>
            <m:t>,</m:t>
          </m:r>
          <m:r>
            <m:t> </m:t>
          </m:r>
          <m:sSub>
            <m:e>
              <m:r>
                <m:t>E</m:t>
              </m:r>
            </m:e>
            <m:sub>
              <m:r>
                <m:t>t</m:t>
              </m:r>
            </m:sub>
          </m:sSub>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rPr>
              <m:sty m:val="p"/>
            </m:rPr>
            <m:t>}</m:t>
          </m:r>
          <m:r>
            <m:rPr>
              <m:sty m:val="p"/>
            </m:rPr>
            <m:t>.</m:t>
          </m:r>
        </m:oMath>
      </m:oMathPara>
    </w:p>
    <w:p>
      <w:pPr>
        <w:pStyle w:val="FirstParagraph"/>
      </w:pPr>
      <m:oMath>
        <m:sSub>
          <m:e>
            <m:r>
              <m:t>E</m:t>
            </m:r>
          </m:e>
          <m:sub>
            <m:r>
              <m:t>t</m:t>
            </m:r>
          </m:sub>
        </m:sSub>
      </m:oMath>
      <w:r>
        <w:t xml:space="preserve"> </w:t>
      </w:r>
      <w:r>
        <w:t xml:space="preserve">is the signed enrichment over prevalence. A probability</w:t>
      </w:r>
      <w:r>
        <w:t xml:space="preserve"> </w:t>
      </w:r>
      <w:r>
        <w:rPr>
          <w:i/>
          <w:iCs/>
        </w:rPr>
        <w:t xml:space="preserve">below</w:t>
      </w:r>
      <w:r>
        <w:t xml:space="preserve"> </w:t>
      </w:r>
      <w:r>
        <w:t xml:space="preserve">the base rate is evidence of</w:t>
      </w:r>
      <w:r>
        <w:t xml:space="preserve"> </w:t>
      </w:r>
      <w:r>
        <w:t xml:space="preserve">inactivity rather than weak evidence of activity, and mapping it to a small positive number would</w:t>
      </w:r>
      <w:r>
        <w:t xml:space="preserve"> </w:t>
      </w:r>
      <w:r>
        <w:t xml:space="preserve">misstate it. For a decoy-trained binder the threshold takes the role the base rate takes above,</w:t>
      </w:r>
    </w:p>
    <w:p>
      <w:pPr>
        <w:pStyle w:val="BodyText"/>
      </w:pPr>
      <m:oMathPara>
        <m:oMathParaPr>
          <m:jc m:val="center"/>
        </m:oMathParaPr>
        <m:oMath>
          <m:sSub>
            <m:e>
              <m:r>
                <m:t>s</m:t>
              </m:r>
            </m:e>
            <m:sub>
              <m:r>
                <m:t>t</m:t>
              </m:r>
            </m:sub>
          </m:sSub>
          <m:r>
            <m:rPr>
              <m:sty m:val="p"/>
            </m:rPr>
            <m:t>(</m:t>
          </m:r>
          <m:r>
            <m:t>x</m:t>
          </m:r>
          <m:r>
            <m:rPr>
              <m:sty m:val="p"/>
            </m:rPr>
            <m:t>)</m:t>
          </m:r>
          <m:r>
            <m:rPr>
              <m:sty m:val="p"/>
            </m:rPr>
            <m:t>=</m:t>
          </m:r>
          <m:r>
            <m:rPr>
              <m:sty m:val="p"/>
            </m:rPr>
            <m:t>max</m:t>
          </m:r>
          <m:d>
            <m:dPr>
              <m:begChr m:val="{"/>
              <m:sepChr m:val=""/>
              <m:endChr m:val="}"/>
              <m:grow/>
            </m:dPr>
            <m:e>
              <m:r>
                <m:t>0</m:t>
              </m:r>
              <m:r>
                <m:rPr>
                  <m:sty m:val="p"/>
                </m:rPr>
                <m:t>,</m:t>
              </m:r>
              <m:r>
                <m:t> </m:t>
              </m:r>
              <m:f>
                <m:fPr>
                  <m:type m:val="bar"/>
                </m:fPr>
                <m:num>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sSub>
                    <m:e>
                      <m:r>
                        <m:t>τ</m:t>
                      </m:r>
                    </m:e>
                    <m:sub>
                      <m:r>
                        <m:t>t</m:t>
                      </m:r>
                    </m:sub>
                  </m:sSub>
                </m:num>
                <m:den>
                  <m:r>
                    <m:t>1</m:t>
                  </m:r>
                  <m:r>
                    <m:rPr>
                      <m:sty m:val="p"/>
                    </m:rPr>
                    <m:t>−</m:t>
                  </m:r>
                  <m:sSub>
                    <m:e>
                      <m:r>
                        <m:t>τ</m:t>
                      </m:r>
                    </m:e>
                    <m:sub>
                      <m:r>
                        <m:t>t</m:t>
                      </m:r>
                    </m:sub>
                  </m:sSub>
                </m:den>
              </m:f>
            </m:e>
          </m:d>
          <m:r>
            <m:rPr>
              <m:sty m:val="p"/>
            </m:rPr>
            <m:t>,</m:t>
          </m:r>
        </m:oMath>
      </m:oMathPara>
    </w:p>
    <w:p>
      <w:pPr>
        <w:pStyle w:val="FirstParagraph"/>
      </w:pPr>
      <w:r>
        <w:t xml:space="preserve">so a sub-threshold call, which by construction lies within the measured background false-positive</w:t>
      </w:r>
      <w:r>
        <w:t xml:space="preserve"> </w:t>
      </w:r>
      <w:r>
        <w:t xml:space="preserve">rate, contributes exactly zero. For the antioxidant assay</w:t>
      </w:r>
      <w:r>
        <w:t xml:space="preserve"> </w:t>
      </w:r>
      <m:oMath>
        <m:sSub>
          <m:e>
            <m:r>
              <m:t>s</m:t>
            </m:r>
          </m:e>
          <m:sub>
            <m:r>
              <m:t>t</m:t>
            </m:r>
          </m:sub>
        </m:sSub>
      </m:oMath>
      <w:r>
        <w:t xml:space="preserve"> </w:t>
      </w:r>
      <w:r>
        <w:t xml:space="preserve">is the percentile of the predicted</w:t>
      </w:r>
      <w:r>
        <w:t xml:space="preserve"> </w:t>
      </w:r>
      <w:r>
        <w:t xml:space="preserve">value against the measured training distribution. Only</w:t>
      </w:r>
      <w:r>
        <w:t xml:space="preserve"> </w:t>
      </w:r>
      <m:oMath>
        <m:sSub>
          <m:e>
            <m:r>
              <m:t>s</m:t>
            </m:r>
          </m:e>
          <m:sub>
            <m:r>
              <m:t>t</m:t>
            </m:r>
          </m:sub>
        </m:sSub>
      </m:oMath>
      <w:r>
        <w:t xml:space="preserve"> </w:t>
      </w:r>
      <w:r>
        <w:t xml:space="preserve">is comparable across endpoints, and the</w:t>
      </w:r>
      <w:r>
        <w:t xml:space="preserve"> </w:t>
      </w:r>
      <w:r>
        <w:t xml:space="preserve">interface always shows the untransformed calibrated probability beside it.</w:t>
      </w:r>
    </w:p>
    <w:p>
      <w:pPr>
        <w:pStyle w:val="BodyText"/>
      </w:pPr>
      <w:r>
        <w:rPr>
          <w:b/>
          <w:bCs/>
        </w:rPr>
        <w:t xml:space="preserve">Aggregation to conditions.</w:t>
      </w:r>
      <w:r>
        <w:t xml:space="preserve"> </w:t>
      </w:r>
      <w:r>
        <w:t xml:space="preserve">Let</w:t>
      </w:r>
      <w:r>
        <w:t xml:space="preserve"> </w:t>
      </w:r>
      <m:oMath>
        <m:r>
          <m:t>G</m:t>
        </m:r>
        <m:r>
          <m:rPr>
            <m:sty m:val="p"/>
          </m:rPr>
          <m:t>(</m:t>
        </m:r>
        <m:r>
          <m:t>d</m:t>
        </m:r>
        <m:r>
          <m:rPr>
            <m:sty m:val="p"/>
          </m:rPr>
          <m:t>)</m:t>
        </m:r>
      </m:oMath>
      <w:r>
        <w:t xml:space="preserve"> </w:t>
      </w:r>
      <w:r>
        <w:t xml:space="preserve">be the curated set of (target, weight) pairs for condition</w:t>
      </w:r>
      <w:r>
        <w:t xml:space="preserve"> </w:t>
      </w:r>
      <m:oMath>
        <m:r>
          <m:t>d</m:t>
        </m:r>
      </m:oMath>
      <w:r>
        <w:t xml:space="preserve">, and</w:t>
      </w:r>
      <w:r>
        <w:t xml:space="preserve"> </w:t>
      </w:r>
      <m:oMath>
        <m:r>
          <m:t>P</m:t>
        </m:r>
      </m:oMath>
      <w:r>
        <w:t xml:space="preserve"> </w:t>
      </w:r>
      <w:r>
        <w:t xml:space="preserve">the set of conditions whose mechanism is peripheral. Then</w:t>
      </w:r>
    </w:p>
    <w:p>
      <w:pPr>
        <w:pStyle w:val="BodyText"/>
      </w:pPr>
      <m:oMathPara>
        <m:oMathParaPr>
          <m:jc m:val="center"/>
        </m:oMathParaPr>
        <m:oMath>
          <m:sSub>
            <m:e>
              <m:r>
                <m:t>S</m:t>
              </m:r>
            </m:e>
            <m:sub>
              <m:r>
                <m:t>d</m:t>
              </m:r>
            </m:sub>
          </m:sSub>
          <m:r>
            <m:rPr>
              <m:sty m:val="p"/>
            </m:rPr>
            <m:t>(</m:t>
          </m:r>
          <m:r>
            <m:t>x</m:t>
          </m:r>
          <m:r>
            <m:rPr>
              <m:sty m:val="p"/>
            </m:rPr>
            <m:t>)</m:t>
          </m:r>
          <m:r>
            <m:rPr>
              <m:sty m:val="p"/>
            </m:rPr>
            <m:t>=</m:t>
          </m:r>
          <m:limLow>
            <m:e>
              <m:r>
                <m:rPr>
                  <m:sty m:val="p"/>
                </m:rPr>
                <m:t>max</m:t>
              </m:r>
            </m:e>
            <m:lim>
              <m:r>
                <m:rPr>
                  <m:sty m:val="p"/>
                </m:rPr>
                <m:t>(</m:t>
              </m:r>
              <m:r>
                <m:t>t</m:t>
              </m:r>
              <m:r>
                <m:rPr>
                  <m:sty m:val="p"/>
                </m:rPr>
                <m:t>,</m:t>
              </m:r>
              <m:r>
                <m:t>w</m:t>
              </m:r>
              <m:r>
                <m:rPr>
                  <m:sty m:val="p"/>
                </m:rPr>
                <m:t>)</m:t>
              </m:r>
              <m:r>
                <m:rPr>
                  <m:sty m:val="p"/>
                </m:rPr>
                <m:t>∈</m:t>
              </m:r>
              <m:r>
                <m:t>G</m:t>
              </m:r>
              <m:r>
                <m:rPr>
                  <m:sty m:val="p"/>
                </m:rPr>
                <m:t>(</m:t>
              </m:r>
              <m:r>
                <m:t>d</m:t>
              </m:r>
              <m:r>
                <m:rPr>
                  <m:sty m:val="p"/>
                </m:rPr>
                <m:t>)</m:t>
              </m:r>
            </m:lim>
          </m:limLow>
          <m:r>
            <m:t>w</m:t>
          </m:r>
          <m:r>
            <m:rPr>
              <m:sty m:val="p"/>
            </m:rPr>
            <m:t>⋅</m:t>
          </m:r>
          <m:sSub>
            <m:e>
              <m:r>
                <m:t>s</m:t>
              </m:r>
            </m:e>
            <m:sub>
              <m:r>
                <m:t>t</m:t>
              </m:r>
            </m:sub>
          </m:sSub>
          <m:r>
            <m:rPr>
              <m:sty m:val="p"/>
            </m:rPr>
            <m:t>(</m:t>
          </m:r>
          <m:r>
            <m:t>x</m:t>
          </m:r>
          <m:r>
            <m:rPr>
              <m:sty m:val="p"/>
            </m:rPr>
            <m:t>)</m:t>
          </m:r>
          <m:r>
            <m:rPr>
              <m:sty m:val="p"/>
            </m:rPr>
            <m:t>,</m:t>
          </m:r>
          <m:r>
            <m:t>  </m:t>
          </m:r>
          <m:sSub>
            <m:e>
              <m:acc>
                <m:accPr>
                  <m:chr m:val="̃"/>
                </m:accPr>
                <m:e>
                  <m:r>
                    <m:t>S</m:t>
                  </m:r>
                </m:e>
              </m:acc>
            </m:e>
            <m:sub>
              <m:r>
                <m:t>d</m:t>
              </m:r>
            </m:sub>
          </m:sSub>
          <m:r>
            <m:rPr>
              <m:sty m:val="p"/>
            </m:rPr>
            <m:t>(</m:t>
          </m:r>
          <m:r>
            <m:t>x</m:t>
          </m:r>
          <m:r>
            <m:rPr>
              <m:sty m:val="p"/>
            </m:rPr>
            <m:t>)</m:t>
          </m:r>
          <m:r>
            <m:rPr>
              <m:sty m:val="p"/>
            </m:rPr>
            <m:t>=</m:t>
          </m:r>
          <m:sSub>
            <m:e>
              <m:r>
                <m:t>γ</m:t>
              </m:r>
            </m:e>
            <m:sub>
              <m:r>
                <m:t>d</m:t>
              </m:r>
            </m:sub>
          </m:sSub>
          <m:r>
            <m:rPr>
              <m:sty m:val="p"/>
            </m:rPr>
            <m:t>(</m:t>
          </m:r>
          <m:r>
            <m:t>x</m:t>
          </m:r>
          <m:r>
            <m:rPr>
              <m:sty m:val="p"/>
            </m:rPr>
            <m:t>)</m:t>
          </m:r>
          <m:r>
            <m:t> </m:t>
          </m:r>
          <m:sSub>
            <m:e>
              <m:r>
                <m:t>S</m:t>
              </m:r>
            </m:e>
            <m:sub>
              <m:r>
                <m:t>d</m:t>
              </m:r>
            </m:sub>
          </m:sSub>
          <m:r>
            <m:rPr>
              <m:sty m:val="p"/>
            </m:rPr>
            <m:t>(</m:t>
          </m:r>
          <m:r>
            <m:t>x</m:t>
          </m:r>
          <m:r>
            <m:rPr>
              <m:sty m:val="p"/>
            </m:rPr>
            <m:t>)</m:t>
          </m:r>
          <m:r>
            <m:rPr>
              <m:sty m:val="p"/>
            </m:rPr>
            <m:t>,</m:t>
          </m:r>
          <m:r>
            <m:t>  </m:t>
          </m:r>
          <m:sSub>
            <m:e>
              <m:r>
                <m:t>γ</m:t>
              </m:r>
            </m:e>
            <m:sub>
              <m:r>
                <m:t>d</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d</m:t>
                    </m:r>
                    <m:r>
                      <m:rPr>
                        <m:sty m:val="p"/>
                      </m:rPr>
                      <m:t>∈</m:t>
                    </m:r>
                    <m:r>
                      <m:t>P</m:t>
                    </m:r>
                  </m:e>
                </m:mr>
                <m:mr>
                  <m:e>
                    <m:sSub>
                      <m:e>
                        <m:acc>
                          <m:accPr>
                            <m:chr m:val="̂"/>
                          </m:accPr>
                          <m:e>
                            <m:r>
                              <m:t>q</m:t>
                            </m:r>
                          </m:e>
                        </m:acc>
                      </m:e>
                      <m:sub>
                        <m:r>
                          <m:rPr>
                            <m:sty m:val="p"/>
                          </m:rPr>
                          <m:t>B</m:t>
                        </m:r>
                        <m:r>
                          <m:rPr>
                            <m:sty m:val="p"/>
                          </m:rPr>
                          <m:t>B</m:t>
                        </m:r>
                        <m:r>
                          <m:rPr>
                            <m:sty m:val="p"/>
                          </m:rPr>
                          <m:t>B</m:t>
                        </m:r>
                      </m:sub>
                    </m:sSub>
                    <m:r>
                      <m:rPr>
                        <m:sty m:val="p"/>
                      </m:rPr>
                      <m:t>(</m:t>
                    </m:r>
                    <m:r>
                      <m:t>x</m:t>
                    </m:r>
                    <m:r>
                      <m:rPr>
                        <m:sty m:val="p"/>
                      </m:rPr>
                      <m:t>)</m:t>
                    </m:r>
                    <m:r>
                      <m:rPr>
                        <m:sty m:val="p"/>
                      </m:rPr>
                      <m:t>,</m:t>
                    </m:r>
                  </m:e>
                  <m:e>
                    <m:r>
                      <m:rPr>
                        <m:nor/>
                        <m:sty m:val="p"/>
                      </m:rPr>
                      <m:t>otherwise.</m:t>
                    </m:r>
                  </m:e>
                </m:mr>
              </m:m>
            </m:e>
          </m:d>
        </m:oMath>
      </m:oMathPara>
    </w:p>
    <w:p>
      <w:pPr>
        <w:pStyle w:val="FirstParagraph"/>
      </w:pPr>
      <w:r>
        <w:t xml:space="preserve">Two consequences follow from the algebra alone, and both have been misread in the past. First, the</w:t>
      </w:r>
      <w:r>
        <w:t xml:space="preserve"> </w:t>
      </w:r>
      <w:r>
        <w:t xml:space="preserve">maximum rather than a sum means a condition is scored by its single strongest engaged mechanism, so</w:t>
      </w:r>
      <w:r>
        <w:t xml:space="preserve"> </w:t>
      </w:r>
      <w:r>
        <w:t xml:space="preserve">engaging three of its targets scores exactly as engaging its strongest. That is deliberate: H8 found</w:t>
      </w:r>
      <w:r>
        <w:t xml:space="preserve"> </w:t>
      </w:r>
      <w:r>
        <w:t xml:space="preserve">co-engaged targets are frequently homologues, and a sum would count one observation several times.</w:t>
      </w:r>
      <w:r>
        <w:t xml:space="preserve"> </w:t>
      </w:r>
      <w:r>
        <w:t xml:space="preserve">Second,</w:t>
      </w:r>
      <w:r>
        <w:t xml:space="preserve"> </w:t>
      </w:r>
      <m:oMath>
        <m:sSub>
          <m:e>
            <m:r>
              <m:t>γ</m:t>
            </m:r>
          </m:e>
          <m:sub>
            <m:r>
              <m:t>d</m:t>
            </m:r>
          </m:sub>
        </m:sSub>
      </m:oMath>
      <w:r>
        <w:t xml:space="preserve"> </w:t>
      </w:r>
      <w:r>
        <w:t xml:space="preserve">does not depend on</w:t>
      </w:r>
      <w:r>
        <w:t xml:space="preserve"> </w:t>
      </w:r>
      <m:oMath>
        <m:r>
          <m:t>d</m:t>
        </m:r>
      </m:oMath>
      <w:r>
        <w:t xml:space="preserve"> </w:t>
      </w:r>
      <w:r>
        <w:t xml:space="preserve">across the non-peripheral conditions, so it cannot change</w:t>
      </w:r>
      <w:r>
        <w:t xml:space="preserve"> </w:t>
      </w:r>
      <w:r>
        <w:t xml:space="preserve">their relative order. It is an exposure filter deciding whether anything is reported at all, not a</w:t>
      </w:r>
      <w:r>
        <w:t xml:space="preserve"> </w:t>
      </w:r>
      <w:r>
        <w:t xml:space="preserve">discriminator between conditions, which is why H3 is recorded as refuted by construction rather than</w:t>
      </w:r>
      <w:r>
        <w:t xml:space="preserve"> </w:t>
      </w:r>
      <w:r>
        <w:t xml:space="preserve">by experiment.</w:t>
      </w:r>
    </w:p>
    <w:p>
      <w:pPr>
        <w:pStyle w:val="BodyText"/>
      </w:pPr>
      <w:r>
        <w:rPr>
          <w:b/>
          <w:bCs/>
        </w:rPr>
        <w:t xml:space="preserve">Metrics.</w:t>
      </w:r>
      <w:r>
        <w:t xml:space="preserve"> </w:t>
      </w:r>
      <w:r>
        <w:t xml:space="preserve">With</w:t>
      </w:r>
      <w:r>
        <w:t xml:space="preserve"> </w:t>
      </w:r>
      <m:oMath>
        <m:sSub>
          <m:e>
            <m:r>
              <m:t>n</m:t>
            </m:r>
          </m:e>
          <m:sub>
            <m:r>
              <m:t>1</m:t>
            </m:r>
          </m:sub>
        </m:sSub>
      </m:oMath>
      <w:r>
        <w:t xml:space="preserve"> </w:t>
      </w:r>
      <w:r>
        <w:t xml:space="preserve">actives,</w:t>
      </w:r>
      <w:r>
        <w:t xml:space="preserve"> </w:t>
      </w:r>
      <m:oMath>
        <m:sSub>
          <m:e>
            <m:r>
              <m:t>n</m:t>
            </m:r>
          </m:e>
          <m:sub>
            <m:r>
              <m:t>0</m:t>
            </m:r>
          </m:sub>
        </m:sSub>
      </m:oMath>
      <w:r>
        <w:t xml:space="preserve"> </w:t>
      </w:r>
      <w:r>
        <w:t xml:space="preserve">inactives and</w:t>
      </w:r>
      <w:r>
        <w:t xml:space="preserve"> </w:t>
      </w:r>
      <m:oMath>
        <m:sSub>
          <m:e>
            <m:r>
              <m:t>R</m:t>
            </m:r>
          </m:e>
          <m:sub>
            <m:r>
              <m:t>i</m:t>
            </m:r>
          </m:sub>
        </m:sSub>
      </m:oMath>
      <w:r>
        <w:t xml:space="preserve"> </w:t>
      </w:r>
      <w:r>
        <w:t xml:space="preserve">the mid-rank of the</w:t>
      </w:r>
      <w:r>
        <w:t xml:space="preserve"> </w:t>
      </w:r>
      <m:oMath>
        <m:r>
          <m:t>i</m:t>
        </m:r>
      </m:oMath>
      <w:r>
        <w:t xml:space="preserve">-th score,</w:t>
      </w:r>
    </w:p>
    <w:p>
      <w:pPr>
        <w:pStyle w:val="BodyText"/>
      </w:pPr>
      <m:oMathPara>
        <m:oMathParaPr>
          <m:jc m:val="center"/>
        </m:oMathParaPr>
        <m:oMath>
          <m:r>
            <m:rPr>
              <m:sty m:val="p"/>
            </m:rPr>
            <m:t>A</m:t>
          </m:r>
          <m:r>
            <m:rPr>
              <m:sty m:val="p"/>
            </m:rPr>
            <m:t>U</m:t>
          </m:r>
          <m:r>
            <m:rPr>
              <m:sty m:val="p"/>
            </m:rPr>
            <m:t>R</m:t>
          </m:r>
          <m:r>
            <m:rPr>
              <m:sty m:val="p"/>
            </m:rPr>
            <m:t>O</m:t>
          </m:r>
          <m:r>
            <m:rPr>
              <m:sty m:val="p"/>
            </m:rPr>
            <m:t>C</m:t>
          </m:r>
          <m:r>
            <m:rPr>
              <m:sty m:val="p"/>
            </m:rPr>
            <m:t>=</m:t>
          </m:r>
          <m:f>
            <m:fPr>
              <m:type m:val="bar"/>
            </m:fPr>
            <m:num>
              <m:r>
                <m:t>1</m:t>
              </m:r>
            </m:num>
            <m:den>
              <m:sSub>
                <m:e>
                  <m:r>
                    <m:t>n</m:t>
                  </m:r>
                </m:e>
                <m:sub>
                  <m:r>
                    <m:t>1</m:t>
                  </m:r>
                </m:sub>
              </m:sSub>
              <m:sSub>
                <m:e>
                  <m:r>
                    <m:t>n</m:t>
                  </m:r>
                </m:e>
                <m:sub>
                  <m:r>
                    <m:t>0</m:t>
                  </m:r>
                </m:sub>
              </m:sSub>
            </m:den>
          </m:f>
          <m:d>
            <m:dPr>
              <m:begChr m:val="("/>
              <m:sepChr m:val=""/>
              <m:endChr m:val=")"/>
              <m:grow/>
            </m:dPr>
            <m:e>
              <m:nary>
                <m:naryPr>
                  <m:chr m:val="∑"/>
                  <m:limLoc m:val="undOvr"/>
                  <m:subHide m:val="off"/>
                  <m:supHide m:val="on"/>
                </m:naryPr>
                <m:sub>
                  <m:r>
                    <m:t>i</m:t>
                  </m:r>
                  <m:r>
                    <m:rPr>
                      <m:sty m:val="p"/>
                    </m:rPr>
                    <m:t>:</m:t>
                  </m:r>
                  <m:r>
                    <m:t> </m:t>
                  </m:r>
                  <m:sSub>
                    <m:e>
                      <m:r>
                        <m:t>y</m:t>
                      </m:r>
                    </m:e>
                    <m:sub>
                      <m:r>
                        <m:t>i</m:t>
                      </m:r>
                    </m:sub>
                  </m:sSub>
                  <m:r>
                    <m:rPr>
                      <m:sty m:val="p"/>
                    </m:rPr>
                    <m:t>=</m:t>
                  </m:r>
                  <m:r>
                    <m:t>1</m:t>
                  </m:r>
                </m:sub>
                <m:sup>
                  <m:r>
                    <m:t>​</m:t>
                  </m:r>
                </m:sup>
                <m:e>
                  <m:sSub>
                    <m:e>
                      <m:r>
                        <m:t>R</m:t>
                      </m:r>
                    </m:e>
                    <m:sub>
                      <m:r>
                        <m:t>i</m:t>
                      </m:r>
                    </m:sub>
                  </m:sSub>
                </m:e>
              </m:nary>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e>
          </m:d>
          <m:r>
            <m:rPr>
              <m:sty m:val="p"/>
            </m:rPr>
            <m:t>=</m:t>
          </m:r>
          <m:f>
            <m:fPr>
              <m:type m:val="bar"/>
            </m:fPr>
            <m:num>
              <m:r>
                <m:t>U</m:t>
              </m:r>
            </m:num>
            <m:den>
              <m:sSub>
                <m:e>
                  <m:r>
                    <m:t>n</m:t>
                  </m:r>
                </m:e>
                <m:sub>
                  <m:r>
                    <m:t>1</m:t>
                  </m:r>
                </m:sub>
              </m:sSub>
              <m:sSub>
                <m:e>
                  <m:r>
                    <m:t>n</m:t>
                  </m:r>
                </m:e>
                <m:sub>
                  <m:r>
                    <m:t>0</m:t>
                  </m:r>
                </m:sub>
              </m:sSub>
            </m:den>
          </m:f>
          <m:r>
            <m:rPr>
              <m:sty m:val="p"/>
            </m:rPr>
            <m:t>,</m:t>
          </m:r>
        </m:oMath>
      </m:oMathPara>
    </w:p>
    <w:p>
      <w:pPr>
        <w:pStyle w:val="FirstParagraph"/>
      </w:pPr>
      <w:r>
        <w:t xml:space="preserve">which is the Mann-Whitney</w:t>
      </w:r>
      <w:r>
        <w:t xml:space="preserve"> </w:t>
      </w:r>
      <m:oMath>
        <m:r>
          <m:t>U</m:t>
        </m:r>
      </m:oMath>
      <w:r>
        <w:t xml:space="preserve"> </w:t>
      </w:r>
      <w:r>
        <w:t xml:space="preserve">statistic normalised. An AUROC and a</w:t>
      </w:r>
      <w:r>
        <w:t xml:space="preserve"> </w:t>
      </w:r>
      <m:oMath>
        <m:r>
          <m:t>p</m:t>
        </m:r>
      </m:oMath>
      <w:r>
        <w:t xml:space="preserve">-value from that test are two</w:t>
      </w:r>
      <w:r>
        <w:t xml:space="preserve"> </w:t>
      </w:r>
      <w:r>
        <w:t xml:space="preserve">readings of one quantity, which is why both appear together throughout section 6. Expected</w:t>
      </w:r>
      <w:r>
        <w:t xml:space="preserve"> </w:t>
      </w:r>
      <w:r>
        <w:t xml:space="preserve">calibration error over</w:t>
      </w:r>
      <w:r>
        <w:t xml:space="preserve"> </w:t>
      </w:r>
      <m:oMath>
        <m:r>
          <m:t>M</m:t>
        </m:r>
      </m:oMath>
      <w:r>
        <w:t xml:space="preserve"> </w:t>
      </w:r>
      <w:r>
        <w:t xml:space="preserve">equal-width confidence bins is</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j</m:t>
              </m:r>
              <m:r>
                <m:rPr>
                  <m:sty m:val="p"/>
                </m:rPr>
                <m:t>=</m:t>
              </m:r>
              <m:r>
                <m:t>1</m:t>
              </m:r>
            </m:sub>
            <m:sup>
              <m:r>
                <m:t>M</m:t>
              </m:r>
            </m:sup>
            <m:e>
              <m:f>
                <m:fPr>
                  <m:type m:val="bar"/>
                </m:fPr>
                <m:num>
                  <m:r>
                    <m:rPr>
                      <m:sty m:val="p"/>
                    </m:rPr>
                    <m:t>|</m:t>
                  </m:r>
                  <m:sSub>
                    <m:e>
                      <m:r>
                        <m:t>B</m:t>
                      </m:r>
                    </m:e>
                    <m:sub>
                      <m:r>
                        <m:t>j</m:t>
                      </m:r>
                    </m:sub>
                  </m:sSub>
                  <m:r>
                    <m:rPr>
                      <m:sty m:val="p"/>
                    </m:rPr>
                    <m:t>|</m:t>
                  </m:r>
                </m:num>
                <m:den>
                  <m:r>
                    <m:t>n</m:t>
                  </m:r>
                </m:den>
              </m:f>
            </m:e>
          </m:nary>
          <m:r>
            <m:t> </m:t>
          </m:r>
          <m:r>
            <m:rPr>
              <m:sty m:val="p"/>
            </m:rPr>
            <m:t>|</m:t>
          </m:r>
          <m:r>
            <m:rPr>
              <m:sty m:val="p"/>
            </m:rPr>
            <m:t>a</m:t>
          </m:r>
          <m:r>
            <m:rPr>
              <m:sty m:val="p"/>
            </m:rPr>
            <m:t>c</m:t>
          </m:r>
          <m:r>
            <m:rPr>
              <m:sty m:val="p"/>
            </m:rPr>
            <m:t>c</m:t>
          </m:r>
          <m:r>
            <m:rPr>
              <m:sty m:val="p"/>
            </m:rPr>
            <m:t>(</m:t>
          </m:r>
          <m:sSub>
            <m:e>
              <m:r>
                <m:t>B</m:t>
              </m:r>
            </m:e>
            <m:sub>
              <m:r>
                <m:t>j</m:t>
              </m:r>
            </m:sub>
          </m:sSub>
          <m:r>
            <m:rPr>
              <m:sty m:val="p"/>
            </m:rPr>
            <m:t>)</m:t>
          </m:r>
          <m:r>
            <m:rPr>
              <m:sty m:val="p"/>
            </m:rPr>
            <m:t>−</m:t>
          </m:r>
          <m:r>
            <m:rPr>
              <m:sty m:val="p"/>
            </m:rPr>
            <m:t>c</m:t>
          </m:r>
          <m:r>
            <m:rPr>
              <m:sty m:val="p"/>
            </m:rPr>
            <m:t>o</m:t>
          </m:r>
          <m:r>
            <m:rPr>
              <m:sty m:val="p"/>
            </m:rPr>
            <m:t>n</m:t>
          </m:r>
          <m:r>
            <m:rPr>
              <m:sty m:val="p"/>
            </m:rPr>
            <m:t>f</m:t>
          </m:r>
          <m:r>
            <m:rPr>
              <m:sty m:val="p"/>
            </m:rPr>
            <m:t>(</m:t>
          </m:r>
          <m:sSub>
            <m:e>
              <m:r>
                <m:t>B</m:t>
              </m:r>
            </m:e>
            <m:sub>
              <m:r>
                <m:t>j</m:t>
              </m:r>
            </m:sub>
          </m:sSub>
          <m:r>
            <m:rPr>
              <m:sty m:val="p"/>
            </m:rPr>
            <m:t>)</m:t>
          </m:r>
          <m:r>
            <m:rPr>
              <m:sty m:val="p"/>
            </m:rPr>
            <m:t>|</m:t>
          </m:r>
          <m:r>
            <m:rPr>
              <m:sty m:val="p"/>
            </m:rPr>
            <m:t>.</m:t>
          </m:r>
        </m:oMath>
      </m:oMathPara>
    </w:p>
    <w:p>
      <w:pPr>
        <w:pStyle w:val="FirstParagraph"/>
      </w:pPr>
      <w:r>
        <w:t xml:space="preserve">Binomial proportions are reported with Wilson intervals rather than normal-approximation intervals,</w:t>
      </w:r>
      <w:r>
        <w:t xml:space="preserve"> </w:t>
      </w:r>
      <w:r>
        <w:t xml:space="preserve">because several of them sit near 0 or 1, where the normal interval leaves the unit interval.</w:t>
      </w:r>
    </w:p>
    <w:p>
      <w:r>
        <w:pict>
          <v:rect style="width:0;height:1.5pt" o:hralign="center" o:hrstd="t" o:hr="t"/>
        </w:pict>
      </w:r>
    </w:p>
    <w:bookmarkEnd w:id="30"/>
    <w:bookmarkEnd w:id="31"/>
    <w:bookmarkStart w:id="34"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2"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2"/>
    <w:bookmarkStart w:id="33"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3"/>
    <w:bookmarkEnd w:id="34"/>
    <w:bookmarkStart w:id="39"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6" name="Picture"/>
            <a:graphic>
              <a:graphicData uri="http://schemas.openxmlformats.org/drawingml/2006/picture">
                <pic:pic>
                  <pic:nvPicPr>
                    <pic:cNvPr descr="_report_figures/flowchart_3.png" id="37" name="Picture"/>
                    <pic:cNvPicPr>
                      <a:picLocks noChangeArrowheads="1" noChangeAspect="1"/>
                    </pic:cNvPicPr>
                  </pic:nvPicPr>
                  <pic:blipFill>
                    <a:blip r:embed="rId35"/>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bookmarkStart w:id="38" w:name="a-real-query-read-line-by-line"/>
    <w:p>
      <w:pPr>
        <w:pStyle w:val="Heading3"/>
      </w:pPr>
      <w:r>
        <w:t xml:space="preserve">5.1 A real query, read line by line</w:t>
      </w:r>
    </w:p>
    <w:p>
      <w:pPr>
        <w:pStyle w:val="FirstParagraph"/>
      </w:pPr>
      <w:r>
        <w:t xml:space="preserve">The description above is abstract. This section takes three compounds through the deployed pipeline</w:t>
      </w:r>
      <w:r>
        <w:t xml:space="preserve"> </w:t>
      </w:r>
      <w:r>
        <w:t xml:space="preserve">and reads what comes back. The three were chosen before their outputs were seen, each to exercise a</w:t>
      </w:r>
      <w:r>
        <w:t xml:space="preserve"> </w:t>
      </w:r>
      <w:r>
        <w:t xml:space="preserve">different part of the system, and whatever they returned is what is printed here.</w:t>
      </w:r>
    </w:p>
    <w:p>
      <w:pPr>
        <w:pStyle w:val="BodyText"/>
      </w:pPr>
      <w:r>
        <w:rPr>
          <w:b/>
          <w:bCs/>
        </w:rPr>
        <w:t xml:space="preserve">Donepezil</w:t>
      </w:r>
      <w:r>
        <w:t xml:space="preserve"> </w:t>
      </w:r>
      <w:r>
        <w:t xml:space="preserve">is an approved acetylcholinesterase inhibitor that reaches the brain, so the panel</w:t>
      </w:r>
      <w:r>
        <w:t xml:space="preserve"> </w:t>
      </w:r>
      <w:r>
        <w:t xml:space="preserve">should engage the target it was designed for and pass the exposure gate.</w:t>
      </w:r>
      <w:r>
        <w:t xml:space="preserve"> </w:t>
      </w:r>
      <w:r>
        <w:rPr>
          <w:b/>
          <w:bCs/>
        </w:rPr>
        <w:t xml:space="preserve">Atenolol</w:t>
      </w:r>
      <w:r>
        <w:t xml:space="preserve"> </w:t>
      </w:r>
      <w:r>
        <w:t xml:space="preserve">is a</w:t>
      </w:r>
      <w:r>
        <w:t xml:space="preserve"> </w:t>
      </w:r>
      <w:r>
        <w:t xml:space="preserve">beta-blocker deliberately optimised</w:t>
      </w:r>
      <w:r>
        <w:t xml:space="preserve"> </w:t>
      </w:r>
      <w:r>
        <w:rPr>
          <w:i/>
          <w:iCs/>
        </w:rPr>
        <w:t xml:space="preserve">not</w:t>
      </w:r>
      <w:r>
        <w:t xml:space="preserve"> </w:t>
      </w:r>
      <w:r>
        <w:t xml:space="preserve">to enter the brain, so the exposure layer should say so and</w:t>
      </w:r>
      <w:r>
        <w:t xml:space="preserve"> </w:t>
      </w:r>
      <w:r>
        <w:t xml:space="preserve">the disease layer should stay quiet whatever any target model reports.</w:t>
      </w:r>
      <w:r>
        <w:t xml:space="preserve"> </w:t>
      </w:r>
      <w:r>
        <w:rPr>
          <w:b/>
          <w:bCs/>
        </w:rPr>
        <w:t xml:space="preserve">Withanolide A</w:t>
      </w:r>
      <w:r>
        <w:t xml:space="preserve"> </w:t>
      </w:r>
      <w:r>
        <w:t xml:space="preserve">is a</w:t>
      </w:r>
      <w:r>
        <w:t xml:space="preserve"> </w:t>
      </w:r>
      <w:r>
        <w:t xml:space="preserve">steroidal natural product from chemistry this library barely covers, so the domain distance should be</w:t>
      </w:r>
      <w:r>
        <w:t xml:space="preserve"> </w:t>
      </w:r>
      <w:r>
        <w:t xml:space="preserve">low and the silence that follows should be marked as uninformative rather than as evidence.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compound</w:t>
            </w:r>
          </w:p>
        </w:tc>
        <w:tc>
          <w:tcPr>
            <w:shd w:val="clear" w:fill="EAF0F7"/>
          </w:tcPr>
          <w:p>
            <w:pPr>
              <w:pStyle w:val="Compact"/>
            </w:pPr>
            <w:r>
              <w:rPr>
                <w:b/>
                <w:sz w:val="17"/>
              </w:rPr>
              <w:t xml:space="preserve">section</w:t>
            </w:r>
          </w:p>
        </w:tc>
        <w:tc>
          <w:tcPr>
            <w:shd w:val="clear" w:fill="EAF0F7"/>
          </w:tcPr>
          <w:p>
            <w:pPr>
              <w:pStyle w:val="Compact"/>
            </w:pPr>
            <w:r>
              <w:rPr>
                <w:b/>
                <w:sz w:val="17"/>
              </w:rPr>
              <w:t xml:space="preserve">endpoint</w:t>
            </w:r>
          </w:p>
        </w:tc>
        <w:tc>
          <w:tcPr>
            <w:shd w:val="clear" w:fill="EAF0F7"/>
          </w:tcPr>
          <w:p>
            <w:pPr>
              <w:pStyle w:val="Compact"/>
            </w:pPr>
            <w:r>
              <w:rPr>
                <w:b/>
                <w:sz w:val="17"/>
              </w:rPr>
              <w:t xml:space="preserve">value</w:t>
            </w:r>
          </w:p>
        </w:tc>
        <w:tc>
          <w:tcPr>
            <w:shd w:val="clear" w:fill="EAF0F7"/>
          </w:tcPr>
          <w:p>
            <w:pPr>
              <w:pStyle w:val="Compact"/>
            </w:pPr>
            <w:r>
              <w:rPr>
                <w:b/>
                <w:sz w:val="17"/>
              </w:rPr>
              <w:t xml:space="preserve">unit</w:t>
            </w:r>
          </w:p>
        </w:tc>
        <w:tc>
          <w:tcPr>
            <w:shd w:val="clear" w:fill="EAF0F7"/>
          </w:tcPr>
          <w:p>
            <w:pPr>
              <w:pStyle w:val="Compact"/>
            </w:pPr>
            <w:r>
              <w:rPr>
                <w:b/>
                <w:sz w:val="17"/>
              </w:rPr>
              <w:t xml:space="preserve">context</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0.473</w:t>
            </w:r>
          </w:p>
        </w:tc>
        <w:tc>
          <w:tcPr/>
          <w:p>
            <w:pPr>
              <w:pStyle w:val="Compact"/>
            </w:pPr>
            <w:r>
              <w:rPr>
                <w:sz w:val="15"/>
              </w:rPr>
              <w:t xml:space="preserve">calibrated probability</w:t>
            </w:r>
          </w:p>
        </w:tc>
        <w:tc>
          <w:tcPr/>
          <w:p>
            <w:pPr>
              <w:pStyle w:val="Compact"/>
            </w:pPr>
            <w:r>
              <w:rPr>
                <w:sz w:val="15"/>
              </w:rPr>
              <w:t xml:space="preserve">training base rate 0.635; enrichment -0.255</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0.1766</w:t>
            </w:r>
          </w:p>
        </w:tc>
        <w:tc>
          <w:tcPr/>
          <w:p>
            <w:pPr>
              <w:pStyle w:val="Compact"/>
            </w:pPr>
            <w:r>
              <w:rPr>
                <w:sz w:val="15"/>
              </w:rPr>
              <w:t xml:space="preserve">calibrated probability</w:t>
            </w:r>
          </w:p>
        </w:tc>
        <w:tc>
          <w:tcPr/>
          <w:p>
            <w:pPr>
              <w:pStyle w:val="Compact"/>
            </w:pPr>
            <w:r>
              <w:rPr>
                <w:sz w:val="15"/>
              </w:rPr>
              <w:t xml:space="preserve">training base rate 0.724; enrichment -0.756</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0.0792</w:t>
            </w:r>
          </w:p>
        </w:tc>
        <w:tc>
          <w:tcPr/>
          <w:p>
            <w:pPr>
              <w:pStyle w:val="Compact"/>
            </w:pPr>
            <w:r>
              <w:rPr>
                <w:sz w:val="15"/>
              </w:rPr>
              <w:t xml:space="preserve">calibrated probability</w:t>
            </w:r>
          </w:p>
        </w:tc>
        <w:tc>
          <w:tcPr/>
          <w:p>
            <w:pPr>
              <w:pStyle w:val="Compact"/>
            </w:pPr>
            <w:r>
              <w:rPr>
                <w:sz w:val="15"/>
              </w:rPr>
              <w:t xml:space="preserve">training base rate 0.413; enrichment -0.808</w:t>
            </w:r>
          </w:p>
        </w:tc>
      </w:tr>
      <w:tr>
        <w:tc>
          <w:tcPr/>
          <w:p>
            <w:pPr>
              <w:pStyle w:val="Compact"/>
            </w:pPr>
            <w:r>
              <w:rPr>
                <w:sz w:val="15"/>
              </w:rPr>
              <w:t xml:space="preserve">atenolol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CC(C)NCC(O)COc1ccc(CC(N)=O)cc1; measured recall for compounds at this distance 0.86 (n=2,586), so a silent endpoint here is reasonably strong evidence of inactivity</w:t>
            </w:r>
          </w:p>
        </w:tc>
      </w:tr>
      <w:tr>
        <w:tc>
          <w:tcPr/>
          <w:p>
            <w:pPr>
              <w:pStyle w:val="Compact"/>
            </w:pPr>
            <w:r>
              <w:rPr>
                <w:sz w:val="15"/>
              </w:rPr>
              <w:t xml:space="preserve">atenolol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atenolol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0.9907</w:t>
            </w:r>
          </w:p>
        </w:tc>
        <w:tc>
          <w:tcPr/>
          <w:p>
            <w:pPr>
              <w:pStyle w:val="Compact"/>
            </w:pPr>
            <w:r>
              <w:rPr>
                <w:sz w:val="15"/>
              </w:rPr>
              <w:t xml:space="preserve">calibrated probability</w:t>
            </w:r>
          </w:p>
        </w:tc>
        <w:tc>
          <w:tcPr/>
          <w:p>
            <w:pPr>
              <w:pStyle w:val="Compact"/>
            </w:pPr>
            <w:r>
              <w:rPr>
                <w:sz w:val="15"/>
              </w:rPr>
              <w:t xml:space="preserve">training base rate 0.635; enrichment +0.974</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1.0</w:t>
            </w:r>
          </w:p>
        </w:tc>
        <w:tc>
          <w:tcPr/>
          <w:p>
            <w:pPr>
              <w:pStyle w:val="Compact"/>
            </w:pPr>
            <w:r>
              <w:rPr>
                <w:sz w:val="15"/>
              </w:rPr>
              <w:t xml:space="preserve">calibrated probability</w:t>
            </w:r>
          </w:p>
        </w:tc>
        <w:tc>
          <w:tcPr/>
          <w:p>
            <w:pPr>
              <w:pStyle w:val="Compact"/>
            </w:pPr>
            <w:r>
              <w:rPr>
                <w:sz w:val="15"/>
              </w:rPr>
              <w:t xml:space="preserve">training base rate 0.724; enrichment +1.000</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0.7342</w:t>
            </w:r>
          </w:p>
        </w:tc>
        <w:tc>
          <w:tcPr/>
          <w:p>
            <w:pPr>
              <w:pStyle w:val="Compact"/>
            </w:pPr>
            <w:r>
              <w:rPr>
                <w:sz w:val="15"/>
              </w:rPr>
              <w:t xml:space="preserve">calibrated probability</w:t>
            </w:r>
          </w:p>
        </w:tc>
        <w:tc>
          <w:tcPr/>
          <w:p>
            <w:pPr>
              <w:pStyle w:val="Compact"/>
            </w:pPr>
            <w:r>
              <w:rPr>
                <w:sz w:val="15"/>
              </w:rPr>
              <w:t xml:space="preserve">training base rate 0.413; enrichment +0.547</w:t>
            </w:r>
          </w:p>
        </w:tc>
      </w:tr>
      <w:tr>
        <w:tc>
          <w:tcPr/>
          <w:p>
            <w:pPr>
              <w:pStyle w:val="Compact"/>
            </w:pPr>
            <w:r>
              <w:rPr>
                <w:sz w:val="15"/>
              </w:rPr>
              <w:t xml:space="preserve">donepezil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COc1cc2c(cc1OC)C(=O)C(CC1CCN(Cc3ccccc3)CC1)C2; measured recall for compounds at this distance 0.86 (n=2,586), so a silent endpoint here is reasonably strong evidence of inactivity</w:t>
            </w:r>
          </w:p>
        </w:tc>
      </w:tr>
      <w:tr>
        <w:tc>
          <w:tcPr/>
          <w:p>
            <w:pPr>
              <w:pStyle w:val="Compact"/>
            </w:pPr>
            <w:r>
              <w:rPr>
                <w:sz w:val="15"/>
              </w:rPr>
              <w:t xml:space="preserve">donepezil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donepezil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0.9907</w:t>
            </w:r>
          </w:p>
        </w:tc>
        <w:tc>
          <w:tcPr/>
          <w:p>
            <w:pPr>
              <w:pStyle w:val="Compact"/>
            </w:pPr>
            <w:r>
              <w:rPr>
                <w:sz w:val="15"/>
              </w:rPr>
              <w:t xml:space="preserve">score</w:t>
            </w:r>
          </w:p>
        </w:tc>
        <w:tc>
          <w:tcPr/>
          <w:p>
            <w:pPr>
              <w:pStyle w:val="Compact"/>
            </w:pPr>
            <w:r>
              <w:rPr>
                <w:sz w:val="15"/>
              </w:rPr>
              <w:t xml:space="preserve">Alzheimer’s disease, driven by AChE</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0.5926</w:t>
            </w:r>
          </w:p>
        </w:tc>
        <w:tc>
          <w:tcPr/>
          <w:p>
            <w:pPr>
              <w:pStyle w:val="Compact"/>
            </w:pPr>
            <w:r>
              <w:rPr>
                <w:sz w:val="15"/>
              </w:rPr>
              <w:t xml:space="preserve">calibrated probability</w:t>
            </w:r>
          </w:p>
        </w:tc>
        <w:tc>
          <w:tcPr/>
          <w:p>
            <w:pPr>
              <w:pStyle w:val="Compact"/>
            </w:pPr>
            <w:r>
              <w:rPr>
                <w:sz w:val="15"/>
              </w:rPr>
              <w:t xml:space="preserve">training base rate 0.635; enrichment -0.067</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0.0848</w:t>
            </w:r>
          </w:p>
        </w:tc>
        <w:tc>
          <w:tcPr/>
          <w:p>
            <w:pPr>
              <w:pStyle w:val="Compact"/>
            </w:pPr>
            <w:r>
              <w:rPr>
                <w:sz w:val="15"/>
              </w:rPr>
              <w:t xml:space="preserve">calibrated probability</w:t>
            </w:r>
          </w:p>
        </w:tc>
        <w:tc>
          <w:tcPr/>
          <w:p>
            <w:pPr>
              <w:pStyle w:val="Compact"/>
            </w:pPr>
            <w:r>
              <w:rPr>
                <w:sz w:val="15"/>
              </w:rPr>
              <w:t xml:space="preserve">training base rate 0.724; enrichment -0.883</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0.1049</w:t>
            </w:r>
          </w:p>
        </w:tc>
        <w:tc>
          <w:tcPr/>
          <w:p>
            <w:pPr>
              <w:pStyle w:val="Compact"/>
            </w:pPr>
            <w:r>
              <w:rPr>
                <w:sz w:val="15"/>
              </w:rPr>
              <w:t xml:space="preserve">calibrated probability</w:t>
            </w:r>
          </w:p>
        </w:tc>
        <w:tc>
          <w:tcPr/>
          <w:p>
            <w:pPr>
              <w:pStyle w:val="Compact"/>
            </w:pPr>
            <w:r>
              <w:rPr>
                <w:sz w:val="15"/>
              </w:rPr>
              <w:t xml:space="preserve">training base rate 0.413; enrichment -0.746</w:t>
            </w:r>
          </w:p>
        </w:tc>
      </w:tr>
      <w:tr>
        <w:tc>
          <w:tcPr/>
          <w:p>
            <w:pPr>
              <w:pStyle w:val="Compact"/>
            </w:pPr>
            <w:r>
              <w:rPr>
                <w:sz w:val="15"/>
              </w:rPr>
              <w:t xml:space="preserve">withanolide A</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0.4324</w:t>
            </w:r>
          </w:p>
        </w:tc>
        <w:tc>
          <w:tcPr/>
          <w:p>
            <w:pPr>
              <w:pStyle w:val="Compact"/>
            </w:pPr>
            <w:r>
              <w:rPr>
                <w:sz w:val="15"/>
              </w:rPr>
              <w:t xml:space="preserve">Tanimoto</w:t>
            </w:r>
          </w:p>
        </w:tc>
        <w:tc>
          <w:tcPr/>
          <w:p>
            <w:pPr>
              <w:pStyle w:val="Compact"/>
            </w:pPr>
            <w:r>
              <w:rPr>
                <w:sz w:val="15"/>
              </w:rPr>
              <w:t xml:space="preserve">Near domain; nearest analogue CC(C)CCCC(C)C1CCC2C3CC=C4CC(O)CCC4(C)C3CCC12C; measured recall for compounds at this distance 0.55 (n=5,228), so a silent endpoint here is moderate evidence of inactivity</w:t>
            </w:r>
          </w:p>
        </w:tc>
      </w:tr>
      <w:tr>
        <w:tc>
          <w:tcPr/>
          <w:p>
            <w:pPr>
              <w:pStyle w:val="Compact"/>
            </w:pPr>
            <w:r>
              <w:rPr>
                <w:sz w:val="15"/>
              </w:rPr>
              <w:t xml:space="preserve">withanolide A</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0.5532</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withanolide A</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bl>
    <w:p>
      <w:pPr>
        <w:pStyle w:val="BodyText"/>
      </w:pPr>
      <w:r>
        <w:rPr>
          <w:b/>
          <w:bCs/>
        </w:rPr>
        <w:t xml:space="preserve">Reading the donepezil rows.</w:t>
      </w:r>
      <w:r>
        <w:t xml:space="preserve"> </w:t>
      </w:r>
      <w:r>
        <w:t xml:space="preserve">The AChE probability is 1.000 against a training base rate of 0.724,</w:t>
      </w:r>
      <w:r>
        <w:t xml:space="preserve"> </w:t>
      </w:r>
      <w:r>
        <w:t xml:space="preserve">an enrichment of +1.000: the model is as confident as it can be, and the enrichment confirms that the</w:t>
      </w:r>
      <w:r>
        <w:t xml:space="preserve"> </w:t>
      </w:r>
      <w:r>
        <w:t xml:space="preserve">confidence is not merely the base rate showing through. Barrier penetration is 0.991, so the exposure</w:t>
      </w:r>
      <w:r>
        <w:t xml:space="preserve"> </w:t>
      </w:r>
      <w:r>
        <w:t xml:space="preserve">gate passes essentially unattenuated, and the top condition is Alzheimer’s disease at 0.991 with AChE</w:t>
      </w:r>
      <w:r>
        <w:t xml:space="preserve"> </w:t>
      </w:r>
      <w:r>
        <w:t xml:space="preserve">named as the driver. That is the correct answer for donepezil, and it is worth saying plainly that it</w:t>
      </w:r>
      <w:r>
        <w:t xml:space="preserve"> </w:t>
      </w:r>
      <w:r>
        <w:t xml:space="preserve">is not evidence of anything: donepezil is a training compound, its domain distance is 1.000 because</w:t>
      </w:r>
      <w:r>
        <w:t xml:space="preserve"> </w:t>
      </w:r>
      <w:r>
        <w:t xml:space="preserve">it is</w:t>
      </w:r>
      <w:r>
        <w:t xml:space="preserve"> </w:t>
      </w:r>
      <w:r>
        <w:rPr>
          <w:i/>
          <w:iCs/>
        </w:rPr>
        <w:t xml:space="preserve">in</w:t>
      </w:r>
      <w:r>
        <w:t xml:space="preserve"> </w:t>
      </w:r>
      <w:r>
        <w:t xml:space="preserve">the reference library, and a system that got this wrong would be broken rather than</w:t>
      </w:r>
      <w:r>
        <w:t xml:space="preserve"> </w:t>
      </w:r>
      <w:r>
        <w:t xml:space="preserve">uninformative. The row shows what a positive looks like; it does not support a claim.</w:t>
      </w:r>
    </w:p>
    <w:p>
      <w:pPr>
        <w:pStyle w:val="BodyText"/>
      </w:pPr>
      <w:r>
        <w:t xml:space="preserve">The hERG probability of 0.734 is the more informative line. Donepezil does block hERG, and the</w:t>
      </w:r>
      <w:r>
        <w:t xml:space="preserve"> </w:t>
      </w:r>
      <w:r>
        <w:t xml:space="preserve">enrichment of +0.547 over a base rate of 0.413 says the model is reporting a genuine liability rather</w:t>
      </w:r>
      <w:r>
        <w:t xml:space="preserve"> </w:t>
      </w:r>
      <w:r>
        <w:t xml:space="preserve">than the prior. This is the safety axis doing what it exists for: the compound that scores at the top</w:t>
      </w:r>
      <w:r>
        <w:t xml:space="preserve"> </w:t>
      </w:r>
      <w:r>
        <w:t xml:space="preserve">of the efficacy axis carries a flag a medicinal chemist would need to see.</w:t>
      </w:r>
    </w:p>
    <w:p>
      <w:pPr>
        <w:pStyle w:val="BodyText"/>
      </w:pPr>
      <w:r>
        <w:rPr>
          <w:b/>
          <w:bCs/>
        </w:rPr>
        <w:t xml:space="preserve">Reading the atenolol rows.</w:t>
      </w:r>
      <w:r>
        <w:t xml:space="preserve"> </w:t>
      </w:r>
      <w:r>
        <w:t xml:space="preserve">Every target probability sits</w:t>
      </w:r>
      <w:r>
        <w:t xml:space="preserve"> </w:t>
      </w:r>
      <w:r>
        <w:rPr>
          <w:i/>
          <w:iCs/>
        </w:rPr>
        <w:t xml:space="preserve">below</w:t>
      </w:r>
      <w:r>
        <w:t xml:space="preserve"> </w:t>
      </w:r>
      <w:r>
        <w:t xml:space="preserve">its base rate, giving negative</w:t>
      </w:r>
      <w:r>
        <w:t xml:space="preserve"> </w:t>
      </w:r>
      <w:r>
        <w:t xml:space="preserve">enrichments (AChE -0.756, hERG -0.808). Under the map in section 3.7 these become an engagement</w:t>
      </w:r>
      <w:r>
        <w:t xml:space="preserve"> </w:t>
      </w:r>
      <w:r>
        <w:t xml:space="preserve">signal of exactly zero rather than a small positive number, which is the reason for using signed</w:t>
      </w:r>
      <w:r>
        <w:t xml:space="preserve"> </w:t>
      </w:r>
      <w:r>
        <w:t xml:space="preserve">enrichment instead of the raw probability. Barrier penetration is 0.473 and the top condition scores</w:t>
      </w:r>
      <w:r>
        <w:t xml:space="preserve"> </w:t>
      </w:r>
      <w:r>
        <w:t xml:space="preserve">0.0009, some three hundred times below the 0.30 reporting threshold. The server therefore says</w:t>
      </w:r>
      <w:r>
        <w:t xml:space="preserve"> </w:t>
      </w:r>
      <w:r>
        <w:t xml:space="preserve">nothing, which for a peripherally restricted beta-blocker is correct.</w:t>
      </w:r>
    </w:p>
    <w:p>
      <w:pPr>
        <w:pStyle w:val="BodyText"/>
      </w:pPr>
      <w:r>
        <w:rPr>
          <w:b/>
          <w:bCs/>
        </w:rPr>
        <w:t xml:space="preserve">Reading the withanolide rows.</w:t>
      </w:r>
      <w:r>
        <w:t xml:space="preserve"> </w:t>
      </w:r>
      <w:r>
        <w:t xml:space="preserve">The domain distance is 0.432, in the near-domain band, and the</w:t>
      </w:r>
      <w:r>
        <w:t xml:space="preserve"> </w:t>
      </w:r>
      <w:r>
        <w:t xml:space="preserve">nearest measured neighbour is a steroid rather than anything from a medicinal-chemistry series. Every</w:t>
      </w:r>
      <w:r>
        <w:t xml:space="preserve"> </w:t>
      </w:r>
      <w:r>
        <w:t xml:space="preserve">target signal is at or below base rate and the top condition scores 0.000. The line that matters is</w:t>
      </w:r>
      <w:r>
        <w:t xml:space="preserve"> </w:t>
      </w:r>
      <w:r>
        <w:t xml:space="preserve">the expected sensitivity: 0.553, against 0.862 for the two drugs above. That figure comes from the</w:t>
      </w:r>
      <w:r>
        <w:t xml:space="preserve"> </w:t>
      </w:r>
      <w:r>
        <w:t xml:space="preserve">prospective validation in section 6.5 and it changes what the silence means. For donepezil, silence</w:t>
      </w:r>
      <w:r>
        <w:t xml:space="preserve"> </w:t>
      </w:r>
      <w:r>
        <w:t xml:space="preserve">at a target would be reasonably strong evidence of inactivity. For the withanolide it is weak</w:t>
      </w:r>
      <w:r>
        <w:t xml:space="preserve"> </w:t>
      </w:r>
      <w:r>
        <w:t xml:space="preserve">evidence, because at this distance from the training chemistry the panel recovers barely half of the</w:t>
      </w:r>
      <w:r>
        <w:t xml:space="preserve"> </w:t>
      </w:r>
      <w:r>
        <w:t xml:space="preserve">activities that are really present. The server reports that number beside the result rather than</w:t>
      </w:r>
      <w:r>
        <w:t xml:space="preserve"> </w:t>
      </w:r>
      <w:r>
        <w:t xml:space="preserve">leaving a reader to assume all silences are equal.</w:t>
      </w:r>
    </w:p>
    <w:p>
      <w:pPr>
        <w:pStyle w:val="BodyText"/>
      </w:pPr>
      <w:r>
        <w:rPr>
          <w:b/>
          <w:bCs/>
        </w:rPr>
        <w:t xml:space="preserve">What a user does with this.</w:t>
      </w:r>
      <w:r>
        <w:t xml:space="preserve"> </w:t>
      </w:r>
      <w:r>
        <w:t xml:space="preserve">The output is a triage instrument, and these three compounds show the</w:t>
      </w:r>
      <w:r>
        <w:t xml:space="preserve"> </w:t>
      </w:r>
      <w:r>
        <w:t xml:space="preserve">three outcomes it can produce. A strong, gated, mechanistically named signal is a reason to look</w:t>
      </w:r>
      <w:r>
        <w:t xml:space="preserve"> </w:t>
      </w:r>
      <w:r>
        <w:t xml:space="preserve">further and tells you which assay to run first. An unambiguous silence from a compound well inside</w:t>
      </w:r>
      <w:r>
        <w:t xml:space="preserve"> </w:t>
      </w:r>
      <w:r>
        <w:t xml:space="preserve">the domain is a reason to deprioritise. A silence from a compound outside the domain is not a result</w:t>
      </w:r>
      <w:r>
        <w:t xml:space="preserve"> </w:t>
      </w:r>
      <w:r>
        <w:t xml:space="preserve">at all, and the expected-sensitivity figure exists so that it is not read as one.</w:t>
      </w:r>
    </w:p>
    <w:p>
      <w:r>
        <w:pict>
          <v:rect style="width:0;height:1.5pt" o:hralign="center" o:hrstd="t" o:hr="t"/>
        </w:pict>
      </w:r>
    </w:p>
    <w:bookmarkEnd w:id="38"/>
    <w:bookmarkEnd w:id="39"/>
    <w:bookmarkStart w:id="58"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41" name="Picture"/>
            <a:graphic>
              <a:graphicData uri="http://schemas.openxmlformats.org/drawingml/2006/picture">
                <pic:pic>
                  <pic:nvPicPr>
                    <pic:cNvPr descr="_report_figures/flowchart_4.png" id="42" name="Picture"/>
                    <pic:cNvPicPr>
                      <a:picLocks noChangeArrowheads="1" noChangeAspect="1"/>
                    </pic:cNvPicPr>
                  </pic:nvPicPr>
                  <pic:blipFill>
                    <a:blip r:embed="rId40"/>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3"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3"/>
    <w:bookmarkStart w:id="44"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4"/>
    <w:bookmarkStart w:id="45"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5"/>
    <w:bookmarkStart w:id="46"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6"/>
    <w:bookmarkStart w:id="53" w:name="external-validation"/>
    <w:p>
      <w:pPr>
        <w:pStyle w:val="Heading3"/>
      </w:pPr>
      <w:r>
        <w:t xml:space="preserve">6.5 External validation</w:t>
      </w:r>
    </w:p>
    <w:p>
      <w:pPr>
        <w:pStyle w:val="FirstParagraph"/>
      </w:pPr>
      <w:r>
        <w:t xml:space="preserve">An external test set is measured chemistry absent from training. For the barrier model one exists.</w:t>
      </w:r>
      <w:r>
        <w:t xml:space="preserve"> </w:t>
      </w:r>
      <w:r>
        <w:t xml:space="preserve">For the target panel one largely does not, and the reason is structural rather than neglect: for most</w:t>
      </w:r>
      <w:r>
        <w:t xml:space="preserve"> </w:t>
      </w:r>
      <w:r>
        <w:t xml:space="preserve">of these targets the public measured chemistry</w:t>
      </w:r>
      <w:r>
        <w:t xml:space="preserve"> </w:t>
      </w:r>
      <w:r>
        <w:rPr>
          <w:i/>
          <w:iCs/>
        </w:rPr>
        <w:t xml:space="preserve">is</w:t>
      </w:r>
      <w:r>
        <w:t xml:space="preserve"> </w:t>
      </w:r>
      <w:r>
        <w:t xml:space="preserve">the training set, so buying an independent set</w:t>
      </w:r>
      <w:r>
        <w:t xml:space="preserve"> </w:t>
      </w:r>
      <w:r>
        <w:t xml:space="preserve">would mean running new assays.</w:t>
      </w:r>
    </w:p>
    <w:p>
      <w:pPr>
        <w:pStyle w:val="BodyText"/>
      </w:pPr>
      <w:r>
        <w:t xml:space="preserve">Two kinds of independence can still be constructed from what exists. Both are reported below in full,</w:t>
      </w:r>
      <w:r>
        <w:t xml:space="preserve"> </w:t>
      </w:r>
      <w:r>
        <w:t xml:space="preserve">including the parts that do not flatter the panel.</w:t>
      </w:r>
    </w:p>
    <w:p>
      <w:pPr>
        <w:pStyle w:val="BodyText"/>
      </w:pPr>
      <w:r>
        <w:rPr>
          <w:b/>
          <w:bCs/>
        </w:rPr>
        <w:t xml:space="preserve">The barrier model against FDA-curated approved drugs.</w:t>
      </w:r>
      <w:r>
        <w:t xml:space="preserve"> </w:t>
      </w:r>
      <w:r>
        <w:t xml:space="preserve">Compounds absent from the training source</w:t>
      </w:r>
      <w:r>
        <w:t xml:space="preserve"> </w:t>
      </w:r>
      <w:r>
        <w:t xml:space="preserve">by InChIKey, scored by the deployed model.</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Start w:id="47" w:name="X6a7fe98d672c26af57bbb7a8ff86761c39141cb"/>
    <w:p>
      <w:pPr>
        <w:pStyle w:val="Heading4"/>
      </w:pPr>
      <w:r>
        <w:t xml:space="preserve">6.5.1 Prospective validation: what the panel would have said about chemistry that did not exist</w:t>
      </w:r>
    </w:p>
    <w:p>
      <w:pPr>
        <w:pStyle w:val="FirstParagraph"/>
      </w:pPr>
      <w:r>
        <w:t xml:space="preserve">Every measured row carries the year of the document it came from. Freezing the data at a year,</w:t>
      </w:r>
      <w:r>
        <w:t xml:space="preserve"> </w:t>
      </w:r>
      <w:r>
        <w:t xml:space="preserve">fitting the panel on what was known then and testing on compounds first published afterwards</w:t>
      </w:r>
      <w:r>
        <w:t xml:space="preserve"> </w:t>
      </w:r>
      <w:r>
        <w:t xml:space="preserve">reproduces the position a user is actually in. It is the accepted simulator of prospective</w:t>
      </w:r>
      <w:r>
        <w:t xml:space="preserve"> </w:t>
      </w:r>
      <w:r>
        <w:t xml:space="preserve">performance and it is stronger evidence than a random split, because a compound published after the</w:t>
      </w:r>
      <w:r>
        <w:t xml:space="preserve"> </w:t>
      </w:r>
      <w:r>
        <w:t xml:space="preserve">cutoff could not have been memorised whatever its scaffold.</w:t>
      </w:r>
    </w:p>
    <w:p>
      <w:pPr>
        <w:pStyle w:val="BodyText"/>
      </w:pPr>
      <w:r>
        <w:t xml:space="preserve">Four things make this a real test rather than a comfortable one. The models are</w:t>
      </w:r>
      <w:r>
        <w:t xml:space="preserve"> </w:t>
      </w:r>
      <w:r>
        <w:rPr>
          <w:b/>
          <w:bCs/>
        </w:rPr>
        <w:t xml:space="preserve">refitted</w:t>
      </w:r>
      <w:r>
        <w:t xml:space="preserve">, since</w:t>
      </w:r>
      <w:r>
        <w:t xml:space="preserve"> </w:t>
      </w:r>
      <w:r>
        <w:t xml:space="preserve">scoring the deployed models on post-cutoff compounds would measure nothing: they were fitted on them.</w:t>
      </w:r>
      <w:r>
        <w:t xml:space="preserve"> </w:t>
      </w:r>
      <w:r>
        <w:t xml:space="preserve">The</w:t>
      </w:r>
      <w:r>
        <w:t xml:space="preserve"> </w:t>
      </w:r>
      <w:r>
        <w:rPr>
          <w:b/>
          <w:bCs/>
        </w:rPr>
        <w:t xml:space="preserve">operating point is frozen too</w:t>
      </w:r>
      <w:r>
        <w:t xml:space="preserve">, as thresholds are quantiles of pre-cutoff held-out measured</w:t>
      </w:r>
      <w:r>
        <w:t xml:space="preserve"> </w:t>
      </w:r>
      <w:r>
        <w:t xml:space="preserve">inactives, so the sensitivity reported is what a user in the cutoff year would have got.</w:t>
      </w:r>
      <w:r>
        <w:t xml:space="preserve"> </w:t>
      </w:r>
      <w:r>
        <w:rPr>
          <w:b/>
          <w:bCs/>
        </w:rPr>
        <w:t xml:space="preserve">Decoys are</w:t>
      </w:r>
      <w:r>
        <w:rPr>
          <w:b/>
          <w:bCs/>
        </w:rPr>
        <w:t xml:space="preserve"> </w:t>
      </w:r>
      <w:r>
        <w:rPr>
          <w:b/>
          <w:bCs/>
        </w:rPr>
        <w:t xml:space="preserve">matched to pre-cutoff actives only</w:t>
      </w:r>
      <w:r>
        <w:t xml:space="preserve">, and every post-cutoff compound is barred from decoy</w:t>
      </w:r>
      <w:r>
        <w:t xml:space="preserve"> </w:t>
      </w:r>
      <w:r>
        <w:t xml:space="preserve">eligibility, so a test compound can never appear as a training negative. And each endpoint is fitted</w:t>
      </w:r>
      <w:r>
        <w:t xml:space="preserve"> </w:t>
      </w:r>
      <w:r>
        <w:t xml:space="preserve">a second time on a</w:t>
      </w:r>
      <w:r>
        <w:t xml:space="preserve"> </w:t>
      </w:r>
      <w:r>
        <w:rPr>
          <w:b/>
          <w:bCs/>
        </w:rPr>
        <w:t xml:space="preserve">size-matched random split</w:t>
      </w:r>
      <w:r>
        <w:t xml:space="preserve">, because a time split trains on less data as well as</w:t>
      </w:r>
      <w:r>
        <w:t xml:space="preserve"> </w:t>
      </w:r>
      <w:r>
        <w:t xml:space="preserve">none of the future, and without a control at the same n a drop cannot be attributed to either.</w:t>
      </w:r>
    </w:p>
    <w:p>
      <w:pPr>
        <w:pStyle w:val="BodyText"/>
      </w:pPr>
      <w:r>
        <w:t xml:space="preserve">39 of the 47 deployed endpoints carry enough dated chemistry on both sides of the wall to be</w:t>
      </w:r>
      <w:r>
        <w:t xml:space="preserve"> </w:t>
      </w:r>
      <w:r>
        <w:t xml:space="preserve">assessed. The rest are listed with their reasons in</w:t>
      </w:r>
      <w:r>
        <w:t xml:space="preserve"> </w:t>
      </w:r>
      <w:r>
        <w:rPr>
          <w:rStyle w:val="VerbatimChar"/>
        </w:rPr>
        <w:t xml:space="preserve">results/tables/external_prospective.csv</w:t>
      </w:r>
      <w:r>
        <w:t xml:space="preserve">, and</w:t>
      </w:r>
      <w:r>
        <w:t xml:space="preserve"> </w:t>
      </w:r>
      <w:r>
        <w:t xml:space="preserve">are excluded for want of post-cutoff compounds, never for a poor result.</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c>
          <w:tcPr>
            <w:shd w:val="clear" w:fill="EAF0F7"/>
          </w:tcPr>
          <w:p>
            <w:pPr>
              <w:pStyle w:val="Compact"/>
            </w:pPr>
            <w:r>
              <w:rPr>
                <w:b/>
                <w:sz w:val="17"/>
              </w:rPr>
              <w:t xml:space="preserve">deployed</w:t>
            </w:r>
          </w:p>
        </w:tc>
      </w:tr>
      <w:tr>
        <w:tc>
          <w:tcPr/>
          <w:p>
            <w:pPr>
              <w:pStyle w:val="Compact"/>
            </w:pPr>
            <w:r>
              <w:t xml:space="preserve">mean AUROC against measured inactives</w:t>
            </w:r>
          </w:p>
        </w:tc>
        <w:tc>
          <w:tcPr/>
          <w:p>
            <w:pPr>
              <w:pStyle w:val="Compact"/>
            </w:pPr>
            <w:r>
              <w:rPr>
                <w:b/>
                <w:bCs/>
              </w:rPr>
              <w:t xml:space="preserve">0.823</w:t>
            </w:r>
          </w:p>
        </w:tc>
        <w:tc>
          <w:tcPr/>
          <w:p>
            <w:pPr>
              <w:pStyle w:val="Compact"/>
            </w:pPr>
            <w:r>
              <w:t xml:space="preserve">0.951</w:t>
            </w:r>
          </w:p>
        </w:tc>
        <w:tc>
          <w:tcPr/>
          <w:p>
            <w:pPr>
              <w:pStyle w:val="Compact"/>
            </w:pPr>
            <w:r>
              <w:t xml:space="preserve">0.918</w:t>
            </w:r>
          </w:p>
        </w:tc>
      </w:tr>
      <w:tr>
        <w:tc>
          <w:tcPr/>
          <w:p>
            <w:pPr>
              <w:pStyle w:val="Compact"/>
            </w:pPr>
            <w:r>
              <w:t xml:space="preserve">mean AUROC against background chemistry</w:t>
            </w:r>
          </w:p>
        </w:tc>
        <w:tc>
          <w:tcPr/>
          <w:p>
            <w:pPr>
              <w:pStyle w:val="Compact"/>
            </w:pPr>
            <w:r>
              <w:rPr>
                <w:b/>
                <w:bCs/>
              </w:rPr>
              <w:t xml:space="preserve">0.913</w:t>
            </w:r>
          </w:p>
        </w:tc>
        <w:tc>
          <w:tcPr/>
          <w:p>
            <w:pPr>
              <w:pStyle w:val="Compact"/>
            </w:pPr>
            <w:r>
              <w:t xml:space="preserve">0.975</w:t>
            </w:r>
          </w:p>
        </w:tc>
        <w:tc>
          <w:tcPr/>
          <w:p>
            <w:pPr>
              <w:pStyle w:val="Compact"/>
            </w:pPr>
            <w:r>
              <w:t xml:space="preserve">-</w:t>
            </w:r>
          </w:p>
        </w:tc>
      </w:tr>
      <w:tr>
        <w:tc>
          <w:tcPr/>
          <w:p>
            <w:pPr>
              <w:pStyle w:val="Compact"/>
            </w:pPr>
            <w:r>
              <w:t xml:space="preserve">mean sensitivity at the frozen threshold</w:t>
            </w:r>
          </w:p>
        </w:tc>
        <w:tc>
          <w:tcPr/>
          <w:p>
            <w:pPr>
              <w:pStyle w:val="Compact"/>
            </w:pPr>
            <w:r>
              <w:rPr>
                <w:b/>
                <w:bCs/>
              </w:rPr>
              <w:t xml:space="preserve">0.489</w:t>
            </w:r>
          </w:p>
        </w:tc>
        <w:tc>
          <w:tcPr/>
          <w:p>
            <w:pPr>
              <w:pStyle w:val="Compact"/>
            </w:pPr>
            <w:r>
              <w:t xml:space="preserve">0.872</w:t>
            </w:r>
          </w:p>
        </w:tc>
        <w:tc>
          <w:tcPr/>
          <w:p>
            <w:pPr>
              <w:pStyle w:val="Compact"/>
            </w:pPr>
            <w:r>
              <w:t xml:space="preserve">0.900</w:t>
            </w:r>
          </w:p>
        </w:tc>
      </w:tr>
      <w:tr>
        <w:tc>
          <w:tcPr/>
          <w:p>
            <w:pPr>
              <w:pStyle w:val="Compact"/>
            </w:pPr>
            <w:r>
              <w:t xml:space="preserve">mean false-positive rate on background</w:t>
            </w:r>
          </w:p>
        </w:tc>
        <w:tc>
          <w:tcPr/>
          <w:p>
            <w:pPr>
              <w:pStyle w:val="Compact"/>
            </w:pPr>
            <w:r>
              <w:rPr>
                <w:b/>
                <w:bCs/>
              </w:rPr>
              <w:t xml:space="preserve">0.0373</w:t>
            </w:r>
          </w:p>
        </w:tc>
        <w:tc>
          <w:tcPr/>
          <w:p>
            <w:pPr>
              <w:pStyle w:val="Compact"/>
            </w:pPr>
            <w:r>
              <w:t xml:space="preserve">0.0376</w:t>
            </w:r>
          </w:p>
        </w:tc>
        <w:tc>
          <w:tcPr/>
          <w:p>
            <w:pPr>
              <w:pStyle w:val="Compact"/>
            </w:pPr>
            <w:r>
              <w:t xml:space="preserve">-</w:t>
            </w:r>
          </w:p>
        </w:tc>
      </w:tr>
    </w:tbl>
    <w:p>
      <w:pPr>
        <w:pStyle w:val="BodyText"/>
      </w:pPr>
      <w:r>
        <w:t xml:space="preserve">Two of those rows are reassuring and two are not, and the difference between them is the whole</w:t>
      </w:r>
      <w:r>
        <w:t xml:space="preserve"> </w:t>
      </w:r>
      <w:r>
        <w:t xml:space="preserve">result.</w:t>
      </w:r>
    </w:p>
    <w:p>
      <w:pPr>
        <w:pStyle w:val="BodyText"/>
      </w:pPr>
      <w:r>
        <w:rPr>
          <w:b/>
          <w:bCs/>
        </w:rPr>
        <w:t xml:space="preserve">Specificity transfers essentially unchanged</w:t>
      </w:r>
      <w:r>
        <w:t xml:space="preserve">, at 0.0373 against 0.0376. Whatever</w:t>
      </w:r>
      <w:r>
        <w:t xml:space="preserve"> </w:t>
      </w:r>
      <w:r>
        <w:t xml:space="preserve">a temporal wall costs, it does not make the panel reckless.</w:t>
      </w:r>
      <w:r>
        <w:t xml:space="preserve"> </w:t>
      </w:r>
      <w:r>
        <w:rPr>
          <w:b/>
          <w:bCs/>
        </w:rPr>
        <w:t xml:space="preserve">Ranking against background chemistry</w:t>
      </w:r>
      <w:r>
        <w:rPr>
          <w:b/>
          <w:bCs/>
        </w:rPr>
        <w:t xml:space="preserve"> </w:t>
      </w:r>
      <w:r>
        <w:rPr>
          <w:b/>
          <w:bCs/>
        </w:rPr>
        <w:t xml:space="preserve">survives</w:t>
      </w:r>
      <w:r>
        <w:t xml:space="preserve">, falling from 0.975 to 0.913. The panel still recognises</w:t>
      </w:r>
      <w:r>
        <w:t xml:space="preserve"> </w:t>
      </w:r>
      <w:r>
        <w:t xml:space="preserve">chemistry relevant to its target when that chemistry is new.</w:t>
      </w:r>
    </w:p>
    <w:p>
      <w:pPr>
        <w:pStyle w:val="BodyText"/>
      </w:pPr>
      <w:r>
        <w:rPr>
          <w:b/>
          <w:bCs/>
        </w:rPr>
        <w:t xml:space="preserve">Ranking against measured inactives at the same target falls</w:t>
      </w:r>
      <w:r>
        <w:t xml:space="preserve"> </w:t>
      </w:r>
      <w:r>
        <w:t xml:space="preserve">from 0.951 to</w:t>
      </w:r>
      <w:r>
        <w:t xml:space="preserve"> </w:t>
      </w:r>
      <w:r>
        <w:t xml:space="preserve">0.823 over 32 paired endpoints, and</w:t>
      </w:r>
      <w:r>
        <w:t xml:space="preserve"> </w:t>
      </w:r>
      <w:r>
        <w:rPr>
          <w:b/>
          <w:bCs/>
        </w:rPr>
        <w:t xml:space="preserve">sensitivity at the frozen</w:t>
      </w:r>
      <w:r>
        <w:rPr>
          <w:b/>
          <w:bCs/>
        </w:rPr>
        <w:t xml:space="preserve"> </w:t>
      </w:r>
      <w:r>
        <w:rPr>
          <w:b/>
          <w:bCs/>
        </w:rPr>
        <w:t xml:space="preserve">threshold falls further</w:t>
      </w:r>
      <w:r>
        <w:t xml:space="preserve">, from 0.872 to 0.489. Taken at face value those two</w:t>
      </w:r>
      <w:r>
        <w:t xml:space="preserve"> </w:t>
      </w:r>
      <w:r>
        <w:t xml:space="preserve">rows say the deployed figures overstate what a user submitting new chemistry should expect, and the</w:t>
      </w:r>
      <w:r>
        <w:t xml:space="preserve"> </w:t>
      </w:r>
      <w:r>
        <w:t xml:space="preserve">first draft of this section said exactly that. It is the wrong reading, and section 6.5.2 gives the</w:t>
      </w:r>
      <w:r>
        <w:t xml:space="preserve"> </w:t>
      </w:r>
      <w:r>
        <w:t xml:space="preserve">right one.</w:t>
      </w:r>
    </w:p>
    <w:bookmarkEnd w:id="47"/>
    <w:bookmarkStart w:id="48" w:name="the-gap-is-composition-not-decay"/>
    <w:p>
      <w:pPr>
        <w:pStyle w:val="Heading4"/>
      </w:pPr>
      <w:r>
        <w:t xml:space="preserve">6.5.2 The gap is composition, not decay</w:t>
      </w:r>
    </w:p>
    <w:p>
      <w:pPr>
        <w:pStyle w:val="FirstParagraph"/>
      </w:pPr>
      <w:r>
        <w:t xml:space="preserve">A time split flatters a field that publishes analogue series, and medicinal chemistry publishes</w:t>
      </w:r>
      <w:r>
        <w:t xml:space="preserve"> </w:t>
      </w:r>
      <w:r>
        <w:t xml:space="preserve">little else. If the compounds appearing after a cutoff are close relatives of those before it, a high</w:t>
      </w:r>
      <w:r>
        <w:t xml:space="preserve"> </w:t>
      </w:r>
      <w:r>
        <w:t xml:space="preserve">prospective score demonstrates interpolation within a series and not much more. That was the reason</w:t>
      </w:r>
      <w:r>
        <w:t xml:space="preserve"> </w:t>
      </w:r>
      <w:r>
        <w:t xml:space="preserve">for measuring, for every test compound, its maximum Tanimoto similarity to the training actives of</w:t>
      </w:r>
      <w:r>
        <w:t xml:space="preserve"> </w:t>
      </w:r>
      <w:r>
        <w:t xml:space="preserve">its own split, and for recomputing performance within bands of that distance. Both classes are</w:t>
      </w:r>
      <w:r>
        <w:t xml:space="preserve"> </w:t>
      </w:r>
      <w:r>
        <w:t xml:space="preserve">binned, so each band compares actives against measured inactives at a comparable distance from</w:t>
      </w:r>
      <w:r>
        <w:t xml:space="preserve"> </w:t>
      </w:r>
      <w:r>
        <w:t xml:space="preserve">training. Binning only the actives would produce bands whose positives are novel and whose negatives</w:t>
      </w:r>
      <w:r>
        <w:t xml:space="preserve"> </w:t>
      </w:r>
      <w:r>
        <w:t xml:space="preserve">are not, and their AUROC would measure that mismatch rather than the model.</w:t>
      </w:r>
    </w:p>
    <w:p>
      <w:pPr>
        <w:pStyle w:val="BodyText"/>
      </w:pPr>
      <w:r>
        <w:t xml:space="preserve">The stratification was built to check whether the time split was too easy. It showed something else.</w:t>
      </w:r>
    </w:p>
    <w:tbl>
      <w:tblPr>
        <w:tblStyle w:val="Table"/>
        <w:tblW w:type="pct" w:w="5000"/>
        <w:jc w:val="center"/>
        <w:tblLayout w:type="autofit"/>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blHeader w:val="true"/>
        </w:trPr>
        <w:tc>
          <w:tcPr>
            <w:shd w:val="clear" w:fill="EAF0F7"/>
          </w:tcPr>
          <w:p>
            <w:pPr>
              <w:pStyle w:val="Compact"/>
            </w:pPr>
            <w:r>
              <w:rPr>
                <w:b/>
                <w:sz w:val="17"/>
              </w:rPr>
              <w:t xml:space="preserve">source</w:t>
            </w:r>
          </w:p>
        </w:tc>
        <w:tc>
          <w:tcPr>
            <w:shd w:val="clear" w:fill="EAF0F7"/>
          </w:tcPr>
          <w:p>
            <w:pPr>
              <w:pStyle w:val="Compact"/>
            </w:pPr>
            <w:r>
              <w:rPr>
                <w:b/>
                <w:sz w:val="17"/>
              </w:rPr>
              <w:t xml:space="preserve">split</w:t>
            </w:r>
          </w:p>
        </w:tc>
        <w:tc>
          <w:tcPr>
            <w:shd w:val="clear" w:fill="EAF0F7"/>
          </w:tcPr>
          <w:p>
            <w:pPr>
              <w:pStyle w:val="Compact"/>
            </w:pPr>
            <w:r>
              <w:rPr>
                <w:b/>
                <w:sz w:val="17"/>
              </w:rPr>
              <w:t xml:space="preserve">novelty_band</w:t>
            </w:r>
          </w:p>
        </w:tc>
        <w:tc>
          <w:tcPr>
            <w:shd w:val="clear" w:fill="EAF0F7"/>
          </w:tcPr>
          <w:p>
            <w:pPr>
              <w:pStyle w:val="Compact"/>
            </w:pPr>
            <w:r>
              <w:rPr>
                <w:b/>
                <w:sz w:val="17"/>
              </w:rPr>
              <w:t xml:space="preserve">n_actives</w:t>
            </w:r>
          </w:p>
        </w:tc>
        <w:tc>
          <w:tcPr>
            <w:shd w:val="clear" w:fill="EAF0F7"/>
          </w:tcPr>
          <w:p>
            <w:pPr>
              <w:pStyle w:val="Compact"/>
            </w:pPr>
            <w:r>
              <w:rPr>
                <w:b/>
                <w:sz w:val="17"/>
              </w:rPr>
              <w:t xml:space="preserve">n_measured_inactives</w:t>
            </w:r>
          </w:p>
        </w:tc>
        <w:tc>
          <w:tcPr>
            <w:shd w:val="clear" w:fill="EAF0F7"/>
          </w:tcPr>
          <w:p>
            <w:pPr>
              <w:pStyle w:val="Compact"/>
            </w:pPr>
            <w:r>
              <w:rPr>
                <w:b/>
                <w:sz w:val="17"/>
              </w:rPr>
              <w:t xml:space="preserve">auroc</w:t>
            </w:r>
          </w:p>
        </w:tc>
        <w:tc>
          <w:tcPr>
            <w:shd w:val="clear" w:fill="EAF0F7"/>
          </w:tcPr>
          <w:p>
            <w:pPr>
              <w:pStyle w:val="Compact"/>
            </w:pPr>
            <w:r>
              <w:rPr>
                <w:b/>
                <w:sz w:val="17"/>
              </w:rPr>
              <w:t xml:space="preserve">recall_at_threshold</w:t>
            </w:r>
          </w:p>
        </w:tc>
        <w:tc>
          <w:tcPr>
            <w:shd w:val="clear" w:fill="EAF0F7"/>
          </w:tcPr>
          <w:p>
            <w:pPr>
              <w:pStyle w:val="Compact"/>
            </w:pPr>
            <w:r>
              <w:rPr>
                <w:b/>
                <w:sz w:val="17"/>
              </w:rPr>
              <w:t xml:space="preserve">fpr_at_threshold</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below 0.40 (different chemotype)</w:t>
            </w:r>
          </w:p>
        </w:tc>
        <w:tc>
          <w:tcPr/>
          <w:p>
            <w:pPr>
              <w:pStyle w:val="Compact"/>
            </w:pPr>
            <w:r>
              <w:rPr>
                <w:sz w:val="15"/>
              </w:rPr>
              <w:t xml:space="preserve">212</w:t>
            </w:r>
          </w:p>
        </w:tc>
        <w:tc>
          <w:tcPr/>
          <w:p>
            <w:pPr>
              <w:pStyle w:val="Compact"/>
            </w:pPr>
            <w:r>
              <w:rPr>
                <w:sz w:val="15"/>
              </w:rPr>
              <w:t xml:space="preserve">4190</w:t>
            </w:r>
          </w:p>
        </w:tc>
        <w:tc>
          <w:tcPr/>
          <w:p>
            <w:pPr>
              <w:pStyle w:val="Compact"/>
            </w:pPr>
            <w:r>
              <w:rPr>
                <w:sz w:val="15"/>
              </w:rPr>
              <w:t xml:space="preserve">0.7516</w:t>
            </w:r>
          </w:p>
        </w:tc>
        <w:tc>
          <w:tcPr/>
          <w:p>
            <w:pPr>
              <w:pStyle w:val="Compact"/>
            </w:pPr>
            <w:r>
              <w:rPr>
                <w:sz w:val="15"/>
              </w:rPr>
              <w:t xml:space="preserve">0.1179</w:t>
            </w:r>
          </w:p>
        </w:tc>
        <w:tc>
          <w:tcPr/>
          <w:p>
            <w:pPr>
              <w:pStyle w:val="Compact"/>
            </w:pPr>
            <w:r>
              <w:rPr>
                <w:sz w:val="15"/>
              </w:rPr>
              <w:t xml:space="preserve">0.0279</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0.40 to 0.55 (related series)</w:t>
            </w:r>
          </w:p>
        </w:tc>
        <w:tc>
          <w:tcPr/>
          <w:p>
            <w:pPr>
              <w:pStyle w:val="Compact"/>
            </w:pPr>
            <w:r>
              <w:rPr>
                <w:sz w:val="15"/>
              </w:rPr>
              <w:t xml:space="preserve">453</w:t>
            </w:r>
          </w:p>
        </w:tc>
        <w:tc>
          <w:tcPr/>
          <w:p>
            <w:pPr>
              <w:pStyle w:val="Compact"/>
            </w:pPr>
            <w:r>
              <w:rPr>
                <w:sz w:val="15"/>
              </w:rPr>
              <w:t xml:space="preserve">1331</w:t>
            </w:r>
          </w:p>
        </w:tc>
        <w:tc>
          <w:tcPr/>
          <w:p>
            <w:pPr>
              <w:pStyle w:val="Compact"/>
            </w:pPr>
            <w:r>
              <w:rPr>
                <w:sz w:val="15"/>
              </w:rPr>
              <w:t xml:space="preserve">0.8217</w:t>
            </w:r>
          </w:p>
        </w:tc>
        <w:tc>
          <w:tcPr/>
          <w:p>
            <w:pPr>
              <w:pStyle w:val="Compact"/>
            </w:pPr>
            <w:r>
              <w:rPr>
                <w:sz w:val="15"/>
              </w:rPr>
              <w:t xml:space="preserve">0.5232</w:t>
            </w:r>
          </w:p>
        </w:tc>
        <w:tc>
          <w:tcPr/>
          <w:p>
            <w:pPr>
              <w:pStyle w:val="Compact"/>
            </w:pPr>
            <w:r>
              <w:rPr>
                <w:sz w:val="15"/>
              </w:rPr>
              <w:t xml:space="preserve">0.127</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0.55 to 0.70 (same series)</w:t>
            </w:r>
          </w:p>
        </w:tc>
        <w:tc>
          <w:tcPr/>
          <w:p>
            <w:pPr>
              <w:pStyle w:val="Compact"/>
            </w:pPr>
            <w:r>
              <w:rPr>
                <w:sz w:val="15"/>
              </w:rPr>
              <w:t xml:space="preserve">1981</w:t>
            </w:r>
          </w:p>
        </w:tc>
        <w:tc>
          <w:tcPr/>
          <w:p>
            <w:pPr>
              <w:pStyle w:val="Compact"/>
            </w:pPr>
            <w:r>
              <w:rPr>
                <w:sz w:val="15"/>
              </w:rPr>
              <w:t xml:space="preserve">829</w:t>
            </w:r>
          </w:p>
        </w:tc>
        <w:tc>
          <w:tcPr/>
          <w:p>
            <w:pPr>
              <w:pStyle w:val="Compact"/>
            </w:pPr>
            <w:r>
              <w:rPr>
                <w:sz w:val="15"/>
              </w:rPr>
              <w:t xml:space="preserve">0.8379</w:t>
            </w:r>
          </w:p>
        </w:tc>
        <w:tc>
          <w:tcPr/>
          <w:p>
            <w:pPr>
              <w:pStyle w:val="Compact"/>
            </w:pPr>
            <w:r>
              <w:rPr>
                <w:sz w:val="15"/>
              </w:rPr>
              <w:t xml:space="preserve">0.7683</w:t>
            </w:r>
          </w:p>
        </w:tc>
        <w:tc>
          <w:tcPr/>
          <w:p>
            <w:pPr>
              <w:pStyle w:val="Compact"/>
            </w:pPr>
            <w:r>
              <w:rPr>
                <w:sz w:val="15"/>
              </w:rPr>
              <w:t xml:space="preserve">0.3172</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0.70 and above (close analogue)</w:t>
            </w:r>
          </w:p>
        </w:tc>
        <w:tc>
          <w:tcPr/>
          <w:p>
            <w:pPr>
              <w:pStyle w:val="Compact"/>
            </w:pPr>
            <w:r>
              <w:rPr>
                <w:sz w:val="15"/>
              </w:rPr>
              <w:t xml:space="preserve">13208</w:t>
            </w:r>
          </w:p>
        </w:tc>
        <w:tc>
          <w:tcPr/>
          <w:p>
            <w:pPr>
              <w:pStyle w:val="Compact"/>
            </w:pPr>
            <w:r>
              <w:rPr>
                <w:sz w:val="15"/>
              </w:rPr>
              <w:t xml:space="preserve">418</w:t>
            </w:r>
          </w:p>
        </w:tc>
        <w:tc>
          <w:tcPr/>
          <w:p>
            <w:pPr>
              <w:pStyle w:val="Compact"/>
            </w:pPr>
            <w:r>
              <w:rPr>
                <w:sz w:val="15"/>
              </w:rPr>
              <w:t xml:space="preserve">0.8548</w:t>
            </w:r>
          </w:p>
        </w:tc>
        <w:tc>
          <w:tcPr/>
          <w:p>
            <w:pPr>
              <w:pStyle w:val="Compact"/>
            </w:pPr>
            <w:r>
              <w:rPr>
                <w:sz w:val="15"/>
              </w:rPr>
              <w:t xml:space="preserve">0.9334</w:t>
            </w:r>
          </w:p>
        </w:tc>
        <w:tc>
          <w:tcPr/>
          <w:p>
            <w:pPr>
              <w:pStyle w:val="Compact"/>
            </w:pPr>
            <w:r>
              <w:rPr>
                <w:sz w:val="15"/>
              </w:rPr>
              <w:t xml:space="preserve">0.4976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below 0.40 (different chemotype)</w:t>
            </w:r>
          </w:p>
        </w:tc>
        <w:tc>
          <w:tcPr/>
          <w:p>
            <w:pPr>
              <w:pStyle w:val="Compact"/>
            </w:pPr>
            <w:r>
              <w:rPr>
                <w:sz w:val="15"/>
              </w:rPr>
              <w:t xml:space="preserve">4366</w:t>
            </w:r>
          </w:p>
        </w:tc>
        <w:tc>
          <w:tcPr/>
          <w:p>
            <w:pPr>
              <w:pStyle w:val="Compact"/>
            </w:pPr>
            <w:r>
              <w:rPr>
                <w:sz w:val="15"/>
              </w:rPr>
              <w:t xml:space="preserve">5395</w:t>
            </w:r>
          </w:p>
        </w:tc>
        <w:tc>
          <w:tcPr/>
          <w:p>
            <w:pPr>
              <w:pStyle w:val="Compact"/>
            </w:pPr>
            <w:r>
              <w:rPr>
                <w:sz w:val="15"/>
              </w:rPr>
              <w:t xml:space="preserve">0.6711</w:t>
            </w:r>
          </w:p>
        </w:tc>
        <w:tc>
          <w:tcPr/>
          <w:p>
            <w:pPr>
              <w:pStyle w:val="Compact"/>
            </w:pPr>
            <w:r>
              <w:rPr>
                <w:sz w:val="15"/>
              </w:rPr>
              <w:t xml:space="preserve">0.1612</w:t>
            </w:r>
          </w:p>
        </w:tc>
        <w:tc>
          <w:tcPr/>
          <w:p>
            <w:pPr>
              <w:pStyle w:val="Compact"/>
            </w:pPr>
            <w:r>
              <w:rPr>
                <w:sz w:val="15"/>
              </w:rPr>
              <w:t xml:space="preserve">0.0762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0.40 to 0.55 (related series)</w:t>
            </w:r>
          </w:p>
        </w:tc>
        <w:tc>
          <w:tcPr/>
          <w:p>
            <w:pPr>
              <w:pStyle w:val="Compact"/>
            </w:pPr>
            <w:r>
              <w:rPr>
                <w:sz w:val="15"/>
              </w:rPr>
              <w:t xml:space="preserve">5228</w:t>
            </w:r>
          </w:p>
        </w:tc>
        <w:tc>
          <w:tcPr/>
          <w:p>
            <w:pPr>
              <w:pStyle w:val="Compact"/>
            </w:pPr>
            <w:r>
              <w:rPr>
                <w:sz w:val="15"/>
              </w:rPr>
              <w:t xml:space="preserve">1003</w:t>
            </w:r>
          </w:p>
        </w:tc>
        <w:tc>
          <w:tcPr/>
          <w:p>
            <w:pPr>
              <w:pStyle w:val="Compact"/>
            </w:pPr>
            <w:r>
              <w:rPr>
                <w:sz w:val="15"/>
              </w:rPr>
              <w:t xml:space="preserve">0.7645</w:t>
            </w:r>
          </w:p>
        </w:tc>
        <w:tc>
          <w:tcPr/>
          <w:p>
            <w:pPr>
              <w:pStyle w:val="Compact"/>
            </w:pPr>
            <w:r>
              <w:rPr>
                <w:sz w:val="15"/>
              </w:rPr>
              <w:t xml:space="preserve">0.5532</w:t>
            </w:r>
          </w:p>
        </w:tc>
        <w:tc>
          <w:tcPr/>
          <w:p>
            <w:pPr>
              <w:pStyle w:val="Compact"/>
            </w:pPr>
            <w:r>
              <w:rPr>
                <w:sz w:val="15"/>
              </w:rPr>
              <w:t xml:space="preserve">0.2692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0.55 to 0.70 (same series)</w:t>
            </w:r>
          </w:p>
        </w:tc>
        <w:tc>
          <w:tcPr/>
          <w:p>
            <w:pPr>
              <w:pStyle w:val="Compact"/>
            </w:pPr>
            <w:r>
              <w:rPr>
                <w:sz w:val="15"/>
              </w:rPr>
              <w:t xml:space="preserve">3674</w:t>
            </w:r>
          </w:p>
        </w:tc>
        <w:tc>
          <w:tcPr/>
          <w:p>
            <w:pPr>
              <w:pStyle w:val="Compact"/>
            </w:pPr>
            <w:r>
              <w:rPr>
                <w:sz w:val="15"/>
              </w:rPr>
              <w:t xml:space="preserve">278</w:t>
            </w:r>
          </w:p>
        </w:tc>
        <w:tc>
          <w:tcPr/>
          <w:p>
            <w:pPr>
              <w:pStyle w:val="Compact"/>
            </w:pPr>
            <w:r>
              <w:rPr>
                <w:sz w:val="15"/>
              </w:rPr>
              <w:t xml:space="preserve">0.7871</w:t>
            </w:r>
          </w:p>
        </w:tc>
        <w:tc>
          <w:tcPr/>
          <w:p>
            <w:pPr>
              <w:pStyle w:val="Compact"/>
            </w:pPr>
            <w:r>
              <w:rPr>
                <w:sz w:val="15"/>
              </w:rPr>
              <w:t xml:space="preserve">0.7403</w:t>
            </w:r>
          </w:p>
        </w:tc>
        <w:tc>
          <w:tcPr/>
          <w:p>
            <w:pPr>
              <w:pStyle w:val="Compact"/>
            </w:pPr>
            <w:r>
              <w:rPr>
                <w:sz w:val="15"/>
              </w:rPr>
              <w:t xml:space="preserve">0.4676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0.70 and above (close analogue)</w:t>
            </w:r>
          </w:p>
        </w:tc>
        <w:tc>
          <w:tcPr/>
          <w:p>
            <w:pPr>
              <w:pStyle w:val="Compact"/>
            </w:pPr>
            <w:r>
              <w:rPr>
                <w:sz w:val="15"/>
              </w:rPr>
              <w:t xml:space="preserve">2586</w:t>
            </w:r>
          </w:p>
        </w:tc>
        <w:tc>
          <w:tcPr/>
          <w:p>
            <w:pPr>
              <w:pStyle w:val="Compact"/>
            </w:pPr>
            <w:r>
              <w:rPr>
                <w:sz w:val="15"/>
              </w:rPr>
              <w:t xml:space="preserve">92</w:t>
            </w:r>
          </w:p>
        </w:tc>
        <w:tc>
          <w:tcPr/>
          <w:p>
            <w:pPr>
              <w:pStyle w:val="Compact"/>
            </w:pPr>
            <w:r>
              <w:rPr>
                <w:sz w:val="15"/>
              </w:rPr>
              <w:t xml:space="preserve">0.8617</w:t>
            </w:r>
          </w:p>
        </w:tc>
        <w:tc>
          <w:tcPr/>
          <w:p>
            <w:pPr>
              <w:pStyle w:val="Compact"/>
            </w:pPr>
            <w:r>
              <w:rPr>
                <w:sz w:val="15"/>
              </w:rPr>
              <w:t xml:space="preserve">0.8616</w:t>
            </w:r>
          </w:p>
        </w:tc>
        <w:tc>
          <w:tcPr/>
          <w:p>
            <w:pPr>
              <w:pStyle w:val="Compact"/>
            </w:pPr>
            <w:r>
              <w:rPr>
                <w:sz w:val="15"/>
              </w:rPr>
              <w:t xml:space="preserve">0.3261</w:t>
            </w: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below 0.40 (different chemotype)</w:t>
            </w:r>
          </w:p>
        </w:tc>
        <w:tc>
          <w:tcPr/>
          <w:p>
            <w:pPr>
              <w:pStyle w:val="Compact"/>
            </w:pPr>
            <w:r>
              <w:rPr>
                <w:sz w:val="15"/>
              </w:rPr>
              <w:t xml:space="preserve">324</w:t>
            </w:r>
          </w:p>
        </w:tc>
        <w:tc>
          <w:tcPr/>
          <w:p>
            <w:pPr>
              <w:pStyle w:val="Compact"/>
            </w:pPr>
            <w:r>
              <w:rPr>
                <w:sz w:val="15"/>
              </w:rPr>
              <w:t xml:space="preserve">0</w:t>
            </w:r>
          </w:p>
        </w:tc>
        <w:tc>
          <w:tcPr/>
          <w:p>
            <w:pPr>
              <w:pStyle w:val="Compact"/>
            </w:pPr>
          </w:p>
        </w:tc>
        <w:tc>
          <w:tcPr/>
          <w:p>
            <w:pPr>
              <w:pStyle w:val="Compact"/>
            </w:pPr>
            <w:r>
              <w:rPr>
                <w:sz w:val="15"/>
              </w:rPr>
              <w:t xml:space="preserve">0.0494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0.40 to 0.55 (related series)</w:t>
            </w:r>
          </w:p>
        </w:tc>
        <w:tc>
          <w:tcPr/>
          <w:p>
            <w:pPr>
              <w:pStyle w:val="Compact"/>
            </w:pPr>
            <w:r>
              <w:rPr>
                <w:sz w:val="15"/>
              </w:rPr>
              <w:t xml:space="preserve">418</w:t>
            </w:r>
          </w:p>
        </w:tc>
        <w:tc>
          <w:tcPr/>
          <w:p>
            <w:pPr>
              <w:pStyle w:val="Compact"/>
            </w:pPr>
            <w:r>
              <w:rPr>
                <w:sz w:val="15"/>
              </w:rPr>
              <w:t xml:space="preserve">0</w:t>
            </w:r>
          </w:p>
        </w:tc>
        <w:tc>
          <w:tcPr/>
          <w:p>
            <w:pPr>
              <w:pStyle w:val="Compact"/>
            </w:pPr>
          </w:p>
        </w:tc>
        <w:tc>
          <w:tcPr/>
          <w:p>
            <w:pPr>
              <w:pStyle w:val="Compact"/>
            </w:pPr>
            <w:r>
              <w:rPr>
                <w:sz w:val="15"/>
              </w:rPr>
              <w:t xml:space="preserve">0.4641</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0.55 to 0.70 (same series)</w:t>
            </w:r>
          </w:p>
        </w:tc>
        <w:tc>
          <w:tcPr/>
          <w:p>
            <w:pPr>
              <w:pStyle w:val="Compact"/>
            </w:pPr>
            <w:r>
              <w:rPr>
                <w:sz w:val="15"/>
              </w:rPr>
              <w:t xml:space="preserve">288</w:t>
            </w:r>
          </w:p>
        </w:tc>
        <w:tc>
          <w:tcPr/>
          <w:p>
            <w:pPr>
              <w:pStyle w:val="Compact"/>
            </w:pPr>
            <w:r>
              <w:rPr>
                <w:sz w:val="15"/>
              </w:rPr>
              <w:t xml:space="preserve">0</w:t>
            </w:r>
          </w:p>
        </w:tc>
        <w:tc>
          <w:tcPr/>
          <w:p>
            <w:pPr>
              <w:pStyle w:val="Compact"/>
            </w:pPr>
          </w:p>
        </w:tc>
        <w:tc>
          <w:tcPr/>
          <w:p>
            <w:pPr>
              <w:pStyle w:val="Compact"/>
            </w:pPr>
            <w:r>
              <w:rPr>
                <w:sz w:val="15"/>
              </w:rPr>
              <w:t xml:space="preserve">0.8264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0.70 and above (close analogue)</w:t>
            </w:r>
          </w:p>
        </w:tc>
        <w:tc>
          <w:tcPr/>
          <w:p>
            <w:pPr>
              <w:pStyle w:val="Compact"/>
            </w:pPr>
            <w:r>
              <w:rPr>
                <w:sz w:val="15"/>
              </w:rPr>
              <w:t xml:space="preserve">273</w:t>
            </w:r>
          </w:p>
        </w:tc>
        <w:tc>
          <w:tcPr/>
          <w:p>
            <w:pPr>
              <w:pStyle w:val="Compact"/>
            </w:pPr>
            <w:r>
              <w:rPr>
                <w:sz w:val="15"/>
              </w:rPr>
              <w:t xml:space="preserve">0</w:t>
            </w:r>
          </w:p>
        </w:tc>
        <w:tc>
          <w:tcPr/>
          <w:p>
            <w:pPr>
              <w:pStyle w:val="Compact"/>
            </w:pPr>
          </w:p>
        </w:tc>
        <w:tc>
          <w:tcPr/>
          <w:p>
            <w:pPr>
              <w:pStyle w:val="Compact"/>
            </w:pPr>
            <w:r>
              <w:rPr>
                <w:sz w:val="15"/>
              </w:rPr>
              <w:t xml:space="preserve">0.9011</w:t>
            </w:r>
          </w:p>
        </w:tc>
        <w:tc>
          <w:tcPr/>
          <w:p>
            <w:pPr>
              <w:pStyle w:val="Compact"/>
            </w:pPr>
          </w:p>
        </w:tc>
      </w:tr>
    </w:tbl>
    <w:p>
      <w:pPr>
        <w:pStyle w:val="BodyText"/>
      </w:pPr>
      <w:r>
        <w:t xml:space="preserve">Read the two splits against each other band by band rather than in aggregate. Most of the gap</w:t>
      </w:r>
      <w:r>
        <w:t xml:space="preserve"> </w:t>
      </w:r>
      <w:r>
        <w:t xml:space="preserve">disappears. The aggregate difference of 0.128 in AUROC and 0.383 in sensitivity</w:t>
      </w:r>
      <w:r>
        <w:t xml:space="preserve"> </w:t>
      </w:r>
      <w:r>
        <w:t xml:space="preserve">falls, within a band, to at most 0.081 and 0.072 respectively; on recall the time split is</w:t>
      </w:r>
      <w:r>
        <w:t xml:space="preserve"> </w:t>
      </w:r>
      <w:r>
        <w:t xml:space="preserve">the better of the two in 2 of the 4 bands, and on AUROC in 1.</w:t>
      </w:r>
    </w:p>
    <w:p>
      <w:pPr>
        <w:pStyle w:val="BodyText"/>
      </w:pPr>
      <w:r>
        <w:t xml:space="preserve">A residual remains, and the obvious explanation for it is wrong. Coarse bands would do this if the</w:t>
      </w:r>
      <w:r>
        <w:t xml:space="preserve"> </w:t>
      </w:r>
      <w:r>
        <w:t xml:space="preserve">time split’s compounds sat further out within a band than the random control’s, but they do not:</w:t>
      </w:r>
      <w:r>
        <w:t xml:space="preserve"> </w:t>
      </w:r>
      <w:r>
        <w:t xml:space="preserve">inside the widest band, everything below 0.40, both splits have a median similarity to training of</w:t>
      </w:r>
      <w:r>
        <w:t xml:space="preserve"> </w:t>
      </w:r>
      <w:r>
        <w:t xml:space="preserve">0.319 and means within 0.002 of each other. The residual is not distance the binning failed to</w:t>
      </w:r>
      <w:r>
        <w:t xml:space="preserve"> </w:t>
      </w:r>
      <w:r>
        <w:t xml:space="preserve">capture.</w:t>
      </w:r>
    </w:p>
    <w:p>
      <w:pPr>
        <w:pStyle w:val="BodyText"/>
      </w:pPr>
      <w:r>
        <w:t xml:space="preserve">What can be said is that it cannot be attributed with this data. The random split produces very</w:t>
      </w:r>
      <w:r>
        <w:t xml:space="preserve"> </w:t>
      </w:r>
      <w:r>
        <w:t xml:space="preserve">little novel chemistry to test on, 212 actives spread across 39 endpoints, so no</w:t>
      </w:r>
      <w:r>
        <w:t xml:space="preserve"> </w:t>
      </w:r>
      <w:r>
        <w:t xml:space="preserve">single endpoint carries enough of both splits inside that band for a paired comparison, and the two</w:t>
      </w:r>
      <w:r>
        <w:t xml:space="preserve"> </w:t>
      </w:r>
      <w:r>
        <w:t xml:space="preserve">bands therefore aggregate different mixtures of endpoints. The honest summary is that chemical</w:t>
      </w:r>
      <w:r>
        <w:t xml:space="preserve"> </w:t>
      </w:r>
      <w:r>
        <w:t xml:space="preserve">distance accounts for most of the apparent temporal effect and not demonstrably all of it.</w:t>
      </w:r>
    </w:p>
    <w:p>
      <w:pPr>
        <w:pStyle w:val="BodyText"/>
      </w:pPr>
      <w:r>
        <w:t xml:space="preserve">What differs is not performance but the population being tested.</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test-set composition (actives)</w:t>
            </w: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r>
      <w:tr>
        <w:tc>
          <w:tcPr/>
          <w:p>
            <w:pPr>
              <w:pStyle w:val="Compact"/>
            </w:pPr>
            <w:r>
              <w:t xml:space="preserve">below 0.40 (different chemotype)</w:t>
            </w:r>
          </w:p>
        </w:tc>
        <w:tc>
          <w:tcPr/>
          <w:p>
            <w:pPr>
              <w:pStyle w:val="Compact"/>
            </w:pPr>
            <w:r>
              <w:t xml:space="preserve">27.5%</w:t>
            </w:r>
          </w:p>
        </w:tc>
        <w:tc>
          <w:tcPr/>
          <w:p>
            <w:pPr>
              <w:pStyle w:val="Compact"/>
            </w:pPr>
            <w:r>
              <w:t xml:space="preserve">1.3%</w:t>
            </w:r>
          </w:p>
        </w:tc>
      </w:tr>
      <w:tr>
        <w:tc>
          <w:tcPr/>
          <w:p>
            <w:pPr>
              <w:pStyle w:val="Compact"/>
            </w:pPr>
            <w:r>
              <w:t xml:space="preserve">0.40 to 0.55 (related series)</w:t>
            </w:r>
          </w:p>
        </w:tc>
        <w:tc>
          <w:tcPr/>
          <w:p>
            <w:pPr>
              <w:pStyle w:val="Compact"/>
            </w:pPr>
            <w:r>
              <w:t xml:space="preserve">33.0%</w:t>
            </w:r>
          </w:p>
        </w:tc>
        <w:tc>
          <w:tcPr/>
          <w:p>
            <w:pPr>
              <w:pStyle w:val="Compact"/>
            </w:pPr>
            <w:r>
              <w:t xml:space="preserve">2.9%</w:t>
            </w:r>
          </w:p>
        </w:tc>
      </w:tr>
      <w:tr>
        <w:tc>
          <w:tcPr/>
          <w:p>
            <w:pPr>
              <w:pStyle w:val="Compact"/>
            </w:pPr>
            <w:r>
              <w:t xml:space="preserve">0.55 to 0.70 (same series)</w:t>
            </w:r>
          </w:p>
        </w:tc>
        <w:tc>
          <w:tcPr/>
          <w:p>
            <w:pPr>
              <w:pStyle w:val="Compact"/>
            </w:pPr>
            <w:r>
              <w:t xml:space="preserve">23.2%</w:t>
            </w:r>
          </w:p>
        </w:tc>
        <w:tc>
          <w:tcPr/>
          <w:p>
            <w:pPr>
              <w:pStyle w:val="Compact"/>
            </w:pPr>
            <w:r>
              <w:t xml:space="preserve">12.5%</w:t>
            </w:r>
          </w:p>
        </w:tc>
      </w:tr>
      <w:tr>
        <w:tc>
          <w:tcPr/>
          <w:p>
            <w:pPr>
              <w:pStyle w:val="Compact"/>
            </w:pPr>
            <w:r>
              <w:t xml:space="preserve">0.70 and above (close analogue)</w:t>
            </w:r>
          </w:p>
        </w:tc>
        <w:tc>
          <w:tcPr/>
          <w:p>
            <w:pPr>
              <w:pStyle w:val="Compact"/>
            </w:pPr>
            <w:r>
              <w:t xml:space="preserve">16.3%</w:t>
            </w:r>
          </w:p>
        </w:tc>
        <w:tc>
          <w:tcPr/>
          <w:p>
            <w:pPr>
              <w:pStyle w:val="Compact"/>
            </w:pPr>
            <w:r>
              <w:t xml:space="preserve">83.3%</w:t>
            </w:r>
          </w:p>
        </w:tc>
      </w:tr>
    </w:tbl>
    <w:p>
      <w:pPr>
        <w:pStyle w:val="BodyText"/>
      </w:pPr>
      <w:r>
        <w:t xml:space="preserve">A random split of medicinal-chemistry data is barely a test. 83 per cent of its test</w:t>
      </w:r>
      <w:r>
        <w:t xml:space="preserve"> </w:t>
      </w:r>
      <w:r>
        <w:t xml:space="preserve">compounds are close analogues of something in its own training set, because the published record is</w:t>
      </w:r>
      <w:r>
        <w:t xml:space="preserve"> </w:t>
      </w:r>
      <w:r>
        <w:t xml:space="preserve">full of series and a random draw keeps most of a series on both sides of the split. The time split’s</w:t>
      </w:r>
      <w:r>
        <w:t xml:space="preserve"> </w:t>
      </w:r>
      <w:r>
        <w:t xml:space="preserve">test set is genuinely different chemistry: median similarity to training 0.50 against</w:t>
      </w:r>
      <w:r>
        <w:t xml:space="preserve"> </w:t>
      </w:r>
      <w:r>
        <w:t xml:space="preserve">0.81, with 28 per cent of it below the 0.40 that a medicinal chemist would call a</w:t>
      </w:r>
      <w:r>
        <w:t xml:space="preserve"> </w:t>
      </w:r>
      <w:r>
        <w:t xml:space="preserve">different chemotype, against 1 per cent.</w:t>
      </w:r>
    </w:p>
    <w:p>
      <w:pPr>
        <w:pStyle w:val="BodyText"/>
      </w:pPr>
      <w:r>
        <w:rPr>
          <w:b/>
          <w:bCs/>
        </w:rPr>
        <w:t xml:space="preserve">The panel’s accuracy is a function of chemical distance, not of date.</w:t>
      </w:r>
      <w:r>
        <w:t xml:space="preserve"> </w:t>
      </w:r>
      <w:r>
        <w:t xml:space="preserve">Conditioned on how far a</w:t>
      </w:r>
      <w:r>
        <w:t xml:space="preserve"> </w:t>
      </w:r>
      <w:r>
        <w:t xml:space="preserve">compound sits from the training chemistry, it makes no difference whether that compound was withheld</w:t>
      </w:r>
      <w:r>
        <w:t xml:space="preserve"> </w:t>
      </w:r>
      <w:r>
        <w:t xml:space="preserve">by year or at random. What time changes is the input distribution: compounds published later sit</w:t>
      </w:r>
      <w:r>
        <w:t xml:space="preserve"> </w:t>
      </w:r>
      <w:r>
        <w:t xml:space="preserve">further from what came before, so a time split tests the same model on harder chemistry and returns</w:t>
      </w:r>
      <w:r>
        <w:t xml:space="preserve"> </w:t>
      </w:r>
      <w:r>
        <w:t xml:space="preserve">a lower number. The dependence on distance is stable; the composition of the test set is what moved.</w:t>
      </w:r>
    </w:p>
    <w:p>
      <w:pPr>
        <w:pStyle w:val="BodyText"/>
      </w:pPr>
      <w:r>
        <w:t xml:space="preserve">That distinction is not a quibble, because the two readings imply opposite things. Temporal decay</w:t>
      </w:r>
      <w:r>
        <w:t xml:space="preserve"> </w:t>
      </w:r>
      <w:r>
        <w:t xml:space="preserve">would mean the models need periodic refitting and that their published scores expire. A stable</w:t>
      </w:r>
      <w:r>
        <w:t xml:space="preserve"> </w:t>
      </w:r>
      <w:r>
        <w:t xml:space="preserve">distance-dependence means the scores do not expire, are conditional on a quantity the server already</w:t>
      </w:r>
      <w:r>
        <w:t xml:space="preserve"> </w:t>
      </w:r>
      <w:r>
        <w:t xml:space="preserve">measures, and can be quoted for the compound in hand rather than for the average compound. The</w:t>
      </w:r>
      <w:r>
        <w:t xml:space="preserve"> </w:t>
      </w:r>
      <w:r>
        <w:t xml:space="preserve">aggregate table in 6.5.1 supports the first reading perfectly well and only the stratification</w:t>
      </w:r>
      <w:r>
        <w:t xml:space="preserve"> </w:t>
      </w:r>
      <w:r>
        <w:t xml:space="preserve">separates them, which is exactly the substitution of a compositional effect for a causal one that</w:t>
      </w:r>
      <w:r>
        <w:t xml:space="preserve"> </w:t>
      </w:r>
      <w:r>
        <w:t xml:space="preserve">this document exists to avoid. It was nearly made here.</w:t>
      </w:r>
    </w:p>
    <w:p>
      <w:pPr>
        <w:pStyle w:val="BodyText"/>
      </w:pPr>
      <w:r>
        <w:t xml:space="preserve">Three consequences follow, and they are the practical output of the exercise.</w:t>
      </w:r>
    </w:p>
    <w:p>
      <w:pPr>
        <w:pStyle w:val="BodyText"/>
      </w:pPr>
      <w:r>
        <w:rPr>
          <w:b/>
          <w:bCs/>
        </w:rPr>
        <w:t xml:space="preserve">The deployed sensitivity figures describe the wrong population.</w:t>
      </w:r>
      <w:r>
        <w:t xml:space="preserve"> </w:t>
      </w:r>
      <w:r>
        <w:t xml:space="preserve">They are measured on held-out</w:t>
      </w:r>
      <w:r>
        <w:t xml:space="preserve"> </w:t>
      </w:r>
      <w:r>
        <w:t xml:space="preserve">chemistry that is 83 per cent close analogues. A user submitting a novel scaffold is in</w:t>
      </w:r>
      <w:r>
        <w:t xml:space="preserve"> </w:t>
      </w:r>
      <w:r>
        <w:t xml:space="preserve">the leftmost band, where recall is 0.161, not the rightmost, where it is</w:t>
      </w:r>
      <w:r>
        <w:t xml:space="preserve"> </w:t>
      </w:r>
      <w:r>
        <w:t xml:space="preserve">0.862. Neither number is wrong; quoting the second alone would be.</w:t>
      </w:r>
    </w:p>
    <w:p>
      <w:pPr>
        <w:pStyle w:val="BodyText"/>
      </w:pPr>
      <w:r>
        <w:rPr>
          <w:b/>
          <w:bCs/>
        </w:rPr>
        <w:t xml:space="preserve">Performance is predictable before it is needed.</w:t>
      </w:r>
      <w:r>
        <w:t xml:space="preserve"> </w:t>
      </w:r>
      <w:r>
        <w:t xml:space="preserve">Recall is a monotone function of a quantity the</w:t>
      </w:r>
      <w:r>
        <w:t xml:space="preserve"> </w:t>
      </w:r>
      <w:r>
        <w:t xml:space="preserve">server already computes and already displays for every query. The expected sensitivity for the</w:t>
      </w:r>
      <w:r>
        <w:t xml:space="preserve"> </w:t>
      </w:r>
      <w:r>
        <w:t xml:space="preserve">compound in hand is therefore knowable at the moment of the query rather than only in aggregate.</w:t>
      </w:r>
    </w:p>
    <w:p>
      <w:pPr>
        <w:pStyle w:val="BodyText"/>
      </w:pPr>
      <w:r>
        <w:rPr>
          <w:b/>
          <w:bCs/>
        </w:rPr>
        <w:t xml:space="preserve">The applicability-domain flag earns its place in a role it was not being credited with.</w:t>
      </w:r>
      <w:r>
        <w:t xml:space="preserve"> </w:t>
      </w:r>
      <w:r>
        <w:t xml:space="preserve">Section</w:t>
      </w:r>
      <w:r>
        <w:t xml:space="preserve"> </w:t>
      </w:r>
      <w:r>
        <w:t xml:space="preserve">8.2 shows it is a weak discriminator of non-drug-like chemistry, which is what it was built to be</w:t>
      </w:r>
      <w:r>
        <w:t xml:space="preserve"> </w:t>
      </w:r>
      <w:r>
        <w:t xml:space="preserve">and what its adversarial check tests. It is a good predictor of when the panel will fall silent on a</w:t>
      </w:r>
      <w:r>
        <w:t xml:space="preserve"> </w:t>
      </w:r>
      <w:r>
        <w:t xml:space="preserve">real active. A compound the flag places near the edge of the domain is precisely the compound whose</w:t>
      </w:r>
      <w:r>
        <w:t xml:space="preserve"> </w:t>
      </w:r>
      <w:r>
        <w:t xml:space="preserve">activity the panel is most likely to miss, and that is the more useful thing for it to mean.</w:t>
      </w:r>
    </w:p>
    <w:bookmarkEnd w:id="48"/>
    <w:bookmarkStart w:id="49" w:name="the-same-test-on-the-core-endpoints"/>
    <w:p>
      <w:pPr>
        <w:pStyle w:val="Heading4"/>
      </w:pPr>
      <w:r>
        <w:t xml:space="preserve">6.5.3 The same test on the core endpoints</w:t>
      </w:r>
    </w:p>
    <w:p>
      <w:pPr>
        <w:pStyle w:val="FirstParagraph"/>
      </w:pPr>
      <w:r>
        <w:t xml:space="preserve">Section 6.2 has reported temporal AUROC for the core classifiers without the control that makes it</w:t>
      </w:r>
      <w:r>
        <w:t xml:space="preserve"> </w:t>
      </w:r>
      <w:r>
        <w:t xml:space="preserve">readable. Refitted here with a size-matched random split alongside.</w:t>
      </w:r>
    </w:p>
    <w:tbl>
      <w:tblPr>
        <w:tblStyle w:val="Table"/>
        <w:tblW w:type="pct" w:w="5000"/>
        <w:jc w:val="center"/>
        <w:tblLayout w:type="autofit"/>
        <w:tblLook w:firstRow="1" w:lastRow="0" w:firstColumn="0" w:lastColumn="0" w:noHBand="0" w:noVBand="0" w:val="0020"/>
        <w:tblLayout w:type="autofit"/>
      </w:tblPr>
      <w:tblGrid>
        <w:gridCol w:w="879"/>
        <w:gridCol w:w="879"/>
        <w:gridCol w:w="879"/>
        <w:gridCol w:w="879"/>
        <w:gridCol w:w="879"/>
        <w:gridCol w:w="879"/>
        <w:gridCol w:w="879"/>
        <w:gridCol w:w="879"/>
        <w:gridCol w:w="879"/>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time_split_score</w:t>
            </w:r>
          </w:p>
        </w:tc>
        <w:tc>
          <w:tcPr>
            <w:shd w:val="clear" w:fill="EAF0F7"/>
          </w:tcPr>
          <w:p>
            <w:pPr>
              <w:pStyle w:val="Compact"/>
            </w:pPr>
            <w:r>
              <w:rPr>
                <w:b/>
                <w:sz w:val="17"/>
              </w:rPr>
              <w:t xml:space="preserve">random_control_score</w:t>
            </w:r>
          </w:p>
        </w:tc>
        <w:tc>
          <w:tcPr>
            <w:shd w:val="clear" w:fill="EAF0F7"/>
          </w:tcPr>
          <w:p>
            <w:pPr>
              <w:pStyle w:val="Compact"/>
            </w:pPr>
            <w:r>
              <w:rPr>
                <w:b/>
                <w:sz w:val="17"/>
              </w:rPr>
              <w:t xml:space="preserve">cost_of_prospectivity</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4290</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0.7649</w:t>
            </w:r>
          </w:p>
        </w:tc>
        <w:tc>
          <w:tcPr/>
          <w:p>
            <w:pPr>
              <w:pStyle w:val="Compact"/>
            </w:pPr>
            <w:r>
              <w:rPr>
                <w:sz w:val="15"/>
              </w:rPr>
              <w:t xml:space="preserve">0.9691</w:t>
            </w:r>
          </w:p>
        </w:tc>
        <w:tc>
          <w:tcPr/>
          <w:p>
            <w:pPr>
              <w:pStyle w:val="Compact"/>
            </w:pPr>
            <w:r>
              <w:rPr>
                <w:sz w:val="15"/>
              </w:rPr>
              <w:t xml:space="preserve">0.2042</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2769</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0.8144</w:t>
            </w:r>
          </w:p>
        </w:tc>
        <w:tc>
          <w:tcPr/>
          <w:p>
            <w:pPr>
              <w:pStyle w:val="Compact"/>
            </w:pPr>
            <w:r>
              <w:rPr>
                <w:sz w:val="15"/>
              </w:rPr>
              <w:t xml:space="preserve">0.9692</w:t>
            </w:r>
          </w:p>
        </w:tc>
        <w:tc>
          <w:tcPr/>
          <w:p>
            <w:pPr>
              <w:pStyle w:val="Compact"/>
            </w:pPr>
            <w:r>
              <w:rPr>
                <w:sz w:val="15"/>
              </w:rPr>
              <w:t xml:space="preserve">0.1548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7289</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0.9131</w:t>
            </w:r>
          </w:p>
        </w:tc>
        <w:tc>
          <w:tcPr/>
          <w:p>
            <w:pPr>
              <w:pStyle w:val="Compact"/>
            </w:pPr>
            <w:r>
              <w:rPr>
                <w:sz w:val="15"/>
              </w:rPr>
              <w:t xml:space="preserve">0.9718</w:t>
            </w:r>
          </w:p>
        </w:tc>
        <w:tc>
          <w:tcPr/>
          <w:p>
            <w:pPr>
              <w:pStyle w:val="Compact"/>
            </w:pPr>
            <w:r>
              <w:rPr>
                <w:sz w:val="15"/>
              </w:rPr>
              <w:t xml:space="preserve">0.0587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5094</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0.7143</w:t>
            </w:r>
          </w:p>
        </w:tc>
        <w:tc>
          <w:tcPr/>
          <w:p>
            <w:pPr>
              <w:pStyle w:val="Compact"/>
            </w:pPr>
            <w:r>
              <w:rPr>
                <w:sz w:val="15"/>
              </w:rPr>
              <w:t xml:space="preserve">0.969</w:t>
            </w:r>
          </w:p>
        </w:tc>
        <w:tc>
          <w:tcPr/>
          <w:p>
            <w:pPr>
              <w:pStyle w:val="Compact"/>
            </w:pPr>
            <w:r>
              <w:rPr>
                <w:sz w:val="15"/>
              </w:rPr>
              <w:t xml:space="preserve">0.2547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2970</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0.7544</w:t>
            </w:r>
          </w:p>
        </w:tc>
        <w:tc>
          <w:tcPr/>
          <w:p>
            <w:pPr>
              <w:pStyle w:val="Compact"/>
            </w:pPr>
            <w:r>
              <w:rPr>
                <w:sz w:val="15"/>
              </w:rPr>
              <w:t xml:space="preserve">0.966</w:t>
            </w:r>
          </w:p>
        </w:tc>
        <w:tc>
          <w:tcPr/>
          <w:p>
            <w:pPr>
              <w:pStyle w:val="Compact"/>
            </w:pPr>
            <w:r>
              <w:rPr>
                <w:sz w:val="15"/>
              </w:rPr>
              <w:t xml:space="preserve">0.2116</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3883</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0.8429</w:t>
            </w:r>
          </w:p>
        </w:tc>
        <w:tc>
          <w:tcPr/>
          <w:p>
            <w:pPr>
              <w:pStyle w:val="Compact"/>
            </w:pPr>
            <w:r>
              <w:rPr>
                <w:sz w:val="15"/>
              </w:rPr>
              <w:t xml:space="preserve">0.9586</w:t>
            </w:r>
          </w:p>
        </w:tc>
        <w:tc>
          <w:tcPr/>
          <w:p>
            <w:pPr>
              <w:pStyle w:val="Compact"/>
            </w:pPr>
            <w:r>
              <w:rPr>
                <w:sz w:val="15"/>
              </w:rPr>
              <w:t xml:space="preserve">0.1157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8217</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0.715</w:t>
            </w:r>
          </w:p>
        </w:tc>
        <w:tc>
          <w:tcPr/>
          <w:p>
            <w:pPr>
              <w:pStyle w:val="Compact"/>
            </w:pPr>
            <w:r>
              <w:rPr>
                <w:sz w:val="15"/>
              </w:rPr>
              <w:t xml:space="preserve">0.9621</w:t>
            </w:r>
          </w:p>
        </w:tc>
        <w:tc>
          <w:tcPr/>
          <w:p>
            <w:pPr>
              <w:pStyle w:val="Compact"/>
            </w:pPr>
            <w:r>
              <w:rPr>
                <w:sz w:val="15"/>
              </w:rPr>
              <w:t xml:space="preserve">0.2471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2019</w:t>
            </w:r>
          </w:p>
        </w:tc>
        <w:tc>
          <w:tcPr/>
          <w:p>
            <w:pPr>
              <w:pStyle w:val="Compact"/>
            </w:pPr>
            <w:r>
              <w:rPr>
                <w:sz w:val="15"/>
              </w:rPr>
              <w:t xml:space="preserve">6992</w:t>
            </w:r>
          </w:p>
        </w:tc>
        <w:tc>
          <w:tcPr/>
          <w:p>
            <w:pPr>
              <w:pStyle w:val="Compact"/>
            </w:pPr>
            <w:r>
              <w:rPr>
                <w:sz w:val="15"/>
              </w:rPr>
              <w:t xml:space="preserve">1556</w:t>
            </w:r>
          </w:p>
        </w:tc>
        <w:tc>
          <w:tcPr/>
          <w:p>
            <w:pPr>
              <w:pStyle w:val="Compact"/>
            </w:pPr>
            <w:r>
              <w:rPr>
                <w:sz w:val="15"/>
              </w:rPr>
              <w:t xml:space="preserve">r2</w:t>
            </w:r>
          </w:p>
        </w:tc>
        <w:tc>
          <w:tcPr/>
          <w:p>
            <w:pPr>
              <w:pStyle w:val="Compact"/>
            </w:pPr>
            <w:r>
              <w:rPr>
                <w:sz w:val="15"/>
              </w:rPr>
              <w:t xml:space="preserve">0.1031</w:t>
            </w:r>
          </w:p>
        </w:tc>
        <w:tc>
          <w:tcPr/>
          <w:p>
            <w:pPr>
              <w:pStyle w:val="Compact"/>
            </w:pPr>
            <w:r>
              <w:rPr>
                <w:sz w:val="15"/>
              </w:rPr>
              <w:t xml:space="preserve">0.6169</w:t>
            </w:r>
          </w:p>
        </w:tc>
        <w:tc>
          <w:tcPr/>
          <w:p>
            <w:pPr>
              <w:pStyle w:val="Compact"/>
            </w:pPr>
            <w:r>
              <w:rPr>
                <w:sz w:val="15"/>
              </w:rPr>
              <w:t xml:space="preserve">0.5138</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5485</w:t>
            </w:r>
          </w:p>
        </w:tc>
        <w:tc>
          <w:tcPr/>
          <w:p>
            <w:pPr>
              <w:pStyle w:val="Compact"/>
            </w:pPr>
            <w:r>
              <w:rPr>
                <w:sz w:val="15"/>
              </w:rPr>
              <w:t xml:space="preserve">1516</w:t>
            </w:r>
          </w:p>
        </w:tc>
        <w:tc>
          <w:tcPr/>
          <w:p>
            <w:pPr>
              <w:pStyle w:val="Compact"/>
            </w:pPr>
            <w:r>
              <w:rPr>
                <w:sz w:val="15"/>
              </w:rPr>
              <w:t xml:space="preserve">r2</w:t>
            </w:r>
          </w:p>
        </w:tc>
        <w:tc>
          <w:tcPr/>
          <w:p>
            <w:pPr>
              <w:pStyle w:val="Compact"/>
            </w:pPr>
            <w:r>
              <w:rPr>
                <w:sz w:val="15"/>
              </w:rPr>
              <w:t xml:space="preserve">0.3005</w:t>
            </w:r>
          </w:p>
        </w:tc>
        <w:tc>
          <w:tcPr/>
          <w:p>
            <w:pPr>
              <w:pStyle w:val="Compact"/>
            </w:pPr>
            <w:r>
              <w:rPr>
                <w:sz w:val="15"/>
              </w:rPr>
              <w:t xml:space="preserve">0.7154</w:t>
            </w:r>
          </w:p>
        </w:tc>
        <w:tc>
          <w:tcPr/>
          <w:p>
            <w:pPr>
              <w:pStyle w:val="Compact"/>
            </w:pPr>
            <w:r>
              <w:rPr>
                <w:sz w:val="15"/>
              </w:rPr>
              <w:t xml:space="preserve">0.4149</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5407</w:t>
            </w:r>
          </w:p>
        </w:tc>
        <w:tc>
          <w:tcPr/>
          <w:p>
            <w:pPr>
              <w:pStyle w:val="Compact"/>
            </w:pPr>
            <w:r>
              <w:rPr>
                <w:sz w:val="15"/>
              </w:rPr>
              <w:t xml:space="preserve">986</w:t>
            </w:r>
          </w:p>
        </w:tc>
        <w:tc>
          <w:tcPr/>
          <w:p>
            <w:pPr>
              <w:pStyle w:val="Compact"/>
            </w:pPr>
            <w:r>
              <w:rPr>
                <w:sz w:val="15"/>
              </w:rPr>
              <w:t xml:space="preserve">r2</w:t>
            </w:r>
          </w:p>
        </w:tc>
        <w:tc>
          <w:tcPr/>
          <w:p>
            <w:pPr>
              <w:pStyle w:val="Compact"/>
            </w:pPr>
            <w:r>
              <w:rPr>
                <w:sz w:val="15"/>
              </w:rPr>
              <w:t xml:space="preserve">0.3685</w:t>
            </w:r>
          </w:p>
        </w:tc>
        <w:tc>
          <w:tcPr/>
          <w:p>
            <w:pPr>
              <w:pStyle w:val="Compact"/>
            </w:pPr>
            <w:r>
              <w:rPr>
                <w:sz w:val="15"/>
              </w:rPr>
              <w:t xml:space="preserve">0.6866</w:t>
            </w:r>
          </w:p>
        </w:tc>
        <w:tc>
          <w:tcPr/>
          <w:p>
            <w:pPr>
              <w:pStyle w:val="Compact"/>
            </w:pPr>
            <w:r>
              <w:rPr>
                <w:sz w:val="15"/>
              </w:rPr>
              <w:t xml:space="preserve">0.3181</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2015</w:t>
            </w:r>
          </w:p>
        </w:tc>
        <w:tc>
          <w:tcPr/>
          <w:p>
            <w:pPr>
              <w:pStyle w:val="Compact"/>
            </w:pPr>
            <w:r>
              <w:rPr>
                <w:sz w:val="15"/>
              </w:rPr>
              <w:t xml:space="preserve">3777</w:t>
            </w:r>
          </w:p>
        </w:tc>
        <w:tc>
          <w:tcPr/>
          <w:p>
            <w:pPr>
              <w:pStyle w:val="Compact"/>
            </w:pPr>
            <w:r>
              <w:rPr>
                <w:sz w:val="15"/>
              </w:rPr>
              <w:t xml:space="preserve">1147</w:t>
            </w:r>
          </w:p>
        </w:tc>
        <w:tc>
          <w:tcPr/>
          <w:p>
            <w:pPr>
              <w:pStyle w:val="Compact"/>
            </w:pPr>
            <w:r>
              <w:rPr>
                <w:sz w:val="15"/>
              </w:rPr>
              <w:t xml:space="preserve">r2</w:t>
            </w:r>
          </w:p>
        </w:tc>
        <w:tc>
          <w:tcPr/>
          <w:p>
            <w:pPr>
              <w:pStyle w:val="Compact"/>
            </w:pPr>
            <w:r>
              <w:rPr>
                <w:sz w:val="15"/>
              </w:rPr>
              <w:t xml:space="preserve">0.1366</w:t>
            </w:r>
          </w:p>
        </w:tc>
        <w:tc>
          <w:tcPr/>
          <w:p>
            <w:pPr>
              <w:pStyle w:val="Compact"/>
            </w:pPr>
            <w:r>
              <w:rPr>
                <w:sz w:val="15"/>
              </w:rPr>
              <w:t xml:space="preserve">0.6678</w:t>
            </w:r>
          </w:p>
        </w:tc>
        <w:tc>
          <w:tcPr/>
          <w:p>
            <w:pPr>
              <w:pStyle w:val="Compact"/>
            </w:pPr>
            <w:r>
              <w:rPr>
                <w:sz w:val="15"/>
              </w:rPr>
              <w:t xml:space="preserve">0.5312</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2016</w:t>
            </w:r>
          </w:p>
        </w:tc>
        <w:tc>
          <w:tcPr/>
          <w:p>
            <w:pPr>
              <w:pStyle w:val="Compact"/>
            </w:pPr>
            <w:r>
              <w:rPr>
                <w:sz w:val="15"/>
              </w:rPr>
              <w:t xml:space="preserve">2340</w:t>
            </w:r>
          </w:p>
        </w:tc>
        <w:tc>
          <w:tcPr/>
          <w:p>
            <w:pPr>
              <w:pStyle w:val="Compact"/>
            </w:pPr>
            <w:r>
              <w:rPr>
                <w:sz w:val="15"/>
              </w:rPr>
              <w:t xml:space="preserve">522</w:t>
            </w:r>
          </w:p>
        </w:tc>
        <w:tc>
          <w:tcPr/>
          <w:p>
            <w:pPr>
              <w:pStyle w:val="Compact"/>
            </w:pPr>
            <w:r>
              <w:rPr>
                <w:sz w:val="15"/>
              </w:rPr>
              <w:t xml:space="preserve">r2</w:t>
            </w:r>
          </w:p>
        </w:tc>
        <w:tc>
          <w:tcPr/>
          <w:p>
            <w:pPr>
              <w:pStyle w:val="Compact"/>
            </w:pPr>
            <w:r>
              <w:rPr>
                <w:sz w:val="15"/>
              </w:rPr>
              <w:t xml:space="preserve">0.0073</w:t>
            </w:r>
          </w:p>
        </w:tc>
        <w:tc>
          <w:tcPr/>
          <w:p>
            <w:pPr>
              <w:pStyle w:val="Compact"/>
            </w:pPr>
            <w:r>
              <w:rPr>
                <w:sz w:val="15"/>
              </w:rPr>
              <w:t xml:space="preserve">0.7105</w:t>
            </w:r>
          </w:p>
        </w:tc>
        <w:tc>
          <w:tcPr/>
          <w:p>
            <w:pPr>
              <w:pStyle w:val="Compact"/>
            </w:pPr>
            <w:r>
              <w:rPr>
                <w:sz w:val="15"/>
              </w:rPr>
              <w:t xml:space="preserve">0.7032</w:t>
            </w:r>
          </w:p>
        </w:tc>
      </w:tr>
    </w:tbl>
    <w:p>
      <w:pPr>
        <w:pStyle w:val="BodyText"/>
      </w:pPr>
      <w:r>
        <w:t xml:space="preserve">Across 7 classifiers the mean AUROC is 0.788 under the time split against</w:t>
      </w:r>
      <w:r>
        <w:t xml:space="preserve"> </w:t>
      </w:r>
      <w:r>
        <w:t xml:space="preserve">0.967 under the matched random control, a cost of 0.178.</w:t>
      </w:r>
    </w:p>
    <w:p>
      <w:pPr>
        <w:pStyle w:val="BodyText"/>
      </w:pPr>
      <w:r>
        <w:t xml:space="preserve">The regressors are the more interesting case, because a temporal R-squared of 0.01 to</w:t>
      </w:r>
      <w:r>
        <w:t xml:space="preserve"> </w:t>
      </w:r>
      <w:r>
        <w:t xml:space="preserve">0.37 has always looked like evidence that the receptor models barely work. Against a matched</w:t>
      </w:r>
      <w:r>
        <w:t xml:space="preserve"> </w:t>
      </w:r>
      <w:r>
        <w:t xml:space="preserve">random control averaging 0.679 they are better read as a measure of how much of a regression</w:t>
      </w:r>
      <w:r>
        <w:t xml:space="preserve"> </w:t>
      </w:r>
      <w:r>
        <w:t xml:space="preserve">score is interpolation within a published series: the mean cost of prospectivity is 0.496.</w:t>
      </w:r>
      <w:r>
        <w:t xml:space="preserve"> </w:t>
      </w:r>
      <w:r>
        <w:t xml:space="preserve">A prospective R-squared near zero on a continuous potency scale remains a real limitation and is</w:t>
      </w:r>
      <w:r>
        <w:t xml:space="preserve"> </w:t>
      </w:r>
      <w:r>
        <w:t xml:space="preserve">reported as one, but it is a statement about the temporal structure of published structure-activity</w:t>
      </w:r>
      <w:r>
        <w:t xml:space="preserve"> </w:t>
      </w:r>
      <w:r>
        <w:t xml:space="preserve">data rather than about the fitting.</w:t>
      </w:r>
    </w:p>
    <w:bookmarkEnd w:id="49"/>
    <w:bookmarkStart w:id="50" w:name="X053ffca2d4f747a4f280e2235a0af2daa20f1a1"/>
    <w:p>
      <w:pPr>
        <w:pStyle w:val="Heading4"/>
      </w:pPr>
      <w:r>
        <w:t xml:space="preserve">6.5.4 A different curator: cross-provenance validation</w:t>
      </w:r>
    </w:p>
    <w:p>
      <w:pPr>
        <w:pStyle w:val="FirstParagraph"/>
      </w:pPr>
      <w:r>
        <w:t xml:space="preserve">Time is not the only kind of independence. A model can be prospectively accurate while depending on</w:t>
      </w:r>
      <w:r>
        <w:t xml:space="preserve"> </w:t>
      </w:r>
      <w:r>
        <w:t xml:space="preserve">the habits of one curation pipeline: which assays ChEMBL selects, how it derives pChEMBL, which papers</w:t>
      </w:r>
      <w:r>
        <w:t xml:space="preserve"> </w:t>
      </w:r>
      <w:r>
        <w:t xml:space="preserve">it abstracts. Some compounds in these tables were deposited in BindingDB and are absent from ChEMBL</w:t>
      </w:r>
      <w:r>
        <w:t xml:space="preserve"> </w:t>
      </w:r>
      <w:r>
        <w:t xml:space="preserve">entirely, curated by different people from different papers. Refitting on the ChEMBL side and testing</w:t>
      </w:r>
      <w:r>
        <w:t xml:space="preserve"> </w:t>
      </w:r>
      <w:r>
        <w:t xml:space="preserve">on the BindingDB-only side asks whether the signal is a property of the chemistry or of one database’s</w:t>
      </w:r>
      <w:r>
        <w:t xml:space="preserve"> </w:t>
      </w:r>
      <w:r>
        <w:t xml:space="preserve">way of recording it.</w:t>
      </w:r>
    </w:p>
    <w:p>
      <w:pPr>
        <w:pStyle w:val="BodyText"/>
      </w:pPr>
      <w:r>
        <w:t xml:space="preserve">This test cannot report AUROC, and the reason belongs before the numbers rather than after. Every</w:t>
      </w:r>
      <w:r>
        <w:t xml:space="preserve"> </w:t>
      </w:r>
      <w:r>
        <w:t xml:space="preserve">BindingDB-only row at every endpoint is an active: BindingDB deposits affinities, so a compound absent</w:t>
      </w:r>
      <w:r>
        <w:t xml:space="preserve"> </w:t>
      </w:r>
      <w:r>
        <w:t xml:space="preserve">from ChEMBL and present there is one that somebody measured and found to bind. There are no</w:t>
      </w:r>
      <w:r>
        <w:t xml:space="preserve"> </w:t>
      </w:r>
      <w:r>
        <w:t xml:space="preserve">independently curated negatives to rank against, and manufacturing them from the background pool would</w:t>
      </w:r>
      <w:r>
        <w:t xml:space="preserve"> </w:t>
      </w:r>
      <w:r>
        <w:t xml:space="preserve">test the background pool. What is reported instead is recall at the frozen operating point, paired</w:t>
      </w:r>
      <w:r>
        <w:t xml:space="preserve"> </w:t>
      </w:r>
      <w:r>
        <w:t xml:space="preserve">with the false-positive rate that same threshold produces on background chemistry, because recall</w:t>
      </w:r>
      <w:r>
        <w:t xml:space="preserve"> </w:t>
      </w:r>
      <w:r>
        <w:t xml:space="preserve">alone is meaningless: a model answering</w:t>
      </w:r>
      <w:r>
        <w:t xml:space="preserve"> </w:t>
      </w:r>
      <w:r>
        <w:t xml:space="preserve">“active”</w:t>
      </w:r>
      <w:r>
        <w:t xml:space="preserve"> </w:t>
      </w:r>
      <w:r>
        <w:t xml:space="preserve">to everything scores 1.0.</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n_train_actives_chembl</w:t>
            </w:r>
          </w:p>
        </w:tc>
        <w:tc>
          <w:tcPr>
            <w:shd w:val="clear" w:fill="EAF0F7"/>
          </w:tcPr>
          <w:p>
            <w:pPr>
              <w:pStyle w:val="Compact"/>
            </w:pPr>
            <w:r>
              <w:rPr>
                <w:b/>
                <w:sz w:val="17"/>
              </w:rPr>
              <w:t xml:space="preserve">n_test_actives_bindingdb_only</w:t>
            </w:r>
          </w:p>
        </w:tc>
        <w:tc>
          <w:tcPr>
            <w:shd w:val="clear" w:fill="EAF0F7"/>
          </w:tcPr>
          <w:p>
            <w:pPr>
              <w:pStyle w:val="Compact"/>
            </w:pPr>
            <w:r>
              <w:rPr>
                <w:b/>
                <w:sz w:val="17"/>
              </w:rPr>
              <w:t xml:space="preserve">recall_on_external_actives</w:t>
            </w:r>
          </w:p>
        </w:tc>
        <w:tc>
          <w:tcPr>
            <w:shd w:val="clear" w:fill="EAF0F7"/>
          </w:tcPr>
          <w:p>
            <w:pPr>
              <w:pStyle w:val="Compact"/>
            </w:pPr>
            <w:r>
              <w:rPr>
                <w:b/>
                <w:sz w:val="17"/>
              </w:rPr>
              <w:t xml:space="preserve">fpr_background_at_same_threshold</w:t>
            </w:r>
          </w:p>
        </w:tc>
        <w:tc>
          <w:tcPr>
            <w:shd w:val="clear" w:fill="EAF0F7"/>
          </w:tcPr>
          <w:p>
            <w:pPr>
              <w:pStyle w:val="Compact"/>
            </w:pPr>
            <w:r>
              <w:rPr>
                <w:b/>
                <w:sz w:val="17"/>
              </w:rPr>
              <w:t xml:space="preserve">deployed_sensitivity</w:t>
            </w:r>
          </w:p>
        </w:tc>
        <w:tc>
          <w:tcPr>
            <w:shd w:val="clear" w:fill="EAF0F7"/>
          </w:tcPr>
          <w:p>
            <w:pPr>
              <w:pStyle w:val="Compact"/>
            </w:pPr>
            <w:r>
              <w:rPr>
                <w:b/>
                <w:sz w:val="17"/>
              </w:rPr>
              <w:t xml:space="preserve">median_novelty_of_test_set</w:t>
            </w:r>
          </w:p>
        </w:tc>
      </w:tr>
      <w:tr>
        <w:tc>
          <w:tcPr/>
          <w:p>
            <w:pPr>
              <w:pStyle w:val="Compact"/>
            </w:pPr>
            <w:r>
              <w:rPr>
                <w:sz w:val="15"/>
              </w:rPr>
              <w:t xml:space="preserve">A2A</w:t>
            </w:r>
          </w:p>
        </w:tc>
        <w:tc>
          <w:tcPr/>
          <w:p>
            <w:pPr>
              <w:pStyle w:val="Compact"/>
            </w:pPr>
            <w:r>
              <w:rPr>
                <w:sz w:val="15"/>
              </w:rPr>
              <w:t xml:space="preserve">3343</w:t>
            </w:r>
          </w:p>
        </w:tc>
        <w:tc>
          <w:tcPr/>
          <w:p>
            <w:pPr>
              <w:pStyle w:val="Compact"/>
            </w:pPr>
            <w:r>
              <w:rPr>
                <w:sz w:val="15"/>
              </w:rPr>
              <w:t xml:space="preserve">758</w:t>
            </w:r>
          </w:p>
        </w:tc>
        <w:tc>
          <w:tcPr/>
          <w:p>
            <w:pPr>
              <w:pStyle w:val="Compact"/>
            </w:pPr>
            <w:r>
              <w:rPr>
                <w:sz w:val="15"/>
              </w:rPr>
              <w:t xml:space="preserve">0.6332</w:t>
            </w:r>
          </w:p>
        </w:tc>
        <w:tc>
          <w:tcPr/>
          <w:p>
            <w:pPr>
              <w:pStyle w:val="Compact"/>
            </w:pPr>
            <w:r>
              <w:rPr>
                <w:sz w:val="15"/>
              </w:rPr>
              <w:t xml:space="preserve">0.0332</w:t>
            </w:r>
          </w:p>
        </w:tc>
        <w:tc>
          <w:tcPr/>
          <w:p>
            <w:pPr>
              <w:pStyle w:val="Compact"/>
            </w:pPr>
            <w:r>
              <w:rPr>
                <w:sz w:val="15"/>
              </w:rPr>
              <w:t xml:space="preserve">0.928</w:t>
            </w:r>
          </w:p>
        </w:tc>
        <w:tc>
          <w:tcPr/>
          <w:p>
            <w:pPr>
              <w:pStyle w:val="Compact"/>
            </w:pPr>
            <w:r>
              <w:rPr>
                <w:sz w:val="15"/>
              </w:rPr>
              <w:t xml:space="preserve">0.5145</w:t>
            </w:r>
          </w:p>
        </w:tc>
      </w:tr>
      <w:tr>
        <w:tc>
          <w:tcPr/>
          <w:p>
            <w:pPr>
              <w:pStyle w:val="Compact"/>
            </w:pPr>
            <w:r>
              <w:rPr>
                <w:sz w:val="15"/>
              </w:rPr>
              <w:t xml:space="preserve">D2</w:t>
            </w:r>
          </w:p>
        </w:tc>
        <w:tc>
          <w:tcPr/>
          <w:p>
            <w:pPr>
              <w:pStyle w:val="Compact"/>
            </w:pPr>
            <w:r>
              <w:rPr>
                <w:sz w:val="15"/>
              </w:rPr>
              <w:t xml:space="preserve">3571</w:t>
            </w:r>
          </w:p>
        </w:tc>
        <w:tc>
          <w:tcPr/>
          <w:p>
            <w:pPr>
              <w:pStyle w:val="Compact"/>
            </w:pPr>
            <w:r>
              <w:rPr>
                <w:sz w:val="15"/>
              </w:rPr>
              <w:t xml:space="preserve">86</w:t>
            </w:r>
          </w:p>
        </w:tc>
        <w:tc>
          <w:tcPr/>
          <w:p>
            <w:pPr>
              <w:pStyle w:val="Compact"/>
            </w:pPr>
            <w:r>
              <w:rPr>
                <w:sz w:val="15"/>
              </w:rPr>
              <w:t xml:space="preserve">0.6163</w:t>
            </w:r>
          </w:p>
        </w:tc>
        <w:tc>
          <w:tcPr/>
          <w:p>
            <w:pPr>
              <w:pStyle w:val="Compact"/>
            </w:pPr>
            <w:r>
              <w:rPr>
                <w:sz w:val="15"/>
              </w:rPr>
              <w:t xml:space="preserve">0.069</w:t>
            </w:r>
          </w:p>
        </w:tc>
        <w:tc>
          <w:tcPr/>
          <w:p>
            <w:pPr>
              <w:pStyle w:val="Compact"/>
            </w:pPr>
            <w:r>
              <w:rPr>
                <w:sz w:val="15"/>
              </w:rPr>
              <w:t xml:space="preserve">0.829</w:t>
            </w:r>
          </w:p>
        </w:tc>
        <w:tc>
          <w:tcPr/>
          <w:p>
            <w:pPr>
              <w:pStyle w:val="Compact"/>
            </w:pPr>
            <w:r>
              <w:rPr>
                <w:sz w:val="15"/>
              </w:rPr>
              <w:t xml:space="preserve">0.6257</w:t>
            </w:r>
          </w:p>
        </w:tc>
      </w:tr>
      <w:tr>
        <w:tc>
          <w:tcPr/>
          <w:p>
            <w:pPr>
              <w:pStyle w:val="Compact"/>
            </w:pPr>
            <w:r>
              <w:rPr>
                <w:sz w:val="15"/>
              </w:rPr>
              <w:t xml:space="preserve">HT2A</w:t>
            </w:r>
          </w:p>
        </w:tc>
        <w:tc>
          <w:tcPr/>
          <w:p>
            <w:pPr>
              <w:pStyle w:val="Compact"/>
            </w:pPr>
            <w:r>
              <w:rPr>
                <w:sz w:val="15"/>
              </w:rPr>
              <w:t xml:space="preserve">3358</w:t>
            </w:r>
          </w:p>
        </w:tc>
        <w:tc>
          <w:tcPr/>
          <w:p>
            <w:pPr>
              <w:pStyle w:val="Compact"/>
            </w:pPr>
            <w:r>
              <w:rPr>
                <w:sz w:val="15"/>
              </w:rPr>
              <w:t xml:space="preserve">459</w:t>
            </w:r>
          </w:p>
        </w:tc>
        <w:tc>
          <w:tcPr/>
          <w:p>
            <w:pPr>
              <w:pStyle w:val="Compact"/>
            </w:pPr>
            <w:r>
              <w:rPr>
                <w:sz w:val="15"/>
              </w:rPr>
              <w:t xml:space="preserve">0.3508</w:t>
            </w:r>
          </w:p>
        </w:tc>
        <w:tc>
          <w:tcPr/>
          <w:p>
            <w:pPr>
              <w:pStyle w:val="Compact"/>
            </w:pPr>
            <w:r>
              <w:rPr>
                <w:sz w:val="15"/>
              </w:rPr>
              <w:t xml:space="preserve">0.0657</w:t>
            </w:r>
          </w:p>
        </w:tc>
        <w:tc>
          <w:tcPr/>
          <w:p>
            <w:pPr>
              <w:pStyle w:val="Compact"/>
            </w:pPr>
            <w:r>
              <w:rPr>
                <w:sz w:val="15"/>
              </w:rPr>
              <w:t xml:space="preserve">0.846</w:t>
            </w:r>
          </w:p>
        </w:tc>
        <w:tc>
          <w:tcPr/>
          <w:p>
            <w:pPr>
              <w:pStyle w:val="Compact"/>
            </w:pPr>
            <w:r>
              <w:rPr>
                <w:sz w:val="15"/>
              </w:rPr>
              <w:t xml:space="preserve">0.5195</w:t>
            </w:r>
          </w:p>
        </w:tc>
      </w:tr>
    </w:tbl>
    <w:p>
      <w:pPr>
        <w:pStyle w:val="BodyText"/>
      </w:pPr>
      <w:r>
        <w:t xml:space="preserve">Across 3 endpoints and 1,303 independently</w:t>
      </w:r>
      <w:r>
        <w:t xml:space="preserve"> </w:t>
      </w:r>
      <w:r>
        <w:t xml:space="preserve">curated actives, of which 1,264 are distinguishable from</w:t>
      </w:r>
      <w:r>
        <w:t xml:space="preserve"> </w:t>
      </w:r>
      <w:r>
        <w:t xml:space="preserve">training in feature space, mean recall is 0.533 at a mean</w:t>
      </w:r>
      <w:r>
        <w:t xml:space="preserve"> </w:t>
      </w:r>
      <w:r>
        <w:t xml:space="preserve">background false-positive rate of 0.0560, against a mean</w:t>
      </w:r>
      <w:r>
        <w:t xml:space="preserve"> </w:t>
      </w:r>
      <w:r>
        <w:t xml:space="preserve">deployed sensitivity of 0.868 on the</w:t>
      </w:r>
      <w:r>
        <w:t xml:space="preserve"> </w:t>
      </w:r>
      <w:r>
        <w:t xml:space="preserve">same endpoints.</w:t>
      </w:r>
    </w:p>
    <w:p>
      <w:pPr>
        <w:pStyle w:val="BodyText"/>
      </w:pPr>
      <w:r>
        <w:t xml:space="preserve">Read alone that looks like a heavy cost for a change of curator. It is not: the median distance from</w:t>
      </w:r>
      <w:r>
        <w:t xml:space="preserve"> </w:t>
      </w:r>
      <w:r>
        <w:t xml:space="preserve">training of these test sets is 0.52, which is the middle of</w:t>
      </w:r>
      <w:r>
        <w:t xml:space="preserve"> </w:t>
      </w:r>
      <w:r>
        <w:t xml:space="preserve">the range, and the recall observed is what 6.5.2 predicts for compounds at that distance. Stratifying</w:t>
      </w:r>
      <w:r>
        <w:t xml:space="preserve"> </w:t>
      </w:r>
      <w:r>
        <w:t xml:space="preserve">this set the same way makes the point directly, and it is the strongest evidence in this section.</w:t>
      </w:r>
    </w:p>
    <w:bookmarkEnd w:id="50"/>
    <w:bookmarkStart w:id="51" w:name="Xd1f080ccde78397531c51d97beebb3bdf318f47"/>
    <w:p>
      <w:pPr>
        <w:pStyle w:val="Heading4"/>
      </w:pPr>
      <w:r>
        <w:t xml:space="preserve">6.5.5 The same curve from three independent test sets</w:t>
      </w:r>
    </w:p>
    <w:p>
      <w:pPr>
        <w:pStyle w:val="FirstParagraph"/>
      </w:pPr>
      <w:r>
        <w:t xml:space="preserve">Three test sets were built here by three unrelated rules: withhold the later quarter by publication</w:t>
      </w:r>
      <w:r>
        <w:t xml:space="preserve"> </w:t>
      </w:r>
      <w:r>
        <w:t xml:space="preserve">date, withhold a quarter at random, and withhold everything one database curated and the other did</w:t>
      </w:r>
      <w:r>
        <w:t xml:space="preserve"> </w:t>
      </w:r>
      <w:r>
        <w:t xml:space="preserve">not. They share no construction principle. If recall were a property of the split, they would</w:t>
      </w:r>
      <w:r>
        <w:t xml:space="preserve"> </w:t>
      </w:r>
      <w:r>
        <w:t xml:space="preserve">disagree. If it is a property of chemical distance, they should trace the same curve.</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novelty_band</w:t>
            </w:r>
          </w:p>
        </w:tc>
        <w:tc>
          <w:tcPr>
            <w:shd w:val="clear" w:fill="EAF0F7"/>
          </w:tcPr>
          <w:p>
            <w:pPr>
              <w:pStyle w:val="Compact"/>
            </w:pPr>
            <w:r>
              <w:rPr>
                <w:b/>
                <w:sz w:val="17"/>
              </w:rPr>
              <w:t xml:space="preserve">withheld by curator</w:t>
            </w:r>
          </w:p>
        </w:tc>
        <w:tc>
          <w:tcPr>
            <w:shd w:val="clear" w:fill="EAF0F7"/>
          </w:tcPr>
          <w:p>
            <w:pPr>
              <w:pStyle w:val="Compact"/>
            </w:pPr>
            <w:r>
              <w:rPr>
                <w:b/>
                <w:sz w:val="17"/>
              </w:rPr>
              <w:t xml:space="preserve">withheld at random</w:t>
            </w:r>
          </w:p>
        </w:tc>
        <w:tc>
          <w:tcPr>
            <w:shd w:val="clear" w:fill="EAF0F7"/>
          </w:tcPr>
          <w:p>
            <w:pPr>
              <w:pStyle w:val="Compact"/>
            </w:pPr>
            <w:r>
              <w:rPr>
                <w:b/>
                <w:sz w:val="17"/>
              </w:rPr>
              <w:t xml:space="preserve">withheld by date</w:t>
            </w:r>
          </w:p>
        </w:tc>
      </w:tr>
      <w:tr>
        <w:tc>
          <w:tcPr/>
          <w:p>
            <w:pPr>
              <w:pStyle w:val="Compact"/>
            </w:pPr>
            <w:r>
              <w:t xml:space="preserve">0.40 to 0.55 (related series)</w:t>
            </w:r>
          </w:p>
        </w:tc>
        <w:tc>
          <w:tcPr/>
          <w:p>
            <w:pPr>
              <w:pStyle w:val="Compact"/>
            </w:pPr>
            <w:r>
              <w:t xml:space="preserve">0.4641</w:t>
            </w:r>
          </w:p>
        </w:tc>
        <w:tc>
          <w:tcPr/>
          <w:p>
            <w:pPr>
              <w:pStyle w:val="Compact"/>
            </w:pPr>
            <w:r>
              <w:t xml:space="preserve">0.5232</w:t>
            </w:r>
          </w:p>
        </w:tc>
        <w:tc>
          <w:tcPr/>
          <w:p>
            <w:pPr>
              <w:pStyle w:val="Compact"/>
            </w:pPr>
            <w:r>
              <w:t xml:space="preserve">0.5532</w:t>
            </w:r>
          </w:p>
        </w:tc>
      </w:tr>
      <w:tr>
        <w:tc>
          <w:tcPr/>
          <w:p>
            <w:pPr>
              <w:pStyle w:val="Compact"/>
            </w:pPr>
            <w:r>
              <w:t xml:space="preserve">0.55 to 0.70 (same series)</w:t>
            </w:r>
          </w:p>
        </w:tc>
        <w:tc>
          <w:tcPr/>
          <w:p>
            <w:pPr>
              <w:pStyle w:val="Compact"/>
            </w:pPr>
            <w:r>
              <w:t xml:space="preserve">0.8264</w:t>
            </w:r>
          </w:p>
        </w:tc>
        <w:tc>
          <w:tcPr/>
          <w:p>
            <w:pPr>
              <w:pStyle w:val="Compact"/>
            </w:pPr>
            <w:r>
              <w:t xml:space="preserve">0.7683</w:t>
            </w:r>
          </w:p>
        </w:tc>
        <w:tc>
          <w:tcPr/>
          <w:p>
            <w:pPr>
              <w:pStyle w:val="Compact"/>
            </w:pPr>
            <w:r>
              <w:t xml:space="preserve">0.7403</w:t>
            </w:r>
          </w:p>
        </w:tc>
      </w:tr>
      <w:tr>
        <w:tc>
          <w:tcPr/>
          <w:p>
            <w:pPr>
              <w:pStyle w:val="Compact"/>
            </w:pPr>
            <w:r>
              <w:t xml:space="preserve">0.70 and above (close analogue)</w:t>
            </w:r>
          </w:p>
        </w:tc>
        <w:tc>
          <w:tcPr/>
          <w:p>
            <w:pPr>
              <w:pStyle w:val="Compact"/>
            </w:pPr>
            <w:r>
              <w:t xml:space="preserve">0.9011</w:t>
            </w:r>
          </w:p>
        </w:tc>
        <w:tc>
          <w:tcPr/>
          <w:p>
            <w:pPr>
              <w:pStyle w:val="Compact"/>
            </w:pPr>
            <w:r>
              <w:t xml:space="preserve">0.9334</w:t>
            </w:r>
          </w:p>
        </w:tc>
        <w:tc>
          <w:tcPr/>
          <w:p>
            <w:pPr>
              <w:pStyle w:val="Compact"/>
            </w:pPr>
            <w:r>
              <w:t xml:space="preserve">0.8616</w:t>
            </w:r>
          </w:p>
        </w:tc>
      </w:tr>
      <w:tr>
        <w:tc>
          <w:tcPr/>
          <w:p>
            <w:pPr>
              <w:pStyle w:val="Compact"/>
            </w:pPr>
            <w:r>
              <w:t xml:space="preserve">below 0.40 (different chemotype)</w:t>
            </w:r>
          </w:p>
        </w:tc>
        <w:tc>
          <w:tcPr/>
          <w:p>
            <w:pPr>
              <w:pStyle w:val="Compact"/>
            </w:pPr>
            <w:r>
              <w:t xml:space="preserve">0.0494</w:t>
            </w:r>
          </w:p>
        </w:tc>
        <w:tc>
          <w:tcPr/>
          <w:p>
            <w:pPr>
              <w:pStyle w:val="Compact"/>
            </w:pPr>
            <w:r>
              <w:t xml:space="preserve">0.1179</w:t>
            </w:r>
          </w:p>
        </w:tc>
        <w:tc>
          <w:tcPr/>
          <w:p>
            <w:pPr>
              <w:pStyle w:val="Compact"/>
            </w:pPr>
            <w:r>
              <w:t xml:space="preserve">0.1612</w:t>
            </w:r>
          </w:p>
        </w:tc>
      </w:tr>
    </w:tbl>
    <w:p>
      <w:pPr>
        <w:pStyle w:val="BodyText"/>
      </w:pPr>
      <w:r>
        <w:t xml:space="preserve">They trace the same curve. A cross-provenance test set, built by a rule that knows nothing about</w:t>
      </w:r>
      <w:r>
        <w:t xml:space="preserve"> </w:t>
      </w:r>
      <w:r>
        <w:t xml:space="preserve">dates and nothing about the random seed, reproduces the recall-versus-distance relationship of both</w:t>
      </w:r>
      <w:r>
        <w:t xml:space="preserve"> </w:t>
      </w:r>
      <w:r>
        <w:t xml:space="preserve">others. That is convergent evidence, and it is worth more than any single one of the three, because</w:t>
      </w:r>
      <w:r>
        <w:t xml:space="preserve"> </w:t>
      </w:r>
      <w:r>
        <w:t xml:space="preserve">the ways in which these three sets could be individually misleading do not overlap.</w:t>
      </w:r>
    </w:p>
    <w:p>
      <w:pPr>
        <w:pStyle w:val="BodyText"/>
      </w:pPr>
      <w:r>
        <w:t xml:space="preserve">It also settles what the cross-provenance number means. A change of curator costs almost nothing once</w:t>
      </w:r>
      <w:r>
        <w:t xml:space="preserve"> </w:t>
      </w:r>
      <w:r>
        <w:t xml:space="preserve">distance is accounted for. What it changes is which compounds are available to test on, and the</w:t>
      </w:r>
      <w:r>
        <w:t xml:space="preserve"> </w:t>
      </w:r>
      <w:r>
        <w:t xml:space="preserve">compounds one database holds and another does not are, unsurprisingly, not the ones both already</w:t>
      </w:r>
      <w:r>
        <w:t xml:space="preserve"> </w:t>
      </w:r>
      <w:r>
        <w:t xml:space="preserve">agreed about.</w:t>
      </w:r>
    </w:p>
    <w:bookmarkEnd w:id="51"/>
    <w:bookmarkStart w:id="52" w:name="Xd102fcf55affc6cb49f791eade9e458159c03ab"/>
    <w:p>
      <w:pPr>
        <w:pStyle w:val="Heading4"/>
      </w:pPr>
      <w:r>
        <w:t xml:space="preserve">6.5.6 What this programme does and does not establish</w:t>
      </w:r>
    </w:p>
    <w:p>
      <w:pPr>
        <w:pStyle w:val="FirstParagraph"/>
      </w:pPr>
      <w:r>
        <w:t xml:space="preserve">It establishes four things. The panel’s</w:t>
      </w:r>
      <w:r>
        <w:t xml:space="preserve"> </w:t>
      </w:r>
      <w:r>
        <w:rPr>
          <w:b/>
          <w:bCs/>
        </w:rPr>
        <w:t xml:space="preserve">specificity is robust</w:t>
      </w:r>
      <w:r>
        <w:t xml:space="preserve"> </w:t>
      </w:r>
      <w:r>
        <w:t xml:space="preserve">to both kinds of independence</w:t>
      </w:r>
      <w:r>
        <w:t xml:space="preserve"> </w:t>
      </w:r>
      <w:r>
        <w:t xml:space="preserve">tested: the false-positive rate on background chemistry barely moves. Its</w:t>
      </w:r>
      <w:r>
        <w:t xml:space="preserve"> </w:t>
      </w:r>
      <w:r>
        <w:rPr>
          <w:b/>
          <w:bCs/>
        </w:rPr>
        <w:t xml:space="preserve">ranking against</w:t>
      </w:r>
      <w:r>
        <w:rPr>
          <w:b/>
          <w:bCs/>
        </w:rPr>
        <w:t xml:space="preserve"> </w:t>
      </w:r>
      <w:r>
        <w:rPr>
          <w:b/>
          <w:bCs/>
        </w:rPr>
        <w:t xml:space="preserve">background chemistry is largely preserved</w:t>
      </w:r>
      <w:r>
        <w:t xml:space="preserve"> </w:t>
      </w:r>
      <w:r>
        <w:t xml:space="preserve">on chemistry it has not seen. Its</w:t>
      </w:r>
      <w:r>
        <w:t xml:space="preserve"> </w:t>
      </w:r>
      <w:r>
        <w:rPr>
          <w:b/>
          <w:bCs/>
        </w:rPr>
        <w:t xml:space="preserve">recall is a function</w:t>
      </w:r>
      <w:r>
        <w:rPr>
          <w:b/>
          <w:bCs/>
        </w:rPr>
        <w:t xml:space="preserve"> </w:t>
      </w:r>
      <w:r>
        <w:rPr>
          <w:b/>
          <w:bCs/>
        </w:rPr>
        <w:t xml:space="preserve">of chemical distance rather than of publication date</w:t>
      </w:r>
      <w:r>
        <w:t xml:space="preserve">, traced by three test sets built on unrelated</w:t>
      </w:r>
      <w:r>
        <w:t xml:space="preserve"> </w:t>
      </w:r>
      <w:r>
        <w:t xml:space="preserve">principles, so the published scores do not expire and can be conditioned on a quantity the server</w:t>
      </w:r>
      <w:r>
        <w:t xml:space="preserve"> </w:t>
      </w:r>
      <w:r>
        <w:t xml:space="preserve">already computes for every query. And</w:t>
      </w:r>
      <w:r>
        <w:t xml:space="preserve"> </w:t>
      </w:r>
      <w:r>
        <w:rPr>
          <w:b/>
          <w:bCs/>
        </w:rPr>
        <w:t xml:space="preserve">sensitivity is the weakest of its claims</w:t>
      </w:r>
      <w:r>
        <w:t xml:space="preserve"> </w:t>
      </w:r>
      <w:r>
        <w:t xml:space="preserve">where the</w:t>
      </w:r>
      <w:r>
        <w:t xml:space="preserve"> </w:t>
      </w:r>
      <w:r>
        <w:t xml:space="preserve">chemistry is genuinely novel: a compound more than 0.60 Tanimoto from anything measured is one the</w:t>
      </w:r>
      <w:r>
        <w:t xml:space="preserve"> </w:t>
      </w:r>
      <w:r>
        <w:t xml:space="preserve">panel will more often than not fail to call, whatever its true activity.</w:t>
      </w:r>
    </w:p>
    <w:p>
      <w:pPr>
        <w:pStyle w:val="BodyText"/>
      </w:pPr>
      <w:r>
        <w:t xml:space="preserve">What it does not establish is equally worth stating. Recall on genuinely distant chemistry is poor in</w:t>
      </w:r>
      <w:r>
        <w:t xml:space="preserve"> </w:t>
      </w:r>
      <w:r>
        <w:t xml:space="preserve">absolute terms and no analysis here improves it; the finding is that the poor number is predictable,</w:t>
      </w:r>
      <w:r>
        <w:t xml:space="preserve"> </w:t>
      </w:r>
      <w:r>
        <w:t xml:space="preserve">not that it is better than it looked. The residual difference between the splits within a novelty</w:t>
      </w:r>
      <w:r>
        <w:t xml:space="preserve"> </w:t>
      </w:r>
      <w:r>
        <w:t xml:space="preserve">band is unexplained rather than explained away. And the cross-provenance arm rests on three</w:t>
      </w:r>
      <w:r>
        <w:t xml:space="preserve"> </w:t>
      </w:r>
      <w:r>
        <w:t xml:space="preserve">endpoints, because the number of compounds one database holds at pChEMBL 7 or above and the other</w:t>
      </w:r>
      <w:r>
        <w:t xml:space="preserve"> </w:t>
      </w:r>
      <w:r>
        <w:t xml:space="preserve">lacks is small.</w:t>
      </w:r>
    </w:p>
    <w:p>
      <w:pPr>
        <w:pStyle w:val="BodyText"/>
      </w:pPr>
      <w:r>
        <w:t xml:space="preserve">It does not establish prospective performance in the strict sense, because no compound here was</w:t>
      </w:r>
      <w:r>
        <w:t xml:space="preserve"> </w:t>
      </w:r>
      <w:r>
        <w:t xml:space="preserve">predicted before it was measured: the dates are real but the analysis is retrospective. It does not</w:t>
      </w:r>
      <w:r>
        <w:t xml:space="preserve"> </w:t>
      </w:r>
      <w:r>
        <w:t xml:space="preserve">replace an external set for the target panel. It does not extend to targets whose chemistry appeared</w:t>
      </w:r>
      <w:r>
        <w:t xml:space="preserve"> </w:t>
      </w:r>
      <w:r>
        <w:t xml:space="preserve">in a single burst of publications, which are excluded for want of anything on the far side of the</w:t>
      </w:r>
      <w:r>
        <w:t xml:space="preserve"> </w:t>
      </w:r>
      <w:r>
        <w:t xml:space="preserve">wall. The correct description of this server’s evidence is therefore unchanged in kind and much</w:t>
      </w:r>
      <w:r>
        <w:t xml:space="preserve"> </w:t>
      </w:r>
      <w:r>
        <w:t xml:space="preserve">larger in extent: one genuine external set for the barrier model, and for the target panel a</w:t>
      </w:r>
      <w:r>
        <w:t xml:space="preserve"> </w:t>
      </w:r>
      <w:r>
        <w:t xml:space="preserve">prospective simulation whose numbers are reported whether or not they flatter it.</w:t>
      </w:r>
    </w:p>
    <w:bookmarkEnd w:id="52"/>
    <w:bookmarkEnd w:id="53"/>
    <w:bookmarkStart w:id="54"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6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PASS</w:t>
            </w:r>
          </w:p>
        </w:tc>
        <w:tc>
          <w:tcPr/>
          <w:p>
            <w:pPr>
              <w:pStyle w:val="Compact"/>
            </w:pPr>
            <w:r>
              <w:t xml:space="preserve">median max-similarity: unseen drugs 0.59 vs non-drug-like 0.47 (n=25), Mann-Whitney p=1.11e-03; only 20% of non-drug-like structures fall below the AD_THRESHOLD of 0.3. Controls are restricted to chemistry genuinely absent from the reference: 28 of the original controls are measured compounds in the library, where in-domain is correct</w:t>
            </w:r>
          </w:p>
        </w:tc>
      </w:tr>
    </w:tbl>
    <w:p>
      <w:pPr>
        <w:pStyle w:val="BodyText"/>
      </w:pPr>
      <w:r>
        <w:t xml:space="preserve">All six pass, but one of them passes only after its controls were corrected, and the distinction</w:t>
      </w:r>
      <w:r>
        <w:t xml:space="preserve"> </w:t>
      </w:r>
      <w:r>
        <w:t xml:space="preserve">matters. The domain-flag check previously failed because 28 of its controls were measured compounds</w:t>
      </w:r>
      <w:r>
        <w:t xml:space="preserve"> </w:t>
      </w:r>
      <w:r>
        <w:t xml:space="preserve">inside the flag’s own reference library, where in-domain is the truthful answer. The passing</w:t>
      </w:r>
      <w:r>
        <w:t xml:space="preserve"> </w:t>
      </w:r>
      <w:r>
        <w:t xml:space="preserve">criterion was not moved. Section 8.2 sets out the change and what it does not repair: the flag is a</w:t>
      </w:r>
      <w:r>
        <w:t xml:space="preserve"> </w:t>
      </w:r>
      <w:r>
        <w:t xml:space="preserve">weak signal, and the conformal interval and the nearest-analogue distance remain the stronger</w:t>
      </w:r>
      <w:r>
        <w:t xml:space="preserve"> </w:t>
      </w:r>
      <w:r>
        <w:t xml:space="preserve">statements of confidence.</w:t>
      </w:r>
    </w:p>
    <w:bookmarkEnd w:id="54"/>
    <w:bookmarkStart w:id="55"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A suite of 9 hypotheses was therefore written, each stating a claim the</w:t>
      </w:r>
      <w:r>
        <w:t xml:space="preserve"> </w:t>
      </w:r>
      <w:r>
        <w:t xml:space="preserve">system makes about itself and each paired with a null model capable of producing the same apparent</w:t>
      </w:r>
      <w:r>
        <w:t xml:space="preserve"> </w:t>
      </w:r>
      <w:r>
        <w:t xml:space="preserve">success by accident, and each was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9 hypotheses were refuted and only</w:t>
      </w:r>
      <w:r>
        <w:rPr>
          <w:b/>
          <w:bCs/>
        </w:rPr>
        <w:t xml:space="preserve"> </w:t>
      </w:r>
      <w:r>
        <w:rPr>
          <w:b/>
          <w:bCs/>
        </w:rPr>
        <w:t xml:space="preserve">4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0.790 vs permutation null 0.163 (p=0.005) and frequency null 0.551</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0.7901, uniform 0.7897, permuted 0.7874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0.051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37 targets ranks below AUROC 0.70; the cause is the operating point, with median deployed sensitivity 0.79 and 6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36 targets fire across approved drugs but span only 16 independent directions; 5 homologous pairs correlate above 0.5</w:t>
            </w:r>
          </w:p>
        </w:tc>
      </w:tr>
      <w:tr>
        <w:tc>
          <w:tcPr/>
          <w:p>
            <w:pPr>
              <w:pStyle w:val="Compact"/>
            </w:pPr>
            <w:r>
              <w:t xml:space="preserve">H9 the disease layer discriminates between compounds, not just between base rates</w:t>
            </w:r>
          </w:p>
        </w:tc>
        <w:tc>
          <w:tcPr/>
          <w:p>
            <w:pPr>
              <w:pStyle w:val="Compact"/>
            </w:pPr>
            <w:r>
              <w:t xml:space="preserve">SUPPORTED</w:t>
            </w:r>
          </w:p>
        </w:tc>
        <w:tc>
          <w:tcPr/>
          <w:p>
            <w:pPr>
              <w:pStyle w:val="Compact"/>
            </w:pPr>
            <w:r>
              <w:t xml:space="preserve">mean per-indication AUROC 0.603 against 0.500 for any constant predictor, beating chance on 7 of 9 indications; macro-averaged top-3 recall 0.385 against 0.333</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55"/>
    <w:bookmarkStart w:id="56"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56"/>
    <w:bookmarkStart w:id="57" w:name="leakage-and-null-models"/>
    <w:p>
      <w:pPr>
        <w:pStyle w:val="Heading3"/>
      </w:pPr>
      <w:r>
        <w:t xml:space="preserve">6.9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57"/>
    <w:bookmarkEnd w:id="58"/>
    <w:bookmarkStart w:id="63"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9"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9"/>
    <w:bookmarkStart w:id="60"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60"/>
    <w:bookmarkStart w:id="61"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61"/>
    <w:bookmarkStart w:id="62"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62"/>
    <w:bookmarkEnd w:id="63"/>
    <w:bookmarkStart w:id="71"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64"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p>
    <w:p>
      <w:r>
        <w:pict>
          <v:rect style="width:0;height:1.5pt" o:hralign="center" o:hrstd="t" o:hr="t"/>
        </w:pict>
      </w:r>
    </w:p>
    <w:bookmarkEnd w:id="64"/>
    <w:bookmarkStart w:id="70" w:name="X07b8c6069856654fbd18aef0ac8f3d4162bf50f"/>
    <w:p>
      <w:pPr>
        <w:pStyle w:val="Heading3"/>
      </w:pPr>
      <w:r>
        <w:t xml:space="preserve">8.2 Criticisms anticipated, and what the evidence says</w:t>
      </w:r>
    </w:p>
    <w:p>
      <w:pPr>
        <w:pStyle w:val="FirstParagraph"/>
      </w:pPr>
      <w:r>
        <w:t xml:space="preserve">Five objections are foreseeable, and each is answered here with a measurement rather than an</w:t>
      </w:r>
      <w:r>
        <w:t xml:space="preserve"> </w:t>
      </w:r>
      <w:r>
        <w:t xml:space="preserve">argument. Two of them turned out to be right, one turned out to be a defect in the test rather than</w:t>
      </w:r>
      <w:r>
        <w:t xml:space="preserve"> </w:t>
      </w:r>
      <w:r>
        <w:t xml:space="preserve">in the tool, and two are bounded more narrowly than the objection assumes.</w:t>
      </w:r>
    </w:p>
    <w:bookmarkStart w:id="65" w:name="Xecedc707b5cf7251c69af4fc0729d2319c99899"/>
    <w:p>
      <w:pPr>
        <w:pStyle w:val="Heading4"/>
      </w:pPr>
      <w:r>
        <w:t xml:space="preserve">8.2.1 The disease layer does not beat a frequency baseline</w:t>
      </w:r>
    </w:p>
    <w:p>
      <w:pPr>
        <w:pStyle w:val="FirstParagraph"/>
      </w:pPr>
      <w:r>
        <w:rPr>
          <w:b/>
          <w:bCs/>
        </w:rPr>
        <w:t xml:space="preserve">Partly right, and the comparison is the wrong one.</w:t>
      </w:r>
      <w:r>
        <w:t xml:space="preserve"> </w:t>
      </w:r>
      <w:r>
        <w:t xml:space="preserve">On top-3 accuracy over drugs never seen in</w:t>
      </w:r>
      <w:r>
        <w:t xml:space="preserve"> </w:t>
      </w:r>
      <w:r>
        <w:t xml:space="preserve">training the layer scores 0.352 against a frequency null of 0.654, and that is reported as it stands.</w:t>
      </w:r>
      <w:r>
        <w:t xml:space="preserve"> </w:t>
      </w:r>
      <w:r>
        <w:t xml:space="preserve">But the frequency null answers</w:t>
      </w:r>
      <w:r>
        <w:t xml:space="preserve"> </w:t>
      </w:r>
      <w:r>
        <w:rPr>
          <w:i/>
          <w:iCs/>
        </w:rPr>
        <w:t xml:space="preserve">chronic pain, depression, psychosis</w:t>
      </w:r>
      <w:r>
        <w:t xml:space="preserve"> </w:t>
      </w:r>
      <w:r>
        <w:t xml:space="preserve">for every compound it is shown.</w:t>
      </w:r>
      <w:r>
        <w:t xml:space="preserve"> </w:t>
      </w:r>
      <w:r>
        <w:t xml:space="preserve">It is right often because 40 per cent of approved CNS drugs treat chronic pain, not because it knows</w:t>
      </w:r>
      <w:r>
        <w:t xml:space="preserve"> </w:t>
      </w:r>
      <w:r>
        <w:t xml:space="preserve">anything, and it cannot rank one molecule against another, which is the only thing a triage tool is</w:t>
      </w:r>
      <w:r>
        <w:t xml:space="preserve"> </w:t>
      </w:r>
      <w:r>
        <w:t xml:space="preserve">for. Top-k accuracy against a constant predictor rewards guessing the base rate.</w:t>
      </w:r>
    </w:p>
    <w:p>
      <w:pPr>
        <w:pStyle w:val="BodyText"/>
      </w:pPr>
      <w:r>
        <w:t xml:space="preserve">Two metrics a constant predictor cannot pass were therefore measured, on the same 162 drugs:</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indication</w:t>
            </w:r>
          </w:p>
        </w:tc>
        <w:tc>
          <w:tcPr>
            <w:shd w:val="clear" w:fill="EAF0F7"/>
          </w:tcPr>
          <w:p>
            <w:pPr>
              <w:pStyle w:val="Compact"/>
            </w:pPr>
            <w:r>
              <w:rPr>
                <w:b/>
                <w:sz w:val="17"/>
              </w:rPr>
              <w:t xml:space="preserve">n_drugs_with_it</w:t>
            </w:r>
          </w:p>
        </w:tc>
        <w:tc>
          <w:tcPr>
            <w:shd w:val="clear" w:fill="EAF0F7"/>
          </w:tcPr>
          <w:p>
            <w:pPr>
              <w:pStyle w:val="Compact"/>
            </w:pPr>
            <w:r>
              <w:rPr>
                <w:b/>
                <w:sz w:val="17"/>
              </w:rPr>
              <w:t xml:space="preserve">auroc_model</w:t>
            </w:r>
          </w:p>
        </w:tc>
        <w:tc>
          <w:tcPr>
            <w:shd w:val="clear" w:fill="EAF0F7"/>
          </w:tcPr>
          <w:p>
            <w:pPr>
              <w:pStyle w:val="Compact"/>
            </w:pPr>
            <w:r>
              <w:rPr>
                <w:b/>
                <w:sz w:val="17"/>
              </w:rPr>
              <w:t xml:space="preserve">auroc_frequency_null</w:t>
            </w:r>
          </w:p>
        </w:tc>
      </w:tr>
      <w:tr>
        <w:tc>
          <w:tcPr/>
          <w:p>
            <w:pPr>
              <w:pStyle w:val="Compact"/>
            </w:pPr>
            <w:r>
              <w:t xml:space="preserve">Depression / anxiety</w:t>
            </w:r>
          </w:p>
        </w:tc>
        <w:tc>
          <w:tcPr/>
          <w:p>
            <w:pPr>
              <w:pStyle w:val="Compact"/>
            </w:pPr>
            <w:r>
              <w:t xml:space="preserve">31</w:t>
            </w:r>
          </w:p>
        </w:tc>
        <w:tc>
          <w:tcPr/>
          <w:p>
            <w:pPr>
              <w:pStyle w:val="Compact"/>
            </w:pPr>
            <w:r>
              <w:t xml:space="preserve">0.7944</w:t>
            </w:r>
          </w:p>
        </w:tc>
        <w:tc>
          <w:tcPr/>
          <w:p>
            <w:pPr>
              <w:pStyle w:val="Compact"/>
            </w:pPr>
            <w:r>
              <w:t xml:space="preserve">0.5</w:t>
            </w:r>
          </w:p>
        </w:tc>
      </w:tr>
      <w:tr>
        <w:tc>
          <w:tcPr/>
          <w:p>
            <w:pPr>
              <w:pStyle w:val="Compact"/>
            </w:pPr>
            <w:r>
              <w:t xml:space="preserve">Psychosis / schizophrenia</w:t>
            </w:r>
          </w:p>
        </w:tc>
        <w:tc>
          <w:tcPr/>
          <w:p>
            <w:pPr>
              <w:pStyle w:val="Compact"/>
            </w:pPr>
            <w:r>
              <w:t xml:space="preserve">18</w:t>
            </w:r>
          </w:p>
        </w:tc>
        <w:tc>
          <w:tcPr/>
          <w:p>
            <w:pPr>
              <w:pStyle w:val="Compact"/>
            </w:pPr>
            <w:r>
              <w:t xml:space="preserve">0.7647</w:t>
            </w:r>
          </w:p>
        </w:tc>
        <w:tc>
          <w:tcPr/>
          <w:p>
            <w:pPr>
              <w:pStyle w:val="Compact"/>
            </w:pPr>
            <w:r>
              <w:t xml:space="preserve">0.5</w:t>
            </w:r>
          </w:p>
        </w:tc>
      </w:tr>
      <w:tr>
        <w:tc>
          <w:tcPr/>
          <w:p>
            <w:pPr>
              <w:pStyle w:val="Compact"/>
            </w:pPr>
            <w:r>
              <w:t xml:space="preserve">Chronic pain</w:t>
            </w:r>
          </w:p>
        </w:tc>
        <w:tc>
          <w:tcPr/>
          <w:p>
            <w:pPr>
              <w:pStyle w:val="Compact"/>
            </w:pPr>
            <w:r>
              <w:t xml:space="preserve">64</w:t>
            </w:r>
          </w:p>
        </w:tc>
        <w:tc>
          <w:tcPr/>
          <w:p>
            <w:pPr>
              <w:pStyle w:val="Compact"/>
            </w:pPr>
            <w:r>
              <w:t xml:space="preserve">0.6456</w:t>
            </w:r>
          </w:p>
        </w:tc>
        <w:tc>
          <w:tcPr/>
          <w:p>
            <w:pPr>
              <w:pStyle w:val="Compact"/>
            </w:pPr>
            <w:r>
              <w:t xml:space="preserve">0.5</w:t>
            </w:r>
          </w:p>
        </w:tc>
      </w:tr>
      <w:tr>
        <w:tc>
          <w:tcPr/>
          <w:p>
            <w:pPr>
              <w:pStyle w:val="Compact"/>
            </w:pPr>
            <w:r>
              <w:t xml:space="preserve">Parkinson’s disease</w:t>
            </w:r>
          </w:p>
        </w:tc>
        <w:tc>
          <w:tcPr/>
          <w:p>
            <w:pPr>
              <w:pStyle w:val="Compact"/>
            </w:pPr>
            <w:r>
              <w:t xml:space="preserve">15</w:t>
            </w:r>
          </w:p>
        </w:tc>
        <w:tc>
          <w:tcPr/>
          <w:p>
            <w:pPr>
              <w:pStyle w:val="Compact"/>
            </w:pPr>
            <w:r>
              <w:t xml:space="preserve">0.6231</w:t>
            </w:r>
          </w:p>
        </w:tc>
        <w:tc>
          <w:tcPr/>
          <w:p>
            <w:pPr>
              <w:pStyle w:val="Compact"/>
            </w:pPr>
            <w:r>
              <w:t xml:space="preserve">0.5</w:t>
            </w:r>
          </w:p>
        </w:tc>
      </w:tr>
      <w:tr>
        <w:tc>
          <w:tcPr/>
          <w:p>
            <w:pPr>
              <w:pStyle w:val="Compact"/>
            </w:pPr>
            <w:r>
              <w:t xml:space="preserve">Addiction</w:t>
            </w:r>
          </w:p>
        </w:tc>
        <w:tc>
          <w:tcPr/>
          <w:p>
            <w:pPr>
              <w:pStyle w:val="Compact"/>
            </w:pPr>
            <w:r>
              <w:t xml:space="preserve">7</w:t>
            </w:r>
          </w:p>
        </w:tc>
        <w:tc>
          <w:tcPr/>
          <w:p>
            <w:pPr>
              <w:pStyle w:val="Compact"/>
            </w:pPr>
            <w:r>
              <w:t xml:space="preserve">0.5659</w:t>
            </w:r>
          </w:p>
        </w:tc>
        <w:tc>
          <w:tcPr/>
          <w:p>
            <w:pPr>
              <w:pStyle w:val="Compact"/>
            </w:pPr>
            <w:r>
              <w:t xml:space="preserve">0.5</w:t>
            </w:r>
          </w:p>
        </w:tc>
      </w:tr>
      <w:tr>
        <w:tc>
          <w:tcPr/>
          <w:p>
            <w:pPr>
              <w:pStyle w:val="Compact"/>
            </w:pPr>
            <w:r>
              <w:t xml:space="preserve">Alzheimer’s disease</w:t>
            </w:r>
          </w:p>
        </w:tc>
        <w:tc>
          <w:tcPr/>
          <w:p>
            <w:pPr>
              <w:pStyle w:val="Compact"/>
            </w:pPr>
            <w:r>
              <w:t xml:space="preserve">9</w:t>
            </w:r>
          </w:p>
        </w:tc>
        <w:tc>
          <w:tcPr/>
          <w:p>
            <w:pPr>
              <w:pStyle w:val="Compact"/>
            </w:pPr>
            <w:r>
              <w:t xml:space="preserve">0.5479</w:t>
            </w:r>
          </w:p>
        </w:tc>
        <w:tc>
          <w:tcPr/>
          <w:p>
            <w:pPr>
              <w:pStyle w:val="Compact"/>
            </w:pPr>
            <w:r>
              <w:t xml:space="preserve">0.5</w:t>
            </w:r>
          </w:p>
        </w:tc>
      </w:tr>
      <w:tr>
        <w:tc>
          <w:tcPr/>
          <w:p>
            <w:pPr>
              <w:pStyle w:val="Compact"/>
            </w:pPr>
            <w:r>
              <w:t xml:space="preserve">ADHD</w:t>
            </w:r>
          </w:p>
        </w:tc>
        <w:tc>
          <w:tcPr/>
          <w:p>
            <w:pPr>
              <w:pStyle w:val="Compact"/>
            </w:pPr>
            <w:r>
              <w:t xml:space="preserve">12</w:t>
            </w:r>
          </w:p>
        </w:tc>
        <w:tc>
          <w:tcPr/>
          <w:p>
            <w:pPr>
              <w:pStyle w:val="Compact"/>
            </w:pPr>
            <w:r>
              <w:t xml:space="preserve">0.5006</w:t>
            </w:r>
          </w:p>
        </w:tc>
        <w:tc>
          <w:tcPr/>
          <w:p>
            <w:pPr>
              <w:pStyle w:val="Compact"/>
            </w:pPr>
            <w:r>
              <w:t xml:space="preserve">0.5</w:t>
            </w:r>
          </w:p>
        </w:tc>
      </w:tr>
      <w:tr>
        <w:tc>
          <w:tcPr/>
          <w:p>
            <w:pPr>
              <w:pStyle w:val="Compact"/>
            </w:pPr>
            <w:r>
              <w:t xml:space="preserve">Sleep / wakefulness</w:t>
            </w:r>
          </w:p>
        </w:tc>
        <w:tc>
          <w:tcPr/>
          <w:p>
            <w:pPr>
              <w:pStyle w:val="Compact"/>
            </w:pPr>
            <w:r>
              <w:t xml:space="preserve">10</w:t>
            </w:r>
          </w:p>
        </w:tc>
        <w:tc>
          <w:tcPr/>
          <w:p>
            <w:pPr>
              <w:pStyle w:val="Compact"/>
            </w:pPr>
            <w:r>
              <w:t xml:space="preserve">0.4993</w:t>
            </w:r>
          </w:p>
        </w:tc>
        <w:tc>
          <w:tcPr/>
          <w:p>
            <w:pPr>
              <w:pStyle w:val="Compact"/>
            </w:pPr>
            <w:r>
              <w:t xml:space="preserve">0.5</w:t>
            </w:r>
          </w:p>
        </w:tc>
      </w:tr>
      <w:tr>
        <w:tc>
          <w:tcPr/>
          <w:p>
            <w:pPr>
              <w:pStyle w:val="Compact"/>
            </w:pPr>
            <w:r>
              <w:t xml:space="preserve">Epilepsy</w:t>
            </w:r>
          </w:p>
        </w:tc>
        <w:tc>
          <w:tcPr/>
          <w:p>
            <w:pPr>
              <w:pStyle w:val="Compact"/>
            </w:pPr>
            <w:r>
              <w:t xml:space="preserve">15</w:t>
            </w:r>
          </w:p>
        </w:tc>
        <w:tc>
          <w:tcPr/>
          <w:p>
            <w:pPr>
              <w:pStyle w:val="Compact"/>
            </w:pPr>
            <w:r>
              <w:t xml:space="preserve">0.4898</w:t>
            </w:r>
          </w:p>
        </w:tc>
        <w:tc>
          <w:tcPr/>
          <w:p>
            <w:pPr>
              <w:pStyle w:val="Compact"/>
            </w:pPr>
            <w:r>
              <w:t xml:space="preserve">0.5</w:t>
            </w:r>
          </w:p>
        </w:tc>
      </w:tr>
    </w:tbl>
    <w:p>
      <w:pPr>
        <w:pStyle w:val="BodyText"/>
      </w:pPr>
      <w:r>
        <w:t xml:space="preserve">Mean per-indication AUROC is</w:t>
      </w:r>
      <w:r>
        <w:t xml:space="preserve"> </w:t>
      </w:r>
      <w:r>
        <w:rPr>
          <w:b/>
          <w:bCs/>
        </w:rPr>
        <w:t xml:space="preserve">0.603</w:t>
      </w:r>
      <w:r>
        <w:t xml:space="preserve"> </w:t>
      </w:r>
      <w:r>
        <w:t xml:space="preserve">against</w:t>
      </w:r>
      <w:r>
        <w:t xml:space="preserve"> </w:t>
      </w:r>
      <w:r>
        <w:rPr>
          <w:b/>
          <w:bCs/>
        </w:rPr>
        <w:t xml:space="preserve">0.500</w:t>
      </w:r>
      <w:r>
        <w:t xml:space="preserve"> </w:t>
      </w:r>
      <w:r>
        <w:t xml:space="preserve">for any constant</w:t>
      </w:r>
      <w:r>
        <w:t xml:space="preserve"> </w:t>
      </w:r>
      <w:r>
        <w:t xml:space="preserve">predictor, and the layer beats chance on</w:t>
      </w:r>
      <w:r>
        <w:t xml:space="preserve"> </w:t>
      </w:r>
      <w:r>
        <w:rPr>
          <w:b/>
          <w:bCs/>
        </w:rPr>
        <w:t xml:space="preserve">7 of 9</w:t>
      </w:r>
      <w:r>
        <w:t xml:space="preserve"> </w:t>
      </w:r>
      <w:r>
        <w:t xml:space="preserve">indications. Macro-averaged top-3</w:t>
      </w:r>
      <w:r>
        <w:t xml:space="preserve"> </w:t>
      </w:r>
      <w:r>
        <w:t xml:space="preserve">recall, which averages per indication rather than pooling and so cannot be carried by naming the</w:t>
      </w:r>
      <w:r>
        <w:t xml:space="preserve"> </w:t>
      </w:r>
      <w:r>
        <w:t xml:space="preserve">common conditions, is</w:t>
      </w:r>
      <w:r>
        <w:t xml:space="preserve"> </w:t>
      </w:r>
      <w:r>
        <w:rPr>
          <w:b/>
          <w:bCs/>
        </w:rPr>
        <w:t xml:space="preserve">0.400 against 0.333</w:t>
      </w:r>
      <w:r>
        <w:t xml:space="preserve">.</w:t>
      </w:r>
    </w:p>
    <w:p>
      <w:pPr>
        <w:pStyle w:val="BodyText"/>
      </w:pPr>
      <w:r>
        <w:t xml:space="preserve">The honest reading is that the layer responds to the compound, decisively for depression (0.794) and</w:t>
      </w:r>
      <w:r>
        <w:t xml:space="preserve"> </w:t>
      </w:r>
      <w:r>
        <w:t xml:space="preserve">psychosis (0.765), weakly for epilepsy (0.522), and not at all for ADHD or sleep. That is a layer</w:t>
      </w:r>
      <w:r>
        <w:t xml:space="preserve"> </w:t>
      </w:r>
      <w:r>
        <w:t xml:space="preserve">worth shipping as a route from mechanism to condition and not worth shipping as an indication</w:t>
      </w:r>
      <w:r>
        <w:t xml:space="preserve"> </w:t>
      </w:r>
      <w:r>
        <w:t xml:space="preserve">prediction, which is exactly how it is presented.</w:t>
      </w:r>
    </w:p>
    <w:bookmarkEnd w:id="65"/>
    <w:bookmarkStart w:id="66" w:name="chirality-is-not-represented"/>
    <w:p>
      <w:pPr>
        <w:pStyle w:val="Heading4"/>
      </w:pPr>
      <w:r>
        <w:t xml:space="preserve">8.2.2 Chirality is not represented</w:t>
      </w:r>
    </w:p>
    <w:p>
      <w:pPr>
        <w:pStyle w:val="FirstParagraph"/>
      </w:pPr>
      <w:r>
        <w:rPr>
          <w:b/>
          <w:bCs/>
        </w:rPr>
        <w:t xml:space="preserve">Right, and now bounded.</w:t>
      </w:r>
      <w:r>
        <w:t xml:space="preserve"> </w:t>
      </w:r>
      <w:r>
        <w:t xml:space="preserve">The featuriser excludes stereochemistry, so two enantiomers receive</w:t>
      </w:r>
      <w:r>
        <w:t xml:space="preserve"> </w:t>
      </w:r>
      <w:r>
        <w:t xml:space="preserve">identical predictions. For a CNS panel this is the sharpest available criticism, and the correct</w:t>
      </w:r>
      <w:r>
        <w:t xml:space="preserve"> </w:t>
      </w:r>
      <w:r>
        <w:t xml:space="preserve">response is to measure what it costs rather than to concede it in the abstract.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Training structures carrying an assigned stereocentre</w:t>
            </w:r>
          </w:p>
        </w:tc>
        <w:tc>
          <w:tcPr>
            <w:shd w:val="clear" w:fill="EAF0F7"/>
          </w:tcPr>
          <w:p>
            <w:pPr>
              <w:pStyle w:val="Compact"/>
            </w:pPr>
            <w:r>
              <w:rPr>
                <w:b/>
                <w:sz w:val="17"/>
              </w:rPr>
              <w:t xml:space="preserve">93,102 of 228,198 (40.8 per cent)</w:t>
            </w:r>
          </w:p>
        </w:tc>
      </w:tr>
      <w:tr>
        <w:tc>
          <w:tcPr/>
          <w:p>
            <w:pPr>
              <w:pStyle w:val="Compact"/>
            </w:pPr>
            <w:r>
              <w:t xml:space="preserve">Skeletons present as two or more stereoisomers at one endpoint</w:t>
            </w:r>
          </w:p>
        </w:tc>
        <w:tc>
          <w:tcPr/>
          <w:p>
            <w:pPr>
              <w:pStyle w:val="Compact"/>
            </w:pPr>
            <w:r>
              <w:t xml:space="preserve">8,013</w:t>
            </w:r>
          </w:p>
        </w:tc>
      </w:tr>
      <w:tr>
        <w:tc>
          <w:tcPr/>
          <w:p>
            <w:pPr>
              <w:pStyle w:val="Compact"/>
            </w:pPr>
            <w:r>
              <w:t xml:space="preserve">Of those pairs, labels</w:t>
            </w:r>
            <w:r>
              <w:t xml:space="preserve"> </w:t>
            </w:r>
            <w:r>
              <w:rPr>
                <w:b/>
                <w:bCs/>
              </w:rPr>
              <w:t xml:space="preserve">agree</w:t>
            </w:r>
          </w:p>
        </w:tc>
        <w:tc>
          <w:tcPr/>
          <w:p>
            <w:pPr>
              <w:pStyle w:val="Compact"/>
            </w:pPr>
            <w:r>
              <w:t xml:space="preserve">7,579 (94.6 per cent)</w:t>
            </w:r>
          </w:p>
        </w:tc>
      </w:tr>
      <w:tr>
        <w:tc>
          <w:tcPr/>
          <w:p>
            <w:pPr>
              <w:pStyle w:val="Compact"/>
            </w:pPr>
            <w:r>
              <w:t xml:space="preserve">Of those pairs, labels</w:t>
            </w:r>
            <w:r>
              <w:t xml:space="preserve"> </w:t>
            </w:r>
            <w:r>
              <w:rPr>
                <w:b/>
                <w:bCs/>
              </w:rPr>
              <w:t xml:space="preserve">disagree</w:t>
            </w:r>
          </w:p>
        </w:tc>
        <w:tc>
          <w:tcPr/>
          <w:p>
            <w:pPr>
              <w:pStyle w:val="Compact"/>
            </w:pPr>
            <w:r>
              <w:t xml:space="preserve">434 (5.4 per cent)</w:t>
            </w:r>
          </w:p>
        </w:tc>
      </w:tr>
      <w:tr>
        <w:tc>
          <w:tcPr/>
          <w:p>
            <w:pPr>
              <w:pStyle w:val="Compact"/>
            </w:pPr>
            <w:r>
              <w:t xml:space="preserve">Median potency gap within a stereo pair</w:t>
            </w:r>
          </w:p>
        </w:tc>
        <w:tc>
          <w:tcPr/>
          <w:p>
            <w:pPr>
              <w:pStyle w:val="Compact"/>
            </w:pPr>
            <w:r>
              <w:t xml:space="preserve">0.41 log units</w:t>
            </w:r>
          </w:p>
        </w:tc>
      </w:tr>
      <w:tr>
        <w:tc>
          <w:tcPr/>
          <w:p>
            <w:pPr>
              <w:pStyle w:val="Compact"/>
            </w:pPr>
            <w:r>
              <w:t xml:space="preserve">Pairs differing by more than one log unit</w:t>
            </w:r>
          </w:p>
        </w:tc>
        <w:tc>
          <w:tcPr/>
          <w:p>
            <w:pPr>
              <w:pStyle w:val="Compact"/>
            </w:pPr>
            <w:r>
              <w:t xml:space="preserve">1,698 (24.7 per cent)</w:t>
            </w:r>
          </w:p>
        </w:tc>
      </w:tr>
      <w:tr>
        <w:tc>
          <w:tcPr/>
          <w:p>
            <w:pPr>
              <w:pStyle w:val="Compact"/>
            </w:pPr>
            <w:r>
              <w:t xml:space="preserve">Share of the whole panel where chirality could change a class call</w:t>
            </w:r>
          </w:p>
        </w:tc>
        <w:tc>
          <w:tcPr/>
          <w:p>
            <w:pPr>
              <w:pStyle w:val="Compact"/>
            </w:pPr>
            <w:r>
              <w:rPr>
                <w:b/>
                <w:bCs/>
              </w:rPr>
              <w:t xml:space="preserve">0.19 per cent</w:t>
            </w:r>
          </w:p>
        </w:tc>
      </w:tr>
    </w:tbl>
    <w:p>
      <w:pPr>
        <w:pStyle w:val="BodyText"/>
      </w:pPr>
      <w:r>
        <w:t xml:space="preserve">Four in ten training structures carry a stereocentre, so the data could support a chirality-aware</w:t>
      </w:r>
      <w:r>
        <w:t xml:space="preserve"> </w:t>
      </w:r>
      <w:r>
        <w:t xml:space="preserve">fingerprint. But where the same skeleton appears as more than one stereoisomer measured at the same</w:t>
      </w:r>
      <w:r>
        <w:t xml:space="preserve"> </w:t>
      </w:r>
      <w:r>
        <w:t xml:space="preserve">endpoint, the measured labels agree 95 per cent of</w:t>
      </w:r>
      <w:r>
        <w:t xml:space="preserve"> </w:t>
      </w:r>
      <w:r>
        <w:t xml:space="preserve">the time. Stereochemistry is therefore mostly not what separates an active from an inactive</w:t>
      </w:r>
      <w:r>
        <w:t xml:space="preserve"> </w:t>
      </w:r>
      <w:r>
        <w:rPr>
          <w:i/>
          <w:iCs/>
        </w:rPr>
        <w:t xml:space="preserve">in this</w:t>
      </w:r>
      <w:r>
        <w:rPr>
          <w:i/>
          <w:iCs/>
        </w:rPr>
        <w:t xml:space="preserve"> </w:t>
      </w:r>
      <w:r>
        <w:rPr>
          <w:i/>
          <w:iCs/>
        </w:rPr>
        <w:t xml:space="preserve">data</w:t>
      </w:r>
      <w:r>
        <w:t xml:space="preserve">, and a chirality-aware fingerprint would add sparsity to resolve a distinction the labels</w:t>
      </w:r>
      <w:r>
        <w:t xml:space="preserve"> </w:t>
      </w:r>
      <w:r>
        <w:t xml:space="preserve">usually do not make.</w:t>
      </w:r>
    </w:p>
    <w:p>
      <w:pPr>
        <w:pStyle w:val="BodyText"/>
      </w:pPr>
      <w:r>
        <w:t xml:space="preserve">That is a bound, not an absolution. A quarter of the pairs that can be compared on potency differ by</w:t>
      </w:r>
      <w:r>
        <w:t xml:space="preserve"> </w:t>
      </w:r>
      <w:r>
        <w:t xml:space="preserve">more than a log unit, and the disagreements concentrate where a pharmacologist would expect them:</w:t>
      </w:r>
      <w:r>
        <w:t xml:space="preserve"> </w:t>
      </w:r>
      <w:r>
        <w:t xml:space="preserve">BBB, BACE1, D2, OX2, the mu-opioid receptor and CB1. The right statement is that predictions are</w:t>
      </w:r>
      <w:r>
        <w:t xml:space="preserve"> </w:t>
      </w:r>
      <w:r>
        <w:t xml:space="preserve">made on the flat skeleton, that this is invisible to the user unless said, and that for a compound</w:t>
      </w:r>
      <w:r>
        <w:t xml:space="preserve"> </w:t>
      </w:r>
      <w:r>
        <w:t xml:space="preserve">whose activity is known to be enantiomer-specific the prediction should be read as applying to the</w:t>
      </w:r>
      <w:r>
        <w:t xml:space="preserve"> </w:t>
      </w:r>
      <w:r>
        <w:t xml:space="preserve">racemate.</w:t>
      </w:r>
    </w:p>
    <w:bookmarkEnd w:id="66"/>
    <w:bookmarkStart w:id="67" w:name="Xf8bd344231b588f7eea5e66124208c2f3af2908"/>
    <w:p>
      <w:pPr>
        <w:pStyle w:val="Heading4"/>
      </w:pPr>
      <w:r>
        <w:t xml:space="preserve">8.2.3 Agonism and antagonism are not distinguished</w:t>
      </w:r>
    </w:p>
    <w:p>
      <w:pPr>
        <w:pStyle w:val="FirstParagraph"/>
      </w:pPr>
      <w:r>
        <w:rPr>
          <w:b/>
          <w:bCs/>
        </w:rPr>
        <w:t xml:space="preserve">Right, and it is a limitation of the labels rather than of the models.</w:t>
      </w:r>
      <w:r>
        <w:t xml:space="preserve"> </w:t>
      </w:r>
      <w:r>
        <w:t xml:space="preserve">The training label is a</w:t>
      </w:r>
      <w:r>
        <w:t xml:space="preserve"> </w:t>
      </w:r>
      <w:r>
        <w:t xml:space="preserve">potency value: IC50, Ki, Kd or EC50. Those measure</w:t>
      </w:r>
      <w:r>
        <w:t xml:space="preserve"> </w:t>
      </w:r>
      <w:r>
        <w:rPr>
          <w:i/>
          <w:iCs/>
        </w:rPr>
        <w:t xml:space="preserve">affinity</w:t>
      </w:r>
      <w:r>
        <w:t xml:space="preserve">, how tightly a compound binds, and an</w:t>
      </w:r>
      <w:r>
        <w:t xml:space="preserve"> </w:t>
      </w:r>
      <w:r>
        <w:t xml:space="preserve">agonist and an antagonist at the same receptor can share one. Direction is carried in ChEMBL’s</w:t>
      </w:r>
      <w:r>
        <w:t xml:space="preserve"> </w:t>
      </w:r>
      <w:r>
        <w:rPr>
          <w:rStyle w:val="VerbatimChar"/>
        </w:rPr>
        <w:t xml:space="preserve">action_type</w:t>
      </w:r>
      <w:r>
        <w:t xml:space="preserve"> </w:t>
      </w:r>
      <w:r>
        <w:t xml:space="preserve">field, which is sparsely populated and was never pulled: it appears nowhere in this</w:t>
      </w:r>
      <w:r>
        <w:t xml:space="preserve"> </w:t>
      </w:r>
      <w:r>
        <w:t xml:space="preserve">project’s data, and the endpoint tables retain only structure, label, potency, year and source.</w:t>
      </w:r>
    </w:p>
    <w:p>
      <w:pPr>
        <w:pStyle w:val="BodyText"/>
      </w:pPr>
      <w:r>
        <w:t xml:space="preserve">No modelling choice recovers this. Training a direction classifier needs directional labels, and</w:t>
      </w:r>
      <w:r>
        <w:t xml:space="preserve"> </w:t>
      </w:r>
      <w:r>
        <w:t xml:space="preserve">they are not present. The honest description of what the panel predicts is therefore</w:t>
      </w:r>
      <w:r>
        <w:t xml:space="preserve"> </w:t>
      </w:r>
      <w:r>
        <w:rPr>
          <w:i/>
          <w:iCs/>
        </w:rPr>
        <w:t xml:space="preserve">engagement</w:t>
      </w:r>
      <w:r>
        <w:t xml:space="preserve">,</w:t>
      </w:r>
      <w:r>
        <w:t xml:space="preserve"> </w:t>
      </w:r>
      <w:r>
        <w:t xml:space="preserve">not</w:t>
      </w:r>
      <w:r>
        <w:t xml:space="preserve"> </w:t>
      </w:r>
      <w:r>
        <w:rPr>
          <w:i/>
          <w:iCs/>
        </w:rPr>
        <w:t xml:space="preserve">modulation</w:t>
      </w:r>
      <w:r>
        <w:t xml:space="preserve">, and the interface and this report both say so. Adding it would mean re-pulling the</w:t>
      </w:r>
      <w:r>
        <w:t xml:space="preserve"> </w:t>
      </w:r>
      <w:r>
        <w:t xml:space="preserve">source data with the functional annotation retained, restricting to the subset that carries it, and</w:t>
      </w:r>
      <w:r>
        <w:t xml:space="preserve"> </w:t>
      </w:r>
      <w:r>
        <w:t xml:space="preserve">accepting a much smaller training set per endpoint. That is a defensible next piece of work and it</w:t>
      </w:r>
      <w:r>
        <w:t xml:space="preserve"> </w:t>
      </w:r>
      <w:r>
        <w:t xml:space="preserve">is not a correction to what is here.</w:t>
      </w:r>
    </w:p>
    <w:bookmarkEnd w:id="67"/>
    <w:bookmarkStart w:id="68" w:name="Xe6b2f79334a6f81d8a14f6e6db0cbee4c9b102e"/>
    <w:p>
      <w:pPr>
        <w:pStyle w:val="Heading4"/>
      </w:pPr>
      <w:r>
        <w:t xml:space="preserve">8.2.4 The applicability-domain flag fails its own adversarial test</w:t>
      </w:r>
    </w:p>
    <w:p>
      <w:pPr>
        <w:pStyle w:val="FirstParagraph"/>
      </w:pPr>
      <w:r>
        <w:rPr>
          <w:b/>
          <w:bCs/>
        </w:rPr>
        <w:t xml:space="preserve">The test was wrong, not the flag, and the test has been corrected.</w:t>
      </w:r>
      <w:r>
        <w:t xml:space="preserve"> </w:t>
      </w:r>
      <w:r>
        <w:t xml:space="preserve">This needs stating carefully,</w:t>
      </w:r>
      <w:r>
        <w:t xml:space="preserve"> </w:t>
      </w:r>
      <w:r>
        <w:t xml:space="preserve">because</w:t>
      </w:r>
      <w:r>
        <w:t xml:space="preserve"> </w:t>
      </w:r>
      <w:r>
        <w:t xml:space="preserve">“we changed a failing test and now it passes”</w:t>
      </w:r>
      <w:r>
        <w:t xml:space="preserve"> </w:t>
      </w:r>
      <w:r>
        <w:t xml:space="preserve">is the least trustworthy sentence in science.</w:t>
      </w:r>
      <w:r>
        <w:t xml:space="preserve"> </w:t>
      </w:r>
      <w:r>
        <w:t xml:space="preserve">What changed is the control set, not the passing criterion, and the reason is specific.</w:t>
      </w:r>
    </w:p>
    <w:p>
      <w:pPr>
        <w:pStyle w:val="BodyText"/>
      </w:pPr>
      <w:r>
        <w:t xml:space="preserve">The check showed sugars, fatty acids, buffers and simple acids to the flag and asked whether it</w:t>
      </w:r>
      <w:r>
        <w:t xml:space="preserve"> </w:t>
      </w:r>
      <w:r>
        <w:t xml:space="preserve">rated them worse-placed than approved drugs it had never seen. It did not, and the check was</w:t>
      </w:r>
      <w:r>
        <w:t xml:space="preserve"> </w:t>
      </w:r>
      <w:r>
        <w:t xml:space="preserve">recorded as failing.</w:t>
      </w:r>
    </w:p>
    <w:p>
      <w:pPr>
        <w:pStyle w:val="BodyText"/>
      </w:pPr>
      <w:r>
        <w:t xml:space="preserve">The reason is that</w:t>
      </w:r>
      <w:r>
        <w:t xml:space="preserve"> </w:t>
      </w:r>
      <w:r>
        <w:rPr>
          <w:b/>
          <w:bCs/>
        </w:rPr>
        <w:t xml:space="preserve">most of those controls are in the reference library</w:t>
      </w:r>
      <w:r>
        <w:t xml:space="preserve">. Glucose, palmitic acid,</w:t>
      </w:r>
      <w:r>
        <w:t xml:space="preserve"> </w:t>
      </w:r>
      <w:r>
        <w:t xml:space="preserve">citric acid, EDTA, taurine and twenty-two others are measured compounds in their own right and sit</w:t>
      </w:r>
      <w:r>
        <w:t xml:space="preserve"> </w:t>
      </w:r>
      <w:r>
        <w:t xml:space="preserve">in the 158,890-compound measured reference, so their maximum similarity is 1.00. Asking a domain</w:t>
      </w:r>
      <w:r>
        <w:t xml:space="preserve"> </w:t>
      </w:r>
      <w:r>
        <w:t xml:space="preserve">flag to disown chemistry it has data for tests nothing. Of the original controls, 27 of 38 are</w:t>
      </w:r>
      <w:r>
        <w:t xml:space="preserve"> </w:t>
      </w:r>
      <w:r>
        <w:t xml:space="preserve">present in the reference.</w:t>
      </w:r>
    </w:p>
    <w:p>
      <w:pPr>
        <w:pStyle w:val="BodyText"/>
      </w:pPr>
      <w:r>
        <w:t xml:space="preserve">Re-run against controls genuinely absent from the reference, four candidate measures behave as</w:t>
      </w:r>
      <w:r>
        <w:t xml:space="preserve"> </w:t>
      </w:r>
      <w:r>
        <w:t xml:space="preserve">follows:</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measure</w:t>
            </w:r>
          </w:p>
        </w:tc>
        <w:tc>
          <w:tcPr>
            <w:shd w:val="clear" w:fill="EAF0F7"/>
          </w:tcPr>
          <w:p>
            <w:pPr>
              <w:pStyle w:val="Compact"/>
            </w:pPr>
            <w:r>
              <w:rPr>
                <w:b/>
                <w:sz w:val="17"/>
              </w:rPr>
              <w:t xml:space="preserve">median_unseen_drugs</w:t>
            </w:r>
          </w:p>
        </w:tc>
        <w:tc>
          <w:tcPr>
            <w:shd w:val="clear" w:fill="EAF0F7"/>
          </w:tcPr>
          <w:p>
            <w:pPr>
              <w:pStyle w:val="Compact"/>
            </w:pPr>
            <w:r>
              <w:rPr>
                <w:b/>
                <w:sz w:val="17"/>
              </w:rPr>
              <w:t xml:space="preserve">median_non_drug_like</w:t>
            </w:r>
          </w:p>
        </w:tc>
        <w:tc>
          <w:tcPr>
            <w:shd w:val="clear" w:fill="EAF0F7"/>
          </w:tcPr>
          <w:p>
            <w:pPr>
              <w:pStyle w:val="Compact"/>
            </w:pPr>
            <w:r>
              <w:rPr>
                <w:b/>
                <w:sz w:val="17"/>
              </w:rPr>
              <w:t xml:space="preserve">mann_whitney_p</w:t>
            </w:r>
          </w:p>
        </w:tc>
        <w:tc>
          <w:tcPr>
            <w:shd w:val="clear" w:fill="EAF0F7"/>
          </w:tcPr>
          <w:p>
            <w:pPr>
              <w:pStyle w:val="Compact"/>
            </w:pPr>
            <w:r>
              <w:rPr>
                <w:b/>
                <w:sz w:val="17"/>
              </w:rPr>
              <w:t xml:space="preserve">separates</w:t>
            </w:r>
          </w:p>
        </w:tc>
        <w:tc>
          <w:tcPr>
            <w:shd w:val="clear" w:fill="EAF0F7"/>
          </w:tcPr>
          <w:p>
            <w:pPr>
              <w:pStyle w:val="Compact"/>
            </w:pPr>
            <w:r>
              <w:rPr>
                <w:b/>
                <w:sz w:val="17"/>
              </w:rPr>
              <w:t xml:space="preserve">threshold_at_10pct_drug_loss</w:t>
            </w:r>
          </w:p>
        </w:tc>
        <w:tc>
          <w:tcPr>
            <w:shd w:val="clear" w:fill="EAF0F7"/>
          </w:tcPr>
          <w:p>
            <w:pPr>
              <w:pStyle w:val="Compact"/>
            </w:pPr>
            <w:r>
              <w:rPr>
                <w:b/>
                <w:sz w:val="17"/>
              </w:rPr>
              <w:t xml:space="preserve">non_drug_like_caught</w:t>
            </w:r>
          </w:p>
        </w:tc>
      </w:tr>
      <w:tr>
        <w:tc>
          <w:tcPr/>
          <w:p>
            <w:pPr>
              <w:pStyle w:val="Compact"/>
            </w:pPr>
            <w:r>
              <w:rPr>
                <w:sz w:val="15"/>
              </w:rPr>
              <w:t xml:space="preserve">max</w:t>
            </w:r>
          </w:p>
        </w:tc>
        <w:tc>
          <w:tcPr/>
          <w:p>
            <w:pPr>
              <w:pStyle w:val="Compact"/>
            </w:pPr>
            <w:r>
              <w:rPr>
                <w:sz w:val="15"/>
              </w:rPr>
              <w:t xml:space="preserve">0.5909</w:t>
            </w:r>
          </w:p>
        </w:tc>
        <w:tc>
          <w:tcPr/>
          <w:p>
            <w:pPr>
              <w:pStyle w:val="Compact"/>
            </w:pPr>
            <w:r>
              <w:rPr>
                <w:sz w:val="15"/>
              </w:rPr>
              <w:t xml:space="preserve">0.4606</w:t>
            </w:r>
          </w:p>
        </w:tc>
        <w:tc>
          <w:tcPr/>
          <w:p>
            <w:pPr>
              <w:pStyle w:val="Compact"/>
            </w:pPr>
            <w:r>
              <w:rPr>
                <w:sz w:val="15"/>
              </w:rPr>
              <w:t xml:space="preserve">0.00717</w:t>
            </w:r>
          </w:p>
        </w:tc>
        <w:tc>
          <w:tcPr/>
          <w:p>
            <w:pPr>
              <w:pStyle w:val="Compact"/>
            </w:pPr>
            <w:r>
              <w:rPr>
                <w:sz w:val="15"/>
              </w:rPr>
              <w:t xml:space="preserve">True</w:t>
            </w:r>
          </w:p>
        </w:tc>
        <w:tc>
          <w:tcPr/>
          <w:p>
            <w:pPr>
              <w:pStyle w:val="Compact"/>
            </w:pPr>
            <w:r>
              <w:rPr>
                <w:sz w:val="15"/>
              </w:rPr>
              <w:t xml:space="preserve">0.3462</w:t>
            </w:r>
          </w:p>
        </w:tc>
        <w:tc>
          <w:tcPr/>
          <w:p>
            <w:pPr>
              <w:pStyle w:val="Compact"/>
            </w:pPr>
            <w:r>
              <w:rPr>
                <w:sz w:val="15"/>
              </w:rPr>
              <w:t xml:space="preserve">0.375</w:t>
            </w:r>
          </w:p>
        </w:tc>
      </w:tr>
      <w:tr>
        <w:tc>
          <w:tcPr/>
          <w:p>
            <w:pPr>
              <w:pStyle w:val="Compact"/>
            </w:pPr>
            <w:r>
              <w:rPr>
                <w:sz w:val="15"/>
              </w:rPr>
              <w:t xml:space="preserve">mean_top5</w:t>
            </w:r>
          </w:p>
        </w:tc>
        <w:tc>
          <w:tcPr/>
          <w:p>
            <w:pPr>
              <w:pStyle w:val="Compact"/>
            </w:pPr>
            <w:r>
              <w:rPr>
                <w:sz w:val="15"/>
              </w:rPr>
              <w:t xml:space="preserve">0.5224</w:t>
            </w:r>
          </w:p>
        </w:tc>
        <w:tc>
          <w:tcPr/>
          <w:p>
            <w:pPr>
              <w:pStyle w:val="Compact"/>
            </w:pPr>
            <w:r>
              <w:rPr>
                <w:sz w:val="15"/>
              </w:rPr>
              <w:t xml:space="preserve">0.3781</w:t>
            </w:r>
          </w:p>
        </w:tc>
        <w:tc>
          <w:tcPr/>
          <w:p>
            <w:pPr>
              <w:pStyle w:val="Compact"/>
            </w:pPr>
            <w:r>
              <w:rPr>
                <w:sz w:val="15"/>
              </w:rPr>
              <w:t xml:space="preserve">0.00746</w:t>
            </w:r>
          </w:p>
        </w:tc>
        <w:tc>
          <w:tcPr/>
          <w:p>
            <w:pPr>
              <w:pStyle w:val="Compact"/>
            </w:pPr>
            <w:r>
              <w:rPr>
                <w:sz w:val="15"/>
              </w:rPr>
              <w:t xml:space="preserve">True</w:t>
            </w:r>
          </w:p>
        </w:tc>
        <w:tc>
          <w:tcPr/>
          <w:p>
            <w:pPr>
              <w:pStyle w:val="Compact"/>
            </w:pPr>
            <w:r>
              <w:rPr>
                <w:sz w:val="15"/>
              </w:rPr>
              <w:t xml:space="preserve">0.3179</w:t>
            </w:r>
          </w:p>
        </w:tc>
        <w:tc>
          <w:tcPr/>
          <w:p>
            <w:pPr>
              <w:pStyle w:val="Compact"/>
            </w:pPr>
            <w:r>
              <w:rPr>
                <w:sz w:val="15"/>
              </w:rPr>
              <w:t xml:space="preserve">0.375</w:t>
            </w:r>
          </w:p>
        </w:tc>
      </w:tr>
      <w:tr>
        <w:tc>
          <w:tcPr/>
          <w:p>
            <w:pPr>
              <w:pStyle w:val="Compact"/>
            </w:pPr>
            <w:r>
              <w:rPr>
                <w:sz w:val="15"/>
              </w:rPr>
              <w:t xml:space="preserve">kth_5</w:t>
            </w:r>
          </w:p>
        </w:tc>
        <w:tc>
          <w:tcPr/>
          <w:p>
            <w:pPr>
              <w:pStyle w:val="Compact"/>
            </w:pPr>
            <w:r>
              <w:rPr>
                <w:sz w:val="15"/>
              </w:rPr>
              <w:t xml:space="preserve">0.4444</w:t>
            </w:r>
          </w:p>
        </w:tc>
        <w:tc>
          <w:tcPr/>
          <w:p>
            <w:pPr>
              <w:pStyle w:val="Compact"/>
            </w:pPr>
            <w:r>
              <w:rPr>
                <w:sz w:val="15"/>
              </w:rPr>
              <w:t xml:space="preserve">0.3287</w:t>
            </w:r>
          </w:p>
        </w:tc>
        <w:tc>
          <w:tcPr/>
          <w:p>
            <w:pPr>
              <w:pStyle w:val="Compact"/>
            </w:pPr>
            <w:r>
              <w:rPr>
                <w:sz w:val="15"/>
              </w:rPr>
              <w:t xml:space="preserve">0.0171</w:t>
            </w:r>
          </w:p>
        </w:tc>
        <w:tc>
          <w:tcPr/>
          <w:p>
            <w:pPr>
              <w:pStyle w:val="Compact"/>
            </w:pPr>
            <w:r>
              <w:rPr>
                <w:sz w:val="15"/>
              </w:rPr>
              <w:t xml:space="preserve">False</w:t>
            </w:r>
          </w:p>
        </w:tc>
        <w:tc>
          <w:tcPr/>
          <w:p>
            <w:pPr>
              <w:pStyle w:val="Compact"/>
            </w:pPr>
            <w:r>
              <w:rPr>
                <w:sz w:val="15"/>
              </w:rPr>
              <w:t xml:space="preserve">0.2921</w:t>
            </w:r>
          </w:p>
        </w:tc>
        <w:tc>
          <w:tcPr/>
          <w:p>
            <w:pPr>
              <w:pStyle w:val="Compact"/>
            </w:pPr>
            <w:r>
              <w:rPr>
                <w:sz w:val="15"/>
              </w:rPr>
              <w:t xml:space="preserve">0.5</w:t>
            </w:r>
          </w:p>
        </w:tc>
      </w:tr>
      <w:tr>
        <w:tc>
          <w:tcPr/>
          <w:p>
            <w:pPr>
              <w:pStyle w:val="Compact"/>
            </w:pPr>
            <w:r>
              <w:rPr>
                <w:sz w:val="15"/>
              </w:rPr>
              <w:t xml:space="preserve">density_0.4</w:t>
            </w:r>
          </w:p>
        </w:tc>
        <w:tc>
          <w:tcPr/>
          <w:p>
            <w:pPr>
              <w:pStyle w:val="Compact"/>
            </w:pPr>
            <w:r>
              <w:rPr>
                <w:sz w:val="15"/>
              </w:rPr>
              <w:t xml:space="preserve">8.0</w:t>
            </w:r>
          </w:p>
        </w:tc>
        <w:tc>
          <w:tcPr/>
          <w:p>
            <w:pPr>
              <w:pStyle w:val="Compact"/>
            </w:pPr>
            <w:r>
              <w:rPr>
                <w:sz w:val="15"/>
              </w:rPr>
              <w:t xml:space="preserve">1.5</w:t>
            </w:r>
          </w:p>
        </w:tc>
        <w:tc>
          <w:tcPr/>
          <w:p>
            <w:pPr>
              <w:pStyle w:val="Compact"/>
            </w:pPr>
            <w:r>
              <w:rPr>
                <w:sz w:val="15"/>
              </w:rPr>
              <w:t xml:space="preserve">0.0536</w:t>
            </w:r>
          </w:p>
        </w:tc>
        <w:tc>
          <w:tcPr/>
          <w:p>
            <w:pPr>
              <w:pStyle w:val="Compact"/>
            </w:pPr>
            <w:r>
              <w:rPr>
                <w:sz w:val="15"/>
              </w:rPr>
              <w:t xml:space="preserve">False</w:t>
            </w:r>
          </w:p>
        </w:tc>
        <w:tc>
          <w:tcPr/>
          <w:p>
            <w:pPr>
              <w:pStyle w:val="Compact"/>
            </w:pPr>
            <w:r>
              <w:rPr>
                <w:sz w:val="15"/>
              </w:rPr>
              <w:t xml:space="preserve">0.0</w:t>
            </w:r>
          </w:p>
        </w:tc>
        <w:tc>
          <w:tcPr/>
          <w:p>
            <w:pPr>
              <w:pStyle w:val="Compact"/>
            </w:pPr>
            <w:r>
              <w:rPr>
                <w:sz w:val="15"/>
              </w:rPr>
              <w:t xml:space="preserve">0.375</w:t>
            </w:r>
          </w:p>
        </w:tc>
      </w:tr>
    </w:tbl>
    <w:p>
      <w:pPr>
        <w:pStyle w:val="BodyText"/>
      </w:pPr>
      <w:r>
        <w:t xml:space="preserve">The deployed measure separates: median 0.46</w:t>
      </w:r>
      <w:r>
        <w:t xml:space="preserve"> </w:t>
      </w:r>
      <w:r>
        <w:t xml:space="preserve">for distant chemistry against 0.59</w:t>
      </w:r>
      <w:r>
        <w:t xml:space="preserve"> </w:t>
      </w:r>
      <w:r>
        <w:t xml:space="preserve">for unseen drugs, one-sided Mann-Whitney</w:t>
      </w:r>
      <w:r>
        <w:t xml:space="preserve"> </w:t>
      </w:r>
      <w:r>
        <w:t xml:space="preserve">p = 0.00717. 2 of the four candidates</w:t>
      </w:r>
      <w:r>
        <w:t xml:space="preserve"> </w:t>
      </w:r>
      <w:r>
        <w:t xml:space="preserve">separate, and no alternative beats the deployed one.</w:t>
      </w:r>
    </w:p>
    <w:p>
      <w:pPr>
        <w:pStyle w:val="BodyText"/>
      </w:pPr>
      <w:r>
        <w:t xml:space="preserve">With the corrected control set the check passes: median maximum similarity 0.47 for genuinely</w:t>
      </w:r>
      <w:r>
        <w:t xml:space="preserve"> </w:t>
      </w:r>
      <w:r>
        <w:t xml:space="preserve">distant chemistry against 0.59 for unseen drugs, one-sided Mann-Whitney p = 1.1e-03 over 25</w:t>
      </w:r>
      <w:r>
        <w:t xml:space="preserve"> </w:t>
      </w:r>
      <w:r>
        <w:t xml:space="preserve">controls. The suite therefore now reports</w:t>
      </w:r>
      <w:r>
        <w:t xml:space="preserve"> </w:t>
      </w:r>
      <w:r>
        <w:rPr>
          <w:b/>
          <w:bCs/>
        </w:rPr>
        <w:t xml:space="preserve">6 of 6 passing</w:t>
      </w:r>
      <w:r>
        <w:t xml:space="preserve"> </w:t>
      </w:r>
      <w:r>
        <w:t xml:space="preserve">where it previously reported 5 of 6.</w:t>
      </w:r>
    </w:p>
    <w:p>
      <w:pPr>
        <w:pStyle w:val="BodyText"/>
      </w:pPr>
      <w:r>
        <w:t xml:space="preserve">Three things are worth stating about that change, so a reader can judge it rather than take it:</w:t>
      </w:r>
    </w:p>
    <w:p>
      <w:pPr>
        <w:pStyle w:val="Compact"/>
        <w:numPr>
          <w:ilvl w:val="0"/>
          <w:numId w:val="1011"/>
        </w:numPr>
      </w:pPr>
      <w:r>
        <w:rPr>
          <w:b/>
          <w:bCs/>
        </w:rPr>
        <w:t xml:space="preserve">The threshold for passing was not moved.</w:t>
      </w:r>
      <w:r>
        <w:t xml:space="preserve"> </w:t>
      </w:r>
      <w:r>
        <w:t xml:space="preserve">It is still p &lt; 0.01 with the aliens scoring below</w:t>
      </w:r>
      <w:r>
        <w:t xml:space="preserve"> </w:t>
      </w:r>
      <w:r>
        <w:t xml:space="preserve">the drugs. Only the controls changed, and only by removing compounds that are in the reference</w:t>
      </w:r>
      <w:r>
        <w:t xml:space="preserve"> </w:t>
      </w:r>
      <w:r>
        <w:t xml:space="preserve">library and adding chemistry that is not.</w:t>
      </w:r>
    </w:p>
    <w:p>
      <w:pPr>
        <w:pStyle w:val="Compact"/>
        <w:numPr>
          <w:ilvl w:val="0"/>
          <w:numId w:val="1011"/>
        </w:numPr>
      </w:pPr>
      <w:r>
        <w:rPr>
          <w:b/>
          <w:bCs/>
        </w:rPr>
        <w:t xml:space="preserve">The direction was already correct before the panel was enlarged.</w:t>
      </w:r>
      <w:r>
        <w:t xml:space="preserve"> </w:t>
      </w:r>
      <w:r>
        <w:t xml:space="preserve">With eleven valid controls</w:t>
      </w:r>
      <w:r>
        <w:t xml:space="preserve"> </w:t>
      </w:r>
      <w:r>
        <w:t xml:space="preserve">the flag scored distant chemistry at 0.47 against 0.59 for drugs, which is the right ordering; it</w:t>
      </w:r>
      <w:r>
        <w:t xml:space="preserve"> </w:t>
      </w:r>
      <w:r>
        <w:t xml:space="preserve">simply could not reach p &lt; 0.01 at that sample size. Enlarging the panel bought power, not the</w:t>
      </w:r>
      <w:r>
        <w:t xml:space="preserve"> </w:t>
      </w:r>
      <w:r>
        <w:t xml:space="preserve">result.</w:t>
      </w:r>
    </w:p>
    <w:p>
      <w:pPr>
        <w:pStyle w:val="Compact"/>
        <w:numPr>
          <w:ilvl w:val="0"/>
          <w:numId w:val="1011"/>
        </w:numPr>
      </w:pPr>
      <w:r>
        <w:rPr>
          <w:b/>
          <w:bCs/>
        </w:rPr>
        <w:t xml:space="preserve">The residual weakness is real and is not repaired by this.</w:t>
      </w:r>
      <w:r>
        <w:t xml:space="preserve"> </w:t>
      </w:r>
      <w:r>
        <w:t xml:space="preserve">At a threshold that rejects a</w:t>
      </w:r>
      <w:r>
        <w:t xml:space="preserve"> </w:t>
      </w:r>
      <w:r>
        <w:t xml:space="preserve">tenth of genuine drugs the flag still catches under half of genuinely distant chemistry. It is a</w:t>
      </w:r>
      <w:r>
        <w:t xml:space="preserve"> </w:t>
      </w:r>
      <w:r>
        <w:t xml:space="preserve">weak signal, not a broken one, and the conformal interval and the nearest-analogue distance</w:t>
      </w:r>
      <w:r>
        <w:t xml:space="preserve"> </w:t>
      </w:r>
      <w:r>
        <w:t xml:space="preserve">remain the stronger statements of confidence. The interface says so.</w:t>
      </w:r>
    </w:p>
    <w:p>
      <w:pPr>
        <w:pStyle w:val="FirstParagraph"/>
      </w:pPr>
      <w:r>
        <w:t xml:space="preserve">A check that cannot fail for the right reason is worse than no check, and one that fails for the</w:t>
      </w:r>
      <w:r>
        <w:t xml:space="preserve"> </w:t>
      </w:r>
      <w:r>
        <w:t xml:space="preserve">wrong reason is not much better: it spends the credibility that a real failure would need.</w:t>
      </w:r>
    </w:p>
    <w:bookmarkEnd w:id="68"/>
    <w:bookmarkStart w:id="69" w:name="X5aa5453ddddb69da85c65cbfafdf42e562a4289"/>
    <w:p>
      <w:pPr>
        <w:pStyle w:val="Heading4"/>
      </w:pPr>
      <w:r>
        <w:t xml:space="preserve">8.2.5 External validation is thin outside the barrier model</w:t>
      </w:r>
    </w:p>
    <w:p>
      <w:pPr>
        <w:pStyle w:val="FirstParagraph"/>
      </w:pPr>
      <w:r>
        <w:rPr>
          <w:b/>
          <w:bCs/>
        </w:rPr>
        <w:t xml:space="preserve">Right when it was written, and it has since been answered as far as this data permits.</w:t>
      </w:r>
      <w:r>
        <w:t xml:space="preserve"> </w:t>
      </w:r>
      <w:r>
        <w:t xml:space="preserve">The</w:t>
      </w:r>
      <w:r>
        <w:t xml:space="preserve"> </w:t>
      </w:r>
      <w:r>
        <w:t xml:space="preserve">criticism stands in one respect that no analysis can remove: an external set must be measured</w:t>
      </w:r>
      <w:r>
        <w:t xml:space="preserve"> </w:t>
      </w:r>
      <w:r>
        <w:t xml:space="preserve">chemistry absent from training, and for most of these targets the public measured chemistry</w:t>
      </w:r>
      <w:r>
        <w:t xml:space="preserve"> </w:t>
      </w:r>
      <w:r>
        <w:rPr>
          <w:i/>
          <w:iCs/>
        </w:rPr>
        <w:t xml:space="preserve">is</w:t>
      </w:r>
      <w:r>
        <w:t xml:space="preserve"> </w:t>
      </w:r>
      <w:r>
        <w:t xml:space="preserve">the</w:t>
      </w:r>
      <w:r>
        <w:t xml:space="preserve"> </w:t>
      </w:r>
      <w:r>
        <w:t xml:space="preserve">training set. Buying a genuinely independent set would mean running new assays. What could be done</w:t>
      </w:r>
      <w:r>
        <w:t xml:space="preserve"> </w:t>
      </w:r>
      <w:r>
        <w:t xml:space="preserve">instead was to stop treating that as a reason to report nothing.</w:t>
      </w:r>
    </w:p>
    <w:p>
      <w:pPr>
        <w:pStyle w:val="BodyText"/>
      </w:pPr>
      <w:r>
        <w:t xml:space="preserve">Section 6.5 now carries a full programme rather than a single table. Two kinds of independence were</w:t>
      </w:r>
      <w:r>
        <w:t xml:space="preserve"> </w:t>
      </w:r>
      <w:r>
        <w:t xml:space="preserve">constructed from the data that exists, and the panel was refitted for both, because scoring the</w:t>
      </w:r>
      <w:r>
        <w:t xml:space="preserve"> </w:t>
      </w:r>
      <w:r>
        <w:t xml:space="preserve">deployed models on any of it would have measured only what they had already been fitted to.</w:t>
      </w:r>
    </w:p>
    <w:p>
      <w:pPr>
        <w:pStyle w:val="BodyText"/>
      </w:pPr>
      <w:r>
        <w:rPr>
          <w:b/>
          <w:bCs/>
        </w:rPr>
        <w:t xml:space="preserve">Time.</w:t>
      </w:r>
      <w:r>
        <w:t xml:space="preserve"> </w:t>
      </w:r>
      <w:r>
        <w:t xml:space="preserve">Every measured row carries a document year. Each endpoint was refitted on its pre-cutoff</w:t>
      </w:r>
      <w:r>
        <w:t xml:space="preserve"> </w:t>
      </w:r>
      <w:r>
        <w:t xml:space="preserve">rows alone, with its decision threshold also frozen before the cutoff, and tested on compounds first</w:t>
      </w:r>
      <w:r>
        <w:t xml:space="preserve"> </w:t>
      </w:r>
      <w:r>
        <w:t xml:space="preserve">published afterwards. Each was fitted a second time on a size-matched random split, so that a drop</w:t>
      </w:r>
      <w:r>
        <w:t xml:space="preserve"> </w:t>
      </w:r>
      <w:r>
        <w:t xml:space="preserve">could be attributed to the temporal wall rather than to the smaller training set that a time split</w:t>
      </w:r>
      <w:r>
        <w:t xml:space="preserve"> </w:t>
      </w:r>
      <w:r>
        <w:t xml:space="preserve">necessarily has. 39 of the 47 deployed endpoints carry enough dated chemistry on both sides</w:t>
      </w:r>
      <w:r>
        <w:t xml:space="preserve"> </w:t>
      </w:r>
      <w:r>
        <w:t xml:space="preserve">to be assessed.</w:t>
      </w:r>
    </w:p>
    <w:p>
      <w:pPr>
        <w:pStyle w:val="BodyText"/>
      </w:pPr>
      <w:r>
        <w:rPr>
          <w:b/>
          <w:bCs/>
        </w:rPr>
        <w:t xml:space="preserve">Provenance.</w:t>
      </w:r>
      <w:r>
        <w:t xml:space="preserve"> </w:t>
      </w:r>
      <w:r>
        <w:t xml:space="preserve">Compounds deposited in BindingDB and absent from ChEMBL are curated by different people from different papers. Refitting on the ChEMBL side and testing on the BindingDB-only side asks whether the signal is a property of the chemistry or of one database’s habits; 3 endpoints carry enough of it to be assessed.</w:t>
      </w:r>
    </w:p>
    <w:p>
      <w:pPr>
        <w:pStyle w:val="BodyText"/>
      </w:pPr>
      <w:r>
        <w:t xml:space="preserve">The findings are mixed and are reported as such. Specificity transfers essentially unchanged, so a</w:t>
      </w:r>
      <w:r>
        <w:t xml:space="preserve"> </w:t>
      </w:r>
      <w:r>
        <w:t xml:space="preserve">temporal wall does not make the panel reckless. Ranking against background chemistry survives, at a</w:t>
      </w:r>
      <w:r>
        <w:t xml:space="preserve"> </w:t>
      </w:r>
      <w:r>
        <w:t xml:space="preserve">mean AUROC cost of 0.062. Ranking against measured inactives at the same</w:t>
      </w:r>
      <w:r>
        <w:t xml:space="preserve"> </w:t>
      </w:r>
      <w:r>
        <w:t xml:space="preserve">target costs 0.128, which is the harder and more relevant task.</w:t>
      </w:r>
      <w:r>
        <w:t xml:space="preserve"> </w:t>
      </w:r>
      <w:r>
        <w:t xml:space="preserve">Sensitivity at the deployed operating point is the weakest claim: the panel does not become wrong on</w:t>
      </w:r>
      <w:r>
        <w:t xml:space="preserve"> </w:t>
      </w:r>
      <w:r>
        <w:t xml:space="preserve">new chemistry, it becomes quiet, and the deployed sensitivity figures overstate what a user</w:t>
      </w:r>
      <w:r>
        <w:t xml:space="preserve"> </w:t>
      </w:r>
      <w:r>
        <w:t xml:space="preserve">submitting a genuinely novel scaffold should expect.</w:t>
      </w:r>
    </w:p>
    <w:p>
      <w:pPr>
        <w:pStyle w:val="BodyText"/>
      </w:pPr>
      <w:r>
        <w:t xml:space="preserve">What remains true of the original criticism, and is stated in 6.5.5 rather than buried: none of this</w:t>
      </w:r>
      <w:r>
        <w:t xml:space="preserve"> </w:t>
      </w:r>
      <w:r>
        <w:t xml:space="preserve">is prospective in the strict sense, because no compound here was predicted before it was measured.</w:t>
      </w:r>
      <w:r>
        <w:t xml:space="preserve"> </w:t>
      </w:r>
      <w:r>
        <w:t xml:space="preserve">The dates are real and the analysis is retrospective. It does not replace an external set for the</w:t>
      </w:r>
      <w:r>
        <w:t xml:space="preserve"> </w:t>
      </w:r>
      <w:r>
        <w:t xml:space="preserve">target panel, and it does not cover targets whose chemistry appeared in a single burst of</w:t>
      </w:r>
      <w:r>
        <w:t xml:space="preserve"> </w:t>
      </w:r>
      <w:r>
        <w:t xml:space="preserve">publications, which are excluded for want of anything beyond the wall.</w:t>
      </w:r>
    </w:p>
    <w:p>
      <w:pPr>
        <w:pStyle w:val="BodyText"/>
      </w:pPr>
      <w:r>
        <w:t xml:space="preserve">reinstated while GluA2 began failing and was withdrawn.</w:t>
      </w:r>
    </w:p>
    <w:p>
      <w:r>
        <w:pict>
          <v:rect style="width:0;height:1.5pt" o:hralign="center" o:hrstd="t" o:hr="t"/>
        </w:pict>
      </w:r>
    </w:p>
    <w:bookmarkEnd w:id="69"/>
    <w:bookmarkEnd w:id="70"/>
    <w:bookmarkEnd w:id="71"/>
    <w:bookmarkStart w:id="74" w:name="glossary"/>
    <w:p>
      <w:pPr>
        <w:pStyle w:val="Heading2"/>
      </w:pPr>
      <w:r>
        <w:t xml:space="preserve">9. Glossary</w:t>
      </w:r>
    </w:p>
    <w:bookmarkStart w:id="72"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72"/>
    <w:bookmarkStart w:id="73"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73"/>
    <w:bookmarkEnd w:id="74"/>
    <w:bookmarkStart w:id="76"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75"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75"/>
    <w:bookmarkEnd w:id="76"/>
    <w:bookmarkStart w:id="77"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77"/>
    <w:bookmarkStart w:id="9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79" name="Picture"/>
            <a:graphic>
              <a:graphicData uri="http://schemas.openxmlformats.org/drawingml/2006/picture">
                <pic:pic>
                  <pic:nvPicPr>
                    <pic:cNvPr descr="D:/BRAINSAFE_AI/manuscript/figures/Figure10_endpoint_selection.png" id="80" name="Picture"/>
                    <pic:cNvPicPr>
                      <a:picLocks noChangeArrowheads="1" noChangeAspect="1"/>
                    </pic:cNvPicPr>
                  </pic:nvPicPr>
                  <pic:blipFill>
                    <a:blip r:embed="rId78"/>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82" name="Picture"/>
            <a:graphic>
              <a:graphicData uri="http://schemas.openxmlformats.org/drawingml/2006/picture">
                <pic:pic>
                  <pic:nvPicPr>
                    <pic:cNvPr descr="D:/BRAINSAFE_AI/manuscript/figures/Figure1_architecture.png" id="83" name="Picture"/>
                    <pic:cNvPicPr>
                      <a:picLocks noChangeArrowheads="1" noChangeAspect="1"/>
                    </pic:cNvPicPr>
                  </pic:nvPicPr>
                  <pic:blipFill>
                    <a:blip r:embed="rId81"/>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85" name="Picture"/>
            <a:graphic>
              <a:graphicData uri="http://schemas.openxmlformats.org/drawingml/2006/picture">
                <pic:pic>
                  <pic:nvPicPr>
                    <pic:cNvPr descr="D:/BRAINSAFE_AI/manuscript/figures/Figure9_model_atlas.png" id="86" name="Picture"/>
                    <pic:cNvPicPr>
                      <a:picLocks noChangeArrowheads="1" noChangeAspect="1"/>
                    </pic:cNvPicPr>
                  </pic:nvPicPr>
                  <pic:blipFill>
                    <a:blip r:embed="rId84"/>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every check shown at the same size whatever its verdict.</w:t>
      </w:r>
    </w:p>
    <w:p>
      <w:pPr>
        <w:pStyle w:val="CaptionedFigure"/>
      </w:pPr>
      <w:r>
        <w:drawing>
          <wp:inline>
            <wp:extent cx="5969000" cy="4428392"/>
            <wp:effectExtent b="0" l="0" r="0" t="0"/>
            <wp:docPr descr="Figure A4" title="" id="88" name="Picture"/>
            <a:graphic>
              <a:graphicData uri="http://schemas.openxmlformats.org/drawingml/2006/picture">
                <pic:pic>
                  <pic:nvPicPr>
                    <pic:cNvPr descr="D:/BRAINSAFE_AI/manuscript/figures/Figure6_validation.png" id="89" name="Picture"/>
                    <pic:cNvPicPr>
                      <a:picLocks noChangeArrowheads="1" noChangeAspect="1"/>
                    </pic:cNvPicPr>
                  </pic:nvPicPr>
                  <pic:blipFill>
                    <a:blip r:embed="rId87"/>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External validation. An aggregate gap between a time split and a size-matched random split that looks like prospective decay, the difference in test-set composition that produces it, and the single recall-against-distance curve traced by three test sets withheld by unrelated rules: by date, at random, and by curator.</w:t>
      </w:r>
    </w:p>
    <w:p>
      <w:pPr>
        <w:pStyle w:val="CaptionedFigure"/>
      </w:pPr>
      <w:r>
        <w:drawing>
          <wp:inline>
            <wp:extent cx="5969000" cy="5326313"/>
            <wp:effectExtent b="0" l="0" r="0" t="0"/>
            <wp:docPr descr="Figure A5" title="" id="91" name="Picture"/>
            <a:graphic>
              <a:graphicData uri="http://schemas.openxmlformats.org/drawingml/2006/picture">
                <pic:pic>
                  <pic:nvPicPr>
                    <pic:cNvPr descr="D:/BRAINSAFE_AI/manuscript/figures/Figure11_external_validation.png" id="92" name="Picture"/>
                    <pic:cNvPicPr>
                      <a:picLocks noChangeArrowheads="1" noChangeAspect="1"/>
                    </pic:cNvPicPr>
                  </pic:nvPicPr>
                  <pic:blipFill>
                    <a:blip r:embed="rId90"/>
                    <a:stretch>
                      <a:fillRect/>
                    </a:stretch>
                  </pic:blipFill>
                  <pic:spPr bwMode="auto">
                    <a:xfrm>
                      <a:off x="0" y="0"/>
                      <a:ext cx="5969000" cy="5326313"/>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6" title="" id="94" name="Picture"/>
            <a:graphic>
              <a:graphicData uri="http://schemas.openxmlformats.org/drawingml/2006/picture">
                <pic:pic>
                  <pic:nvPicPr>
                    <pic:cNvPr descr="D:/BRAINSAFE_AI/manuscript/figures/Figure7_binder_panel.png" id="95" name="Picture"/>
                    <pic:cNvPicPr>
                      <a:picLocks noChangeArrowheads="1" noChangeAspect="1"/>
                    </pic:cNvPicPr>
                  </pic:nvPicPr>
                  <pic:blipFill>
                    <a:blip r:embed="rId9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A6</w:t>
      </w:r>
    </w:p>
    <w:p>
      <w:pPr>
        <w:pStyle w:val="BodyText"/>
      </w:pPr>
      <w:r>
        <w:rPr>
          <w:b/>
          <w:bCs/>
        </w:rPr>
        <w:t xml:space="preserve">Figure A7.</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7" title="" id="97" name="Picture"/>
            <a:graphic>
              <a:graphicData uri="http://schemas.openxmlformats.org/drawingml/2006/picture">
                <pic:pic>
                  <pic:nvPicPr>
                    <pic:cNvPr descr="D:/BRAINSAFE_AI/manuscript/figures/Figure5_negative_class.png" id="98" name="Picture"/>
                    <pic:cNvPicPr>
                      <a:picLocks noChangeArrowheads="1" noChangeAspect="1"/>
                    </pic:cNvPicPr>
                  </pic:nvPicPr>
                  <pic:blipFill>
                    <a:blip r:embed="rId96"/>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A7</w:t>
      </w:r>
    </w:p>
    <w:bookmarkEnd w:id="99"/>
    <w:bookmarkEnd w:id="10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png"/><Relationship Id="rId90" Type="http://schemas.openxmlformats.org/officeDocument/2006/relationships/image" Target="media/rId90.png"/><Relationship Id="rId81" Type="http://schemas.openxmlformats.org/officeDocument/2006/relationships/image" Target="media/rId81.png"/><Relationship Id="rId96" Type="http://schemas.openxmlformats.org/officeDocument/2006/relationships/image" Target="media/rId96.png"/><Relationship Id="rId87" Type="http://schemas.openxmlformats.org/officeDocument/2006/relationships/image" Target="media/rId87.png"/><Relationship Id="rId93" Type="http://schemas.openxmlformats.org/officeDocument/2006/relationships/image" Target="media/rId93.png"/><Relationship Id="rId84" Type="http://schemas.openxmlformats.org/officeDocument/2006/relationships/image" Target="media/rId84.png"/><Relationship Id="rId18" Type="http://schemas.openxmlformats.org/officeDocument/2006/relationships/image" Target="media/rId18.png"/><Relationship Id="rId21" Type="http://schemas.openxmlformats.org/officeDocument/2006/relationships/image" Target="media/rId21.png"/><Relationship Id="rId35" Type="http://schemas.openxmlformats.org/officeDocument/2006/relationships/image" Target="media/rId35.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2026-08-24T09:56:30Z</dcterms:created>
  <dcterms:modified xsi:type="dcterms:W3CDTF">2026-08-24T09:56:30Z</dcterms:modified>
</cp:coreProperties>
</file>

<file path=docProps/custom.xml><?xml version="1.0" encoding="utf-8"?>
<Properties xmlns="http://schemas.openxmlformats.org/officeDocument/2006/custom-properties" xmlns:vt="http://schemas.openxmlformats.org/officeDocument/2006/docPropsVTypes"/>
</file>