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6" w:name="Xe423728672fae46c390e7246847d816e7701c08"/>
    <w:p>
      <w:pPr>
        <w:pStyle w:val="Heading1"/>
      </w:pPr>
      <w:r>
        <w:t xml:space="preserve">BrainSafe AI: a calibrated, applicability-aware web server for multi-endpoint prediction of small-molecule effects on the human brain</w:t>
      </w:r>
    </w:p>
    <w:p>
      <w:pPr>
        <w:pStyle w:val="FirstParagraph"/>
      </w:pPr>
      <w:r>
        <w:rPr>
          <w:b/>
          <w:bCs/>
        </w:rPr>
        <w:t xml:space="preserve">Authors:</w:t>
      </w:r>
      <w:r>
        <w:t xml:space="preserve"> </w:t>
      </w:r>
      <w:r>
        <w:t xml:space="preserve">[Author list to be finalised]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[email]</w:t>
      </w:r>
    </w:p>
    <w:p>
      <w:pPr>
        <w:pStyle w:val="BodyText"/>
      </w:pPr>
      <w:r>
        <w:rPr>
          <w:b/>
          <w:bCs/>
        </w:rPr>
        <w:t xml:space="preserve">Manuscript type:</w:t>
      </w:r>
      <w:r>
        <w:t xml:space="preserve"> </w:t>
      </w:r>
      <w:r>
        <w:t xml:space="preserve">NAR Web Server Issue.</w:t>
      </w:r>
    </w:p>
    <w:p>
      <w:pPr>
        <w:pStyle w:val="BodyText"/>
      </w:pPr>
      <w:r>
        <w:rPr>
          <w:b/>
          <w:bCs/>
        </w:rPr>
        <w:t xml:space="preserve">Repository:</w:t>
      </w:r>
      <w:r>
        <w:t xml:space="preserve"> </w:t>
      </w:r>
      <w:r>
        <w:t xml:space="preserve">https://github.com/krishna-g-999/brainsafe-ai</w:t>
      </w:r>
    </w:p>
    <w:p>
      <w:r>
        <w:pict>
          <v:rect style="width:0;height:1.5pt" o:hralign="center" o:hrstd="t" o:hr="t"/>
        </w:pict>
      </w:r>
    </w:p>
    <w:bookmarkStart w:id="9" w:name="abstract"/>
    <w:p>
      <w:pPr>
        <w:pStyle w:val="Heading2"/>
      </w:pPr>
      <w:r>
        <w:t xml:space="preserve">Abstract</w:t>
      </w:r>
    </w:p>
    <w:p>
      <w:pPr>
        <w:pStyle w:val="FirstParagraph"/>
      </w:pPr>
      <w:r>
        <w:t xml:space="preserve">Deciding whether a small molecule is likely to act on the brain requires answering several</w:t>
      </w:r>
      <w:r>
        <w:t xml:space="preserve"> </w:t>
      </w:r>
      <w:r>
        <w:t xml:space="preserve">questions at once: can it cross the blood-brain barrier, which disease-relevant targets does it</w:t>
      </w:r>
      <w:r>
        <w:t xml:space="preserve"> </w:t>
      </w:r>
      <w:r>
        <w:t xml:space="preserve">engage, does an achievable dose deliver free drug to the central nervous system, and is it safe.</w:t>
      </w:r>
      <w:r>
        <w:t xml:space="preserve"> </w:t>
      </w:r>
      <w:r>
        <w:t xml:space="preserve">BrainSafe AI is an open web server that answers these questions from chemical structure alone. It</w:t>
      </w:r>
      <w:r>
        <w:t xml:space="preserve"> </w:t>
      </w:r>
      <w:r>
        <w:t xml:space="preserve">integrates 66 models trained on measured public bioactivity data (ChEMBL, BindingDB and the B3DB</w:t>
      </w:r>
      <w:r>
        <w:t xml:space="preserve"> </w:t>
      </w:r>
      <w:r>
        <w:t xml:space="preserve">blood-brain-barrier database): 50 molecular-target endpoints spanning blood-brain-barrier</w:t>
      </w:r>
      <w:r>
        <w:t xml:space="preserve"> </w:t>
      </w:r>
      <w:r>
        <w:t xml:space="preserve">penetration, the principal neurodegenerative, psychiatric, neuroinflammatory, epileptic, analgesic</w:t>
      </w:r>
      <w:r>
        <w:t xml:space="preserve"> </w:t>
      </w:r>
      <w:r>
        <w:t xml:space="preserve">and sleep-related target classes, and two cardiac safety liabilities, together with a nine-endpoint</w:t>
      </w:r>
      <w:r>
        <w:t xml:space="preserve"> </w:t>
      </w:r>
      <w:r>
        <w:t xml:space="preserve">ADME and exposure layer that includes a directly modelled unbound brain-to-plasma partition</w:t>
      </w:r>
      <w:r>
        <w:t xml:space="preserve"> </w:t>
      </w:r>
      <w:r>
        <w:t xml:space="preserve">coefficient. Every endpoint is validated under 10-fold cross-validation in two regimes, a random</w:t>
      </w:r>
      <w:r>
        <w:t xml:space="preserve"> </w:t>
      </w:r>
      <w:r>
        <w:t xml:space="preserve">split and a scaffold-grouped split that holds out entire chemical series. Predictions are</w:t>
      </w:r>
      <w:r>
        <w:t xml:space="preserve"> </w:t>
      </w:r>
      <w:r>
        <w:t xml:space="preserve">probability-calibrated, carry an endpoint-specific applicability-domain flag with the nearest</w:t>
      </w:r>
      <w:r>
        <w:t xml:space="preserve"> </w:t>
      </w:r>
      <w:r>
        <w:t xml:space="preserve">measured analogue, and are combined into per-disease relevance scores, filtered by blood-brain-barrier</w:t>
      </w:r>
      <w:r>
        <w:t xml:space="preserve"> </w:t>
      </w:r>
      <w:r>
        <w:t xml:space="preserve">exposure and traced through a curated target-to-pathway-to-disease knowledge graph of 49 targets</w:t>
      </w:r>
      <w:r>
        <w:t xml:space="preserve"> </w:t>
      </w:r>
      <w:r>
        <w:t xml:space="preserve">spanning fourteen brain conditions. The measured-label classifier panel reaches a mean scaffold-split</w:t>
      </w:r>
      <w:r>
        <w:t xml:space="preserve"> </w:t>
      </w:r>
      <w:r>
        <w:t xml:space="preserve">AUROC of 0.92. The binder panel is validated not against the decoys used to train it but against</w:t>
      </w:r>
      <w:r>
        <w:t xml:space="preserve"> </w:t>
      </w:r>
      <w:r>
        <w:t xml:space="preserve">compounds experimentally tested on the same target and found inactive, giving a mean AUROC of 0.955</w:t>
      </w:r>
      <w:r>
        <w:t xml:space="preserve"> </w:t>
      </w:r>
      <w:r>
        <w:t xml:space="preserve">across 41 targets, with a mean sensitivity of 0.898 at thresholds constrained simultaneously by</w:t>
      </w:r>
      <w:r>
        <w:t xml:space="preserve"> </w:t>
      </w:r>
      <w:r>
        <w:t xml:space="preserve">held-out measured inactives and by the false-positive rate on unrelated chemistry.</w:t>
      </w:r>
    </w:p>
    <w:p>
      <w:pPr>
        <w:pStyle w:val="BodyText"/>
      </w:pPr>
      <w:r>
        <w:t xml:space="preserve">Beyond conventional validation, the server was subjected to a systematic falsification analysis in</w:t>
      </w:r>
      <w:r>
        <w:t xml:space="preserve"> </w:t>
      </w:r>
      <w:r>
        <w:t xml:space="preserve">which each of its central claims was paired with a null model capable of reproducing the same</w:t>
      </w:r>
      <w:r>
        <w:t xml:space="preserve"> </w:t>
      </w:r>
      <w:r>
        <w:t xml:space="preserve">apparent success by accident. This recovered results in both directions. The disease layer is</w:t>
      </w:r>
      <w:r>
        <w:t xml:space="preserve"> </w:t>
      </w:r>
      <w:r>
        <w:t xml:space="preserve">informative (top-3 accuracy 0.794 against a permutation null of 0.207), but its curated edge weights</w:t>
      </w:r>
      <w:r>
        <w:t xml:space="preserve"> </w:t>
      </w:r>
      <w:r>
        <w:t xml:space="preserve">are not: uniform and randomly permuted weights score 0.7935 and 0.7922 against 0.7943, so the</w:t>
      </w:r>
      <w:r>
        <w:t xml:space="preserve"> </w:t>
      </w:r>
      <w:r>
        <w:t xml:space="preserve">predictive content lies in the graph topology and the weights are reported as structure rather than</w:t>
      </w:r>
      <w:r>
        <w:t xml:space="preserve"> </w:t>
      </w:r>
      <w:r>
        <w:t xml:space="preserve">as tuned parameters. Validated against clinical indications drawn from ChEMBL rather than against the</w:t>
      </w:r>
      <w:r>
        <w:t xml:space="preserve"> </w:t>
      </w:r>
      <w:r>
        <w:t xml:space="preserve">tool’s own target-to-disease map, the disease scores exceed a permutation null decisively but do not</w:t>
      </w:r>
      <w:r>
        <w:t xml:space="preserve"> </w:t>
      </w:r>
      <w:r>
        <w:t xml:space="preserve">exceed a constant baseline naming the three commonest indications, and this is stated rather than</w:t>
      </w:r>
      <w:r>
        <w:t xml:space="preserve"> </w:t>
      </w:r>
      <w:r>
        <w:t xml:space="preserve">omitted. The same analysis identified a deployed endpoint, Nav1.1, that assigned binder probabilities</w:t>
      </w:r>
      <w:r>
        <w:t xml:space="preserve"> </w:t>
      </w:r>
      <w:r>
        <w:t xml:space="preserve">between 0.801 and 0.816 to glucose, urea, acetate and glycine against a threshold of 0.796; it was</w:t>
      </w:r>
      <w:r>
        <w:t xml:space="preserve"> </w:t>
      </w:r>
      <w:r>
        <w:t xml:space="preserve">withdrawn. The server returns an auditable, mechanistically interpretable brain-relevance profile</w:t>
      </w:r>
      <w:r>
        <w:t xml:space="preserve"> </w:t>
      </w:r>
      <w:r>
        <w:t xml:space="preserve">rather than a single opaque score, exportable as a tidy data table, a self-contained report, a</w:t>
      </w:r>
      <w:r>
        <w:t xml:space="preserve"> </w:t>
      </w:r>
      <w:r>
        <w:t xml:space="preserve">structured record or a vector figure, and supports batch screening of compound sets. BrainSafe AI is</w:t>
      </w:r>
      <w:r>
        <w:t xml:space="preserve"> </w:t>
      </w:r>
      <w:r>
        <w:t xml:space="preserve">freely available at [URL].</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Central-nervous-system drug discovery has a distinctive failure profile: a candidate can be potent</w:t>
      </w:r>
      <w:r>
        <w:t xml:space="preserve"> </w:t>
      </w:r>
      <w:r>
        <w:t xml:space="preserve">against its intended target yet never reach the brain, or reach it but carry an unacceptable safety</w:t>
      </w:r>
      <w:r>
        <w:t xml:space="preserve"> </w:t>
      </w:r>
      <w:r>
        <w:t xml:space="preserve">liability, or engage unintended targets that reshape its clinical profile. Answering</w:t>
      </w:r>
      <w:r>
        <w:t xml:space="preserve"> </w:t>
      </w:r>
      <w:r>
        <w:t xml:space="preserve">“will this</w:t>
      </w:r>
      <w:r>
        <w:t xml:space="preserve"> </w:t>
      </w:r>
      <w:r>
        <w:t xml:space="preserve">molecule affect the brain, how, and is it safe”</w:t>
      </w:r>
      <w:r>
        <w:t xml:space="preserve"> </w:t>
      </w:r>
      <w:r>
        <w:t xml:space="preserve">therefore means combining blood-brain-barrier (BBB)</w:t>
      </w:r>
      <w:r>
        <w:t xml:space="preserve"> </w:t>
      </w:r>
      <w:r>
        <w:t xml:space="preserve">penetration, disease-relevant target engagement, free-brain exposure, and safety into one readout.</w:t>
      </w:r>
      <w:r>
        <w:t xml:space="preserve"> </w:t>
      </w:r>
      <w:r>
        <w:t xml:space="preserve">Existing public tools typically address one of these axes in isolation, and large language models,</w:t>
      </w:r>
      <w:r>
        <w:t xml:space="preserve"> </w:t>
      </w:r>
      <w:r>
        <w:t xml:space="preserve">while fluent, fabricate measured identifiers and cannot supply a calibrated, auditable answer.</w:t>
      </w:r>
    </w:p>
    <w:p>
      <w:pPr>
        <w:pStyle w:val="BodyText"/>
      </w:pPr>
      <w:r>
        <w:t xml:space="preserve">BrainSafe AI is a web server that unifies these axes for any user-supplied structure. Its design</w:t>
      </w:r>
      <w:r>
        <w:t xml:space="preserve"> </w:t>
      </w:r>
      <w:r>
        <w:t xml:space="preserve">priorities are three. First, every machine-learning endpoint is trained only on</w:t>
      </w:r>
      <w:r>
        <w:t xml:space="preserve"> </w:t>
      </w:r>
      <w:r>
        <w:rPr>
          <w:i/>
          <w:iCs/>
        </w:rPr>
        <w:t xml:space="preserve">measured</w:t>
      </w:r>
      <w:r>
        <w:t xml:space="preserve"> </w:t>
      </w:r>
      <w:r>
        <w:t xml:space="preserve">experimental data, never on qualitative annotation, so predictions are not circular. Second, every</w:t>
      </w:r>
      <w:r>
        <w:t xml:space="preserve"> </w:t>
      </w:r>
      <w:r>
        <w:t xml:space="preserve">prediction is reported with its uncertainty: a calibrated probability, an applicability-domain flag,</w:t>
      </w:r>
      <w:r>
        <w:t xml:space="preserve"> </w:t>
      </w:r>
      <w:r>
        <w:t xml:space="preserve">and the nearest measured analogue behind it, so the user always knows whether a number is</w:t>
      </w:r>
      <w:r>
        <w:t xml:space="preserve"> </w:t>
      </w:r>
      <w:r>
        <w:t xml:space="preserve">interpolation or extrapolation. Third, predictions are made mechanistically interpretable: individual</w:t>
      </w:r>
      <w:r>
        <w:t xml:space="preserve"> </w:t>
      </w:r>
      <w:r>
        <w:t xml:space="preserve">target engagements are traced through a curated target-to-pathway-to-disease knowledge graph into</w:t>
      </w:r>
      <w:r>
        <w:t xml:space="preserve"> </w:t>
      </w:r>
      <w:r>
        <w:t xml:space="preserve">per-disease relevance scores, filtered by predicted blood-brain-barrier exposure, so a result is an</w:t>
      </w:r>
      <w:r>
        <w:t xml:space="preserve"> </w:t>
      </w:r>
      <w:r>
        <w:t xml:space="preserve">explanation rather than a bare number.</w:t>
      </w:r>
    </w:p>
    <w:bookmarkEnd w:id="10"/>
    <w:bookmarkStart w:id="22" w:name="materials-and-methods"/>
    <w:p>
      <w:pPr>
        <w:pStyle w:val="Heading2"/>
      </w:pPr>
      <w:r>
        <w:t xml:space="preserve">Materials and Methods</w:t>
      </w:r>
    </w:p>
    <w:bookmarkStart w:id="11" w:name="Xdb3750f0fc85f3d78be7b9f10b15653ee97af2f"/>
    <w:p>
      <w:pPr>
        <w:pStyle w:val="Heading3"/>
      </w:pPr>
      <w:r>
        <w:t xml:space="preserve">Endpoint selection and scientific rationale</w:t>
      </w:r>
    </w:p>
    <w:p>
      <w:pPr>
        <w:pStyle w:val="FirstParagraph"/>
      </w:pPr>
      <w:r>
        <w:t xml:space="preserve">The endpoint panel is organised around the four sequential questions a CNS candidate must satisfy</w:t>
      </w:r>
      <w:r>
        <w:t xml:space="preserve"> </w:t>
      </w:r>
      <w:r>
        <w:t xml:space="preserve">(Figure 1).</w:t>
      </w:r>
      <w:r>
        <w:t xml:space="preserve"> </w:t>
      </w:r>
      <w:r>
        <w:rPr>
          <w:i/>
          <w:iCs/>
        </w:rPr>
        <w:t xml:space="preserve">Exposure</w:t>
      </w:r>
      <w:r>
        <w:t xml:space="preserve">: a molecule that reaches no free concentration in brain tissue cannot act</w:t>
      </w:r>
      <w:r>
        <w:t xml:space="preserve"> </w:t>
      </w:r>
      <w:r>
        <w:t xml:space="preserve">centrally however potent it is, so BBB penetration, the unbound brain-to-plasma ratio (K_p,uu), total</w:t>
      </w:r>
      <w:r>
        <w:t xml:space="preserve"> </w:t>
      </w:r>
      <w:r>
        <w:t xml:space="preserve">brain distribution (logBB), P-glycoprotein efflux and passive permeability are modelled first.</w:t>
      </w:r>
      <w:r>
        <w:t xml:space="preserve"> </w:t>
      </w:r>
      <w:r>
        <w:rPr>
          <w:i/>
          <w:iCs/>
        </w:rPr>
        <w:t xml:space="preserve">Target engagement</w:t>
      </w:r>
      <w:r>
        <w:t xml:space="preserve">: the panel covers the cholinergic axis (AChE, BChE, alpha-7 nicotinic receptor)</w:t>
      </w:r>
      <w:r>
        <w:t xml:space="preserve"> </w:t>
      </w:r>
      <w:r>
        <w:t xml:space="preserve">and the amyloid and tau axes (BACE1, GSK-3beta) central to Alzheimer’s disease; monoamine oxidase B</w:t>
      </w:r>
      <w:r>
        <w:t xml:space="preserve"> </w:t>
      </w:r>
      <w:r>
        <w:t xml:space="preserve">and LRRK2 for Parkinson’s disease, the latter being the most common genetic cause; the serotonergic,</w:t>
      </w:r>
      <w:r>
        <w:t xml:space="preserve"> </w:t>
      </w:r>
      <w:r>
        <w:t xml:space="preserve">dopaminergic, noradrenergic, opioid, cannabinoid, histaminergic, adenosine and sigma-1 systems that</w:t>
      </w:r>
      <w:r>
        <w:t xml:space="preserve"> </w:t>
      </w:r>
      <w:r>
        <w:t xml:space="preserve">underlie depression, anxiety, psychosis, addiction, attention deficit, chronic pain, and sleep</w:t>
      </w:r>
      <w:r>
        <w:t xml:space="preserve"> </w:t>
      </w:r>
      <w:r>
        <w:t xml:space="preserve">regulation.</w:t>
      </w:r>
      <w:r>
        <w:t xml:space="preserve"> </w:t>
      </w:r>
      <w:r>
        <w:rPr>
          <w:i/>
          <w:iCs/>
        </w:rPr>
        <w:t xml:space="preserve">Safety</w:t>
      </w:r>
      <w:r>
        <w:t xml:space="preserve">: hERG blockade is a leading cause of late-stage cardiovascular attrition and is</w:t>
      </w:r>
      <w:r>
        <w:t xml:space="preserve"> </w:t>
      </w:r>
      <w:r>
        <w:t xml:space="preserve">modelled as an explicit liability.</w:t>
      </w:r>
      <w:r>
        <w:t xml:space="preserve"> </w:t>
      </w:r>
      <w:r>
        <w:rPr>
          <w:i/>
          <w:iCs/>
        </w:rPr>
        <w:t xml:space="preserve">Developability</w:t>
      </w:r>
      <w:r>
        <w:t xml:space="preserve">: solubility, lipophilicity, plasma protein binding</w:t>
      </w:r>
      <w:r>
        <w:t xml:space="preserve"> </w:t>
      </w:r>
      <w:r>
        <w:t xml:space="preserve">and hepatocyte clearance determine whether an achievable dose sustains exposure, and a measured</w:t>
      </w:r>
      <w:r>
        <w:t xml:space="preserve"> </w:t>
      </w:r>
      <w:r>
        <w:t xml:space="preserve">antioxidant endpoint captures the oxidative-stress axis common to neurodegeneration.</w:t>
      </w:r>
    </w:p>
    <w:p>
      <w:pPr>
        <w:pStyle w:val="BodyText"/>
      </w:pPr>
      <w:r>
        <w:t xml:space="preserve">In total the server comprises 59 endpoints (50 molecular-target endpoints and 9 ADME endpoints),</w:t>
      </w:r>
      <w:r>
        <w:t xml:space="preserve"> </w:t>
      </w:r>
      <w:r>
        <w:t xml:space="preserve">realised as 63 trained models because four receptor targets are represented both as potency</w:t>
      </w:r>
      <w:r>
        <w:t xml:space="preserve"> </w:t>
      </w:r>
      <w:r>
        <w:t xml:space="preserve">regressions and as binder classifiers.</w:t>
      </w:r>
    </w:p>
    <w:bookmarkEnd w:id="11"/>
    <w:bookmarkStart w:id="12" w:name="training-data"/>
    <w:p>
      <w:pPr>
        <w:pStyle w:val="Heading3"/>
      </w:pPr>
      <w:r>
        <w:t xml:space="preserve">Training data</w:t>
      </w:r>
    </w:p>
    <w:p>
      <w:pPr>
        <w:pStyle w:val="FirstParagraph"/>
      </w:pPr>
      <w:r>
        <w:t xml:space="preserve">Protein-target activity is pooled from ChEMBL (pChEMBL values) and BindingDB at the compound level;</w:t>
      </w:r>
      <w:r>
        <w:t xml:space="preserve"> </w:t>
      </w:r>
      <w:r>
        <w:t xml:space="preserve">BBB penetration uses the B3DB database augmented with FDA-curated approved drugs; the antioxidant</w:t>
      </w:r>
      <w:r>
        <w:t xml:space="preserve"> </w:t>
      </w:r>
      <w:r>
        <w:t xml:space="preserve">endpoint uses measured DPPH pIC50 values; and the nine ADME endpoints use measured sets from</w:t>
      </w:r>
      <w:r>
        <w:t xml:space="preserve"> </w:t>
      </w:r>
      <w:r>
        <w:t xml:space="preserve">Therapeutics Data Commons, MoleculeNet, B3DB and ChEMBL. The core target panel is trained on 64,474</w:t>
      </w:r>
      <w:r>
        <w:t xml:space="preserve"> </w:t>
      </w:r>
      <w:r>
        <w:t xml:space="preserve">measured records across 61,317 unique compounds. No value is imputed and no source overrides a</w:t>
      </w:r>
      <w:r>
        <w:t xml:space="preserve"> </w:t>
      </w:r>
      <w:r>
        <w:t xml:space="preserve">measurement. Per-endpoint compound counts, scaffold counts and class balance are given in Tables 1 to 3.</w:t>
      </w:r>
    </w:p>
    <w:bookmarkEnd w:id="12"/>
    <w:bookmarkStart w:id="13" w:name="methods-compared-and-model-selection"/>
    <w:p>
      <w:pPr>
        <w:pStyle w:val="Heading3"/>
      </w:pPr>
      <w:r>
        <w:t xml:space="preserve">Methods compared and model selection</w:t>
      </w:r>
    </w:p>
    <w:p>
      <w:pPr>
        <w:pStyle w:val="FirstParagraph"/>
      </w:pPr>
      <w:r>
        <w:t xml:space="preserve">Molecules are represented by a 1024-bit ECFP-4 fingerprint plus twelve interpretable physicochemical</w:t>
      </w:r>
      <w:r>
        <w:t xml:space="preserve"> </w:t>
      </w:r>
      <w:r>
        <w:t xml:space="preserve">descriptors (molecular weight, cLogP, topological polar surface area, hydrogen-bond donors and</w:t>
      </w:r>
      <w:r>
        <w:t xml:space="preserve"> </w:t>
      </w:r>
      <w:r>
        <w:t xml:space="preserve">acceptors, rotatable bonds, aromatic rings, fraction sp3, ring count, heavy-atom count, formal charge,</w:t>
      </w:r>
      <w:r>
        <w:t xml:space="preserve"> </w:t>
      </w:r>
      <w:r>
        <w:t xml:space="preserve">and QED drug-likeness). We benchmarked five model families under identical 10-fold cross-validation on</w:t>
      </w:r>
      <w:r>
        <w:t xml:space="preserve"> </w:t>
      </w:r>
      <w:r>
        <w:t xml:space="preserve">both split regimes (Figure 4a). Two are baselines: a k-nearest-neighbour Tanimoto read-across, and</w:t>
      </w:r>
      <w:r>
        <w:t xml:space="preserve"> </w:t>
      </w:r>
      <w:r>
        <w:t xml:space="preserve">L2-regularised logistic regression. Two are gradient-boosted tree ensembles: XGBoost and histogram</w:t>
      </w:r>
      <w:r>
        <w:t xml:space="preserve"> </w:t>
      </w:r>
      <w:r>
        <w:t xml:space="preserve">gradient boosting. The fifth is a random forest. Separately, we trained a graph isomorphism network</w:t>
      </w:r>
      <w:r>
        <w:t xml:space="preserve"> </w:t>
      </w:r>
      <w:r>
        <w:t xml:space="preserve">(GIN) directly on molecular graphs to test whether a learned representation would beat fixed</w:t>
      </w:r>
      <w:r>
        <w:t xml:space="preserve"> </w:t>
      </w:r>
      <w:r>
        <w:t xml:space="preserve">descriptors (Figure 4b).</w:t>
      </w:r>
    </w:p>
    <w:p>
      <w:pPr>
        <w:pStyle w:val="BodyText"/>
      </w:pPr>
      <w:r>
        <w:t xml:space="preserve">On the scaffold split the random forest gave the highest mean classifier AUROC (0.914), ahead of</w:t>
      </w:r>
      <w:r>
        <w:t xml:space="preserve"> </w:t>
      </w:r>
      <w:r>
        <w:t xml:space="preserve">XGBoost (0.905), histogram gradient boosting (0.901), the k-nearest-neighbour read-across (0.867) and</w:t>
      </w:r>
      <w:r>
        <w:t xml:space="preserve"> </w:t>
      </w:r>
      <w:r>
        <w:t xml:space="preserve">logistic regression (0.808); paired DeLong and bootstrap tests confirm the random forest exceeds the</w:t>
      </w:r>
      <w:r>
        <w:t xml:space="preserve"> </w:t>
      </w:r>
      <w:r>
        <w:t xml:space="preserve">read-across on every endpoint. The graph neural network did not outperform the random forest on any</w:t>
      </w:r>
      <w:r>
        <w:t xml:space="preserve"> </w:t>
      </w:r>
      <w:r>
        <w:t xml:space="preserve">tested endpoint (Figure 4b), consistent with the fingerprint-plus-descriptor representation being</w:t>
      </w:r>
      <w:r>
        <w:t xml:space="preserve"> </w:t>
      </w:r>
      <w:r>
        <w:t xml:space="preserve">sufficient at this data scale. We therefore deploy a probability-calibrated random forest for every</w:t>
      </w:r>
      <w:r>
        <w:t xml:space="preserve"> </w:t>
      </w:r>
      <w:r>
        <w:t xml:space="preserve">endpoint: it gives the best scaffold-split accuracy, calibrates stably, is interpretable through</w:t>
      </w:r>
      <w:r>
        <w:t xml:space="preserve"> </w:t>
      </w:r>
      <w:r>
        <w:t xml:space="preserve">feature importance, and needs no GPU, which keeps the web server lightweight.</w:t>
      </w:r>
    </w:p>
    <w:bookmarkEnd w:id="13"/>
    <w:bookmarkStart w:id="14" w:name="cross-validation-design"/>
    <w:p>
      <w:pPr>
        <w:pStyle w:val="Heading3"/>
      </w:pPr>
      <w:r>
        <w:t xml:space="preserve">Cross-validation design</w:t>
      </w:r>
    </w:p>
    <w:p>
      <w:pPr>
        <w:pStyle w:val="FirstParagraph"/>
      </w:pPr>
      <w:r>
        <w:t xml:space="preserve">Every endpoint is evaluated by 10-fold cross-validation under two regimes (Figure 5a, 5b). In the</w:t>
      </w:r>
      <w:r>
        <w:t xml:space="preserve"> </w:t>
      </w:r>
      <w:r>
        <w:rPr>
          <w:b/>
          <w:bCs/>
        </w:rPr>
        <w:t xml:space="preserve">random</w:t>
      </w:r>
      <w:r>
        <w:t xml:space="preserve"> </w:t>
      </w:r>
      <w:r>
        <w:t xml:space="preserve">regime folds are drawn at random, so a test compound will usually have close analogues in</w:t>
      </w:r>
      <w:r>
        <w:t xml:space="preserve"> </w:t>
      </w:r>
      <w:r>
        <w:t xml:space="preserve">the training folds; this measures interpolation within known chemistry. In the</w:t>
      </w:r>
      <w:r>
        <w:t xml:space="preserve"> </w:t>
      </w:r>
      <w:r>
        <w:rPr>
          <w:b/>
          <w:bCs/>
        </w:rPr>
        <w:t xml:space="preserve">scaffold-grouped</w:t>
      </w:r>
      <w:r>
        <w:t xml:space="preserve"> </w:t>
      </w:r>
      <w:r>
        <w:t xml:space="preserve">regime folds are formed by GroupKFold over generic Bemis-Murcko scaffolds, so every compound sharing a</w:t>
      </w:r>
      <w:r>
        <w:t xml:space="preserve"> </w:t>
      </w:r>
      <w:r>
        <w:t xml:space="preserve">scaffold is assigned to the same fold and each fold holds out entire chemical series unseen during</w:t>
      </w:r>
      <w:r>
        <w:t xml:space="preserve"> </w:t>
      </w:r>
      <w:r>
        <w:t xml:space="preserve">training; this measures extrapolation to new chemotypes. Fold sizes are equal to within one compound in</w:t>
      </w:r>
      <w:r>
        <w:t xml:space="preserve"> </w:t>
      </w:r>
      <w:r>
        <w:t xml:space="preserve">both regimes, so the two are directly comparable. All reported means and standard deviations are across</w:t>
      </w:r>
      <w:r>
        <w:t xml:space="preserve"> </w:t>
      </w:r>
      <w:r>
        <w:t xml:space="preserve">the ten folds, and per-fold values for every endpoint are provided in the repository</w:t>
      </w:r>
      <w:r>
        <w:t xml:space="preserve"> </w:t>
      </w:r>
      <w:r>
        <w:t xml:space="preserve">(</w:t>
      </w:r>
      <w:r>
        <w:rPr>
          <w:rStyle w:val="VerbatimChar"/>
        </w:rPr>
        <w:t xml:space="preserve">results/tables/manuscript_T2_per_fold.csv</w:t>
      </w:r>
      <w:r>
        <w:t xml:space="preserve">).</w:t>
      </w:r>
    </w:p>
    <w:p>
      <w:pPr>
        <w:pStyle w:val="BodyText"/>
      </w:pPr>
      <w:r>
        <w:t xml:space="preserve">A third, more demanding regime is also reported. In the</w:t>
      </w:r>
      <w:r>
        <w:t xml:space="preserve"> </w:t>
      </w:r>
      <w:r>
        <w:rPr>
          <w:b/>
          <w:bCs/>
        </w:rPr>
        <w:t xml:space="preserve">temporal</w:t>
      </w:r>
      <w:r>
        <w:t xml:space="preserve"> </w:t>
      </w:r>
      <w:r>
        <w:t xml:space="preserve">split the model is trained only on</w:t>
      </w:r>
      <w:r>
        <w:t xml:space="preserve"> </w:t>
      </w:r>
      <w:r>
        <w:t xml:space="preserve">compounds published before a cutoff year and tested on compounds published after it (Table 5), which is</w:t>
      </w:r>
      <w:r>
        <w:t xml:space="preserve"> </w:t>
      </w:r>
      <w:r>
        <w:t xml:space="preserve">the closest available analogue of prospective use. Aggregate performance falls in this regime:</w:t>
      </w:r>
      <w:r>
        <w:t xml:space="preserve"> </w:t>
      </w:r>
      <w:r>
        <w:t xml:space="preserve">classifier AUROC averages 0.752 (range 0.611 to 0.908) against 0.919 under the scaffold split, and the</w:t>
      </w:r>
      <w:r>
        <w:t xml:space="preserve"> </w:t>
      </w:r>
      <w:r>
        <w:t xml:space="preserve">receptor potency regressions average R2 0.134. Because this figure determines how the tool should be</w:t>
      </w:r>
      <w:r>
        <w:t xml:space="preserve"> </w:t>
      </w:r>
      <w:r>
        <w:t xml:space="preserve">used, we investigated its cause rather than simply reporting it (next section).</w:t>
      </w:r>
    </w:p>
    <w:bookmarkEnd w:id="14"/>
    <w:bookmarkStart w:id="15" w:name="Xc932068ed470fd329ee98e71143b67fc93d3958"/>
    <w:p>
      <w:pPr>
        <w:pStyle w:val="Heading3"/>
      </w:pPr>
      <w:r>
        <w:t xml:space="preserve">What limits prospective performance, and how the server handles it</w:t>
      </w:r>
    </w:p>
    <w:p>
      <w:pPr>
        <w:pStyle w:val="FirstParagraph"/>
      </w:pPr>
      <w:r>
        <w:t xml:space="preserve">We tested four candidate explanations for the temporal drop.</w:t>
      </w:r>
    </w:p>
    <w:p>
      <w:pPr>
        <w:pStyle w:val="BodyText"/>
      </w:pPr>
      <w:r>
        <w:rPr>
          <w:i/>
          <w:iCs/>
        </w:rPr>
        <w:t xml:space="preserve">Range restriction.</w:t>
      </w:r>
      <w:r>
        <w:t xml:space="preserve"> </w:t>
      </w:r>
      <w:r>
        <w:t xml:space="preserve">R2 is normalised by the variance of the test set, so a narrowing potency window</w:t>
      </w:r>
      <w:r>
        <w:t xml:space="preserve"> </w:t>
      </w:r>
      <w:r>
        <w:t xml:space="preserve">over time would depress R2 without any loss of accuracy. This is refuted: the variance of the future</w:t>
      </w:r>
      <w:r>
        <w:t xml:space="preserve"> </w:t>
      </w:r>
      <w:r>
        <w:t xml:space="preserve">test set is equal to or larger than that of the training set for every regression endpoint (variance</w:t>
      </w:r>
      <w:r>
        <w:t xml:space="preserve"> </w:t>
      </w:r>
      <w:r>
        <w:t xml:space="preserve">ratio 0.92 to 1.89). The low R2 is not a normalisation artifact.</w:t>
      </w:r>
    </w:p>
    <w:p>
      <w:pPr>
        <w:pStyle w:val="BodyText"/>
      </w:pPr>
      <w:r>
        <w:rPr>
          <w:i/>
          <w:iCs/>
        </w:rPr>
        <w:t xml:space="preserve">Reduced training data.</w:t>
      </w:r>
      <w:r>
        <w:t xml:space="preserve"> </w:t>
      </w:r>
      <w:r>
        <w:t xml:space="preserve">The temporal model is fitted on the pre-cutoff subset only. Refitting on a</w:t>
      </w:r>
      <w:r>
        <w:t xml:space="preserve"> </w:t>
      </w:r>
      <w:r>
        <w:t xml:space="preserve">random subset of the same size recovers R2 0.59 to 0.65 and rank correlation 0.76 to 0.80, so the loss</w:t>
      </w:r>
      <w:r>
        <w:t xml:space="preserve"> </w:t>
      </w:r>
      <w:r>
        <w:t xml:space="preserve">is caused by temporal distribution shift and not by sample size.</w:t>
      </w:r>
    </w:p>
    <w:p>
      <w:pPr>
        <w:pStyle w:val="BodyText"/>
      </w:pPr>
      <w:r>
        <w:rPr>
          <w:i/>
          <w:iCs/>
        </w:rPr>
        <w:t xml:space="preserve">Recency weighting.</w:t>
      </w:r>
      <w:r>
        <w:t xml:space="preserve"> </w:t>
      </w:r>
      <w:r>
        <w:t xml:space="preserve">Exponentially up-weighting recent training compounds changed classifier AUROC by a</w:t>
      </w:r>
      <w:r>
        <w:t xml:space="preserve"> </w:t>
      </w:r>
      <w:r>
        <w:t xml:space="preserve">mean of only +0.004 and did not help the regressions, so drift is not a simple recency effect.</w:t>
      </w:r>
    </w:p>
    <w:p>
      <w:pPr>
        <w:pStyle w:val="BodyText"/>
      </w:pPr>
      <w:r>
        <w:rPr>
          <w:i/>
          <w:iCs/>
        </w:rPr>
        <w:t xml:space="preserve">Applicability domain.</w:t>
      </w:r>
      <w:r>
        <w:t xml:space="preserve"> </w:t>
      </w:r>
      <w:r>
        <w:t xml:space="preserve">This is the explanation that holds. Stratifying future compounds by their</w:t>
      </w:r>
      <w:r>
        <w:t xml:space="preserve"> </w:t>
      </w:r>
      <w:r>
        <w:t xml:space="preserve">maximum Tanimoto similarity to the training set (Figure 7) separates the aggregate figure into two very</w:t>
      </w:r>
      <w:r>
        <w:t xml:space="preserve"> </w:t>
      </w:r>
      <w:r>
        <w:t xml:space="preserve">different regimes. For future compounds that fall</w:t>
      </w:r>
      <w:r>
        <w:t xml:space="preserve"> </w:t>
      </w:r>
      <w:r>
        <w:rPr>
          <w:b/>
          <w:bCs/>
        </w:rPr>
        <w:t xml:space="preserve">inside</w:t>
      </w:r>
      <w:r>
        <w:t xml:space="preserve"> </w:t>
      </w:r>
      <w:r>
        <w:t xml:space="preserve">the domain the classifiers retain a mean</w:t>
      </w:r>
      <w:r>
        <w:t xml:space="preserve"> </w:t>
      </w:r>
      <w:r>
        <w:t xml:space="preserve">AUROC of</w:t>
      </w:r>
      <w:r>
        <w:t xml:space="preserve"> </w:t>
      </w:r>
      <w:r>
        <w:rPr>
          <w:b/>
          <w:bCs/>
        </w:rPr>
        <w:t xml:space="preserve">0.827</w:t>
      </w:r>
      <w:r>
        <w:t xml:space="preserve"> </w:t>
      </w:r>
      <w:r>
        <w:t xml:space="preserve">and the potency models a mean rank correlation of</w:t>
      </w:r>
      <w:r>
        <w:t xml:space="preserve"> </w:t>
      </w:r>
      <w:r>
        <w:rPr>
          <w:b/>
          <w:bCs/>
        </w:rPr>
        <w:t xml:space="preserve">0.56</w:t>
      </w:r>
      <w:r>
        <w:t xml:space="preserve">; in the intermediate band</w:t>
      </w:r>
      <w:r>
        <w:t xml:space="preserve"> </w:t>
      </w:r>
      <w:r>
        <w:t xml:space="preserve">these fall to 0.742 and 0.30; and</w:t>
      </w:r>
      <w:r>
        <w:t xml:space="preserve"> </w:t>
      </w:r>
      <w:r>
        <w:rPr>
          <w:b/>
          <w:bCs/>
        </w:rPr>
        <w:t xml:space="preserve">outside</w:t>
      </w:r>
      <w:r>
        <w:t xml:space="preserve"> </w:t>
      </w:r>
      <w:r>
        <w:t xml:space="preserve">the domain the classifiers approach chance (</w:t>
      </w:r>
      <w:r>
        <w:rPr>
          <w:b/>
          <w:bCs/>
        </w:rPr>
        <w:t xml:space="preserve">0.573</w:t>
      </w:r>
      <w:r>
        <w:t xml:space="preserve">) and</w:t>
      </w:r>
      <w:r>
        <w:t xml:space="preserve"> </w:t>
      </w:r>
      <w:r>
        <w:t xml:space="preserve">the potency models retain essentially no rank information (0.06). The aggregate temporal number is</w:t>
      </w:r>
      <w:r>
        <w:t xml:space="preserve"> </w:t>
      </w:r>
      <w:r>
        <w:t xml:space="preserve">therefore a mixture of a usable regime and an uninformative one, and the ratio between them is decided</w:t>
      </w:r>
      <w:r>
        <w:t xml:space="preserve"> </w:t>
      </w:r>
      <w:r>
        <w:t xml:space="preserve">by a quantity the server can compute at query time.</w:t>
      </w:r>
    </w:p>
    <w:p>
      <w:pPr>
        <w:pStyle w:val="BodyText"/>
      </w:pPr>
      <w:r>
        <w:t xml:space="preserve">The server acts on this rather than merely disclosing it. Every result opens with a reliability</w:t>
      </w:r>
      <w:r>
        <w:t xml:space="preserve"> </w:t>
      </w:r>
      <w:r>
        <w:t xml:space="preserve">statement that places the query in one of the three regimes and quotes the measured prospective</w:t>
      </w:r>
      <w:r>
        <w:t xml:space="preserve"> </w:t>
      </w:r>
      <w:r>
        <w:t xml:space="preserve">performance for that regime, so a user is told, before reading any number, how much of it to believe.</w:t>
      </w:r>
      <w:r>
        <w:t xml:space="preserve"> </w:t>
      </w:r>
      <w:r>
        <w:t xml:space="preserve">This converts the applicability domain from a caveat into an operational safeguard, and it is the</w:t>
      </w:r>
      <w:r>
        <w:t xml:space="preserve"> </w:t>
      </w:r>
      <w:r>
        <w:t xml:space="preserve">reason the receptor targets are deployed as binder classifiers rather than as potency regressions.</w:t>
      </w:r>
      <w:r>
        <w:t xml:space="preserve"> </w:t>
      </w:r>
      <w:r>
        <w:t xml:space="preserve">Rank correlation is reported alongside R2 for the regression endpoints because ranking, not absolute</w:t>
      </w:r>
      <w:r>
        <w:t xml:space="preserve"> </w:t>
      </w:r>
      <w:r>
        <w:t xml:space="preserve">potency, is the decision-relevant quantity for triage.</w:t>
      </w:r>
    </w:p>
    <w:bookmarkEnd w:id="15"/>
    <w:bookmarkStart w:id="16" w:name="why-the-scaffold-error-bars-are-larger"/>
    <w:p>
      <w:pPr>
        <w:pStyle w:val="Heading3"/>
      </w:pPr>
      <w:r>
        <w:t xml:space="preserve">Why the scaffold error bars are larger</w:t>
      </w:r>
    </w:p>
    <w:p>
      <w:pPr>
        <w:pStyle w:val="FirstParagraph"/>
      </w:pPr>
      <w:r>
        <w:t xml:space="preserve">The standard deviation reported with each endpoint mixes two distinct sources. The first is</w:t>
      </w:r>
      <w:r>
        <w:t xml:space="preserve"> </w:t>
      </w:r>
      <w:r>
        <w:rPr>
          <w:i/>
          <w:iCs/>
        </w:rPr>
        <w:t xml:space="preserve">sampling</w:t>
      </w:r>
      <w:r>
        <w:rPr>
          <w:i/>
          <w:iCs/>
        </w:rPr>
        <w:t xml:space="preserve"> </w:t>
      </w:r>
      <w:r>
        <w:rPr>
          <w:i/>
          <w:iCs/>
        </w:rPr>
        <w:t xml:space="preserve">noise</w:t>
      </w:r>
      <w:r>
        <w:t xml:space="preserve">: each fold metric is computed on a finite test set and carries its own standard error even if</w:t>
      </w:r>
      <w:r>
        <w:t xml:space="preserve"> </w:t>
      </w:r>
      <w:r>
        <w:t xml:space="preserve">every fold were equally difficult. The second is</w:t>
      </w:r>
      <w:r>
        <w:t xml:space="preserve"> </w:t>
      </w:r>
      <w:r>
        <w:rPr>
          <w:i/>
          <w:iCs/>
        </w:rPr>
        <w:t xml:space="preserve">fold heterogeneity</w:t>
      </w:r>
      <w:r>
        <w:t xml:space="preserve">: genuine variation in how hard</w:t>
      </w:r>
      <w:r>
        <w:t xml:space="preserve"> </w:t>
      </w:r>
      <w:r>
        <w:t xml:space="preserve">each held-out fold is. For k folds with observed fold metrics m_i these combine as</w:t>
      </w:r>
    </w:p>
    <w:p>
      <w:pPr>
        <w:pStyle w:val="SourceCode"/>
      </w:pPr>
      <w:r>
        <w:rPr>
          <w:rStyle w:val="VerbatimChar"/>
        </w:rPr>
        <w:t xml:space="preserve">Var_between(m) = Var_heterogeneity + mean_i Var_sampling(m_i)</w:t>
      </w:r>
    </w:p>
    <w:p>
      <w:pPr>
        <w:pStyle w:val="FirstParagraph"/>
      </w:pPr>
      <w:r>
        <w:t xml:space="preserve">so the heterogeneity component is recovered by subtraction, with Var_sampling estimated by</w:t>
      </w:r>
      <w:r>
        <w:t xml:space="preserve"> </w:t>
      </w:r>
      <w:r>
        <w:t xml:space="preserve">bootstrapping within each fold’s own test set (400 resamples). Applying this decomposition to every</w:t>
      </w:r>
      <w:r>
        <w:t xml:space="preserve"> </w:t>
      </w:r>
      <w:r>
        <w:t xml:space="preserve">endpoint (Figure 5c, Table 4) shows a clear separation. Under the random split a mean of 15% of the</w:t>
      </w:r>
      <w:r>
        <w:t xml:space="preserve"> </w:t>
      </w:r>
      <w:r>
        <w:t xml:space="preserve">between-fold variance is heterogeneity (median 8%, and indistinguishable from zero for six of thirteen</w:t>
      </w:r>
      <w:r>
        <w:t xml:space="preserve"> </w:t>
      </w:r>
      <w:r>
        <w:t xml:space="preserve">endpoints), confirming that folds are statistically exchangeable and the error bar is essentially pure</w:t>
      </w:r>
      <w:r>
        <w:t xml:space="preserve"> </w:t>
      </w:r>
      <w:r>
        <w:t xml:space="preserve">sampling noise. Under the scaffold split a mean of 71% of the variance is genuine heterogeneity (range</w:t>
      </w:r>
      <w:r>
        <w:t xml:space="preserve"> </w:t>
      </w:r>
      <w:r>
        <w:t xml:space="preserve">53% to 92%).</w:t>
      </w:r>
    </w:p>
    <w:p>
      <w:pPr>
        <w:pStyle w:val="BodyText"/>
      </w:pPr>
      <w:r>
        <w:t xml:space="preserve">The wider scaffold error bar is therefore not model instability, and it is not a defect of the</w:t>
      </w:r>
      <w:r>
        <w:t xml:space="preserve"> </w:t>
      </w:r>
      <w:r>
        <w:t xml:space="preserve">protocol: it is a measurement of how much predictive performance depends on which chemical series is</w:t>
      </w:r>
      <w:r>
        <w:t xml:space="preserve"> </w:t>
      </w:r>
      <w:r>
        <w:t xml:space="preserve">being queried. Endpoints with the largest heterogeneity share (hERG 90%, BBB 92%, SERT 89%) are those</w:t>
      </w:r>
      <w:r>
        <w:t xml:space="preserve"> </w:t>
      </w:r>
      <w:r>
        <w:t xml:space="preserve">whose training data spans the most disconnected chemical space, and they are precisely the endpoints</w:t>
      </w:r>
      <w:r>
        <w:t xml:space="preserve"> </w:t>
      </w:r>
      <w:r>
        <w:t xml:space="preserve">for which an applicability-domain flag matters most. This result is the empirical justification for</w:t>
      </w:r>
      <w:r>
        <w:t xml:space="preserve"> </w:t>
      </w:r>
      <w:r>
        <w:t xml:space="preserve">reporting a per-endpoint domain flag with every prediction rather than a single global confidence.</w:t>
      </w:r>
    </w:p>
    <w:bookmarkEnd w:id="16"/>
    <w:bookmarkStart w:id="17" w:name="decoy-aware-binder-classifiers"/>
    <w:p>
      <w:pPr>
        <w:pStyle w:val="Heading3"/>
      </w:pPr>
      <w:r>
        <w:t xml:space="preserve">Decoy-aware binder classifiers</w:t>
      </w:r>
    </w:p>
    <w:p>
      <w:pPr>
        <w:pStyle w:val="FirstParagraph"/>
      </w:pPr>
      <w:r>
        <w:t xml:space="preserve">The receptor, transporter and kinase targets are reported in ChEMBL almost entirely as actives (82% to</w:t>
      </w:r>
      <w:r>
        <w:t xml:space="preserve"> </w:t>
      </w:r>
      <w:r>
        <w:t xml:space="preserve">99% of records), so a naive potency regressor learns to predict the training median for any input and</w:t>
      </w:r>
      <w:r>
        <w:t xml:space="preserve"> </w:t>
      </w:r>
      <w:r>
        <w:t xml:space="preserve">cannot discriminate a real binder from an arbitrary molecule. We therefore model each as a</w:t>
      </w:r>
      <w:r>
        <w:t xml:space="preserve"> </w:t>
      </w:r>
      <w:r>
        <w:t xml:space="preserve">binder-versus-decoy classifier: positives are measured binders (pChEMBL &gt;= 7); negatives are</w:t>
      </w:r>
      <w:r>
        <w:t xml:space="preserve"> </w:t>
      </w:r>
      <w:r>
        <w:t xml:space="preserve">property-matched decoys sampled from a 75,000-compound background library with a maximum ECFP-4</w:t>
      </w:r>
      <w:r>
        <w:t xml:space="preserve"> </w:t>
      </w:r>
      <w:r>
        <w:t xml:space="preserve">Tanimoto below 0.35 to any positive, so the model must learn structure rather than a similarity</w:t>
      </w:r>
      <w:r>
        <w:t xml:space="preserve"> </w:t>
      </w:r>
      <w:r>
        <w:t xml:space="preserve">shortcut. Each classifier is a compact random forest with prefit sigmoid calibration. Validated</w:t>
      </w:r>
      <w:r>
        <w:t xml:space="preserve"> </w:t>
      </w:r>
      <w:r>
        <w:t xml:space="preserve">against held-out near-miss decoys (Tanimoto 0.35 to 0.55) rather than the easy training decoys, these</w:t>
      </w:r>
      <w:r>
        <w:t xml:space="preserve"> </w:t>
      </w:r>
      <w:r>
        <w:t xml:space="preserve">models reach AUROC 0.86 to 0.99 with a background false-positive rate of 0.6% to 9.8% at a 0.5</w:t>
      </w:r>
      <w:r>
        <w:t xml:space="preserve"> </w:t>
      </w:r>
      <w:r>
        <w:t xml:space="preserve">threshold (Table 2, Figure 6b). We report the near-miss figure as the honest metric because the</w:t>
      </w:r>
      <w:r>
        <w:t xml:space="preserve"> </w:t>
      </w:r>
      <w:r>
        <w:t xml:space="preserve">easy-decoy AUROC (0.99 throughout) is inflated by the dissimilarity of the negatives.</w:t>
      </w:r>
    </w:p>
    <w:bookmarkEnd w:id="17"/>
    <w:bookmarkStart w:id="18" w:name="Xf99680f880412cfe40b0aacfb5b797db77bf7be"/>
    <w:p>
      <w:pPr>
        <w:pStyle w:val="Heading3"/>
      </w:pPr>
      <w:r>
        <w:t xml:space="preserve">Validation against experimentally measured inactives, and threshold calibration</w:t>
      </w:r>
    </w:p>
    <w:p>
      <w:pPr>
        <w:pStyle w:val="FirstParagraph"/>
      </w:pPr>
      <w:r>
        <w:t xml:space="preserve">Decoy-based validation is convenient but circular in an important sense: negatives are defined by</w:t>
      </w:r>
      <w:r>
        <w:t xml:space="preserve"> </w:t>
      </w:r>
      <w:r>
        <w:t xml:space="preserve">structural dissimilarity, so a high AUROC may only demonstrate that the model recognises the chemical</w:t>
      </w:r>
      <w:r>
        <w:t xml:space="preserve"> </w:t>
      </w:r>
      <w:r>
        <w:t xml:space="preserve">neighbourhood of a target’s ligand series. We therefore tested every binder model against a negative</w:t>
      </w:r>
      <w:r>
        <w:t xml:space="preserve"> </w:t>
      </w:r>
      <w:r>
        <w:t xml:space="preserve">set it had never seen and that carries experimental authority: compounds measured against the same</w:t>
      </w:r>
      <w:r>
        <w:t xml:space="preserve"> </w:t>
      </w:r>
      <w:r>
        <w:t xml:space="preserve">target and found inactive (pChEMBL below 5). These compounds are present in our own endpoint tables</w:t>
      </w:r>
      <w:r>
        <w:t xml:space="preserve"> </w:t>
      </w:r>
      <w:r>
        <w:t xml:space="preserve">and are excluded from binder-model training by construction.</w:t>
      </w:r>
    </w:p>
    <w:p>
      <w:pPr>
        <w:pStyle w:val="BodyText"/>
      </w:pPr>
      <w:r>
        <w:t xml:space="preserve">Two findings follow. First, the ranking is genuine. Across 34 targets with sufficient measured</w:t>
      </w:r>
      <w:r>
        <w:t xml:space="preserve"> </w:t>
      </w:r>
      <w:r>
        <w:t xml:space="preserve">inactives the mean AUROC of measured binders against held-out measured inactives is 0.956, no target falls</w:t>
      </w:r>
      <w:r>
        <w:t xml:space="preserve"> </w:t>
      </w:r>
      <w:r>
        <w:t xml:space="preserve">below 0.88, and the mean difference from the near-miss decoy estimate is only +0.028. The concern that</w:t>
      </w:r>
      <w:r>
        <w:t xml:space="preserve"> </w:t>
      </w:r>
      <w:r>
        <w:t xml:space="preserve">the models solve a merely lexical task is therefore not supported.</w:t>
      </w:r>
    </w:p>
    <w:p>
      <w:pPr>
        <w:pStyle w:val="BodyText"/>
      </w:pPr>
      <w:r>
        <w:t xml:space="preserve">Second, the decision threshold was wrong. At the conventional 0.5 cut, a large fraction of</w:t>
      </w:r>
      <w:r>
        <w:t xml:space="preserve"> </w:t>
      </w:r>
      <w:r>
        <w:t xml:space="preserve">experimentally confirmed inactives is called a binder, reaching 81% for HDAC1 and exceeding 50% for</w:t>
      </w:r>
      <w:r>
        <w:t xml:space="preserve"> </w:t>
      </w:r>
      <w:r>
        <w:t xml:space="preserve">several other targets, because the property-matched decoys are easier to reject than genuine tested</w:t>
      </w:r>
      <w:r>
        <w:t xml:space="preserve"> </w:t>
      </w:r>
      <w:r>
        <w:t xml:space="preserve">non-binders and the calibration inherits that optimism. Ranking quality and threshold quality are</w:t>
      </w:r>
      <w:r>
        <w:t xml:space="preserve"> </w:t>
      </w:r>
      <w:r>
        <w:t xml:space="preserve">distinct, and only the former is captured by AUROC. We therefore set each target’s operating point on</w:t>
      </w:r>
      <w:r>
        <w:t xml:space="preserve"> </w:t>
      </w:r>
      <w:r>
        <w:t xml:space="preserve">its measured inactives, choosing the threshold at which 10% of them would be called binders. Across</w:t>
      </w:r>
      <w:r>
        <w:t xml:space="preserve"> </w:t>
      </w:r>
      <w:r>
        <w:t xml:space="preserve">the panel this yields a mean false-positive rate of 0.11 and a mean sensitivity of 0.88 (Table 2).</w:t>
      </w:r>
      <w:r>
        <w:t xml:space="preserve"> </w:t>
      </w:r>
      <w:r>
        <w:t xml:space="preserve">Two targets, KEAP1 and melatonin MT1, initially retained a sensitivity below 0.6 at that operating</w:t>
      </w:r>
      <w:r>
        <w:t xml:space="preserve"> </w:t>
      </w:r>
      <w:r>
        <w:t xml:space="preserve">point. Adding the measured inactives to training as hard negatives raised KEAP1 from 0.33 to 0.83 and</w:t>
      </w:r>
      <w:r>
        <w:t xml:space="preserve"> </w:t>
      </w:r>
      <w:r>
        <w:t xml:space="preserve">MT1 from 0.52 to 0.78, and no target now falls below the reliability threshold. The server retains the</w:t>
      </w:r>
      <w:r>
        <w:t xml:space="preserve"> </w:t>
      </w:r>
      <w:r>
        <w:t xml:space="preserve">machinery to mark a low-sensitivity target as possibly under-called should future data reintroduce one.</w:t>
      </w:r>
    </w:p>
    <w:bookmarkEnd w:id="18"/>
    <w:bookmarkStart w:id="19" w:name="Xeac9790db44cdbb0a11f38f1f27dc183961d353"/>
    <w:p>
      <w:pPr>
        <w:pStyle w:val="Heading3"/>
      </w:pPr>
      <w:r>
        <w:t xml:space="preserve">Calibration, applicability domain and exposure</w:t>
      </w:r>
    </w:p>
    <w:p>
      <w:pPr>
        <w:pStyle w:val="FirstParagraph"/>
      </w:pPr>
      <w:r>
        <w:t xml:space="preserve">Every classifier is isotonically calibrated (mean expected calibration error 0.072 to 0.012). For</w:t>
      </w:r>
      <w:r>
        <w:t xml:space="preserve"> </w:t>
      </w:r>
      <w:r>
        <w:t xml:space="preserve">every prediction the server computes the maximum ECFP-4 Tanimoto similarity of the query to each</w:t>
      </w:r>
      <w:r>
        <w:t xml:space="preserve"> </w:t>
      </w:r>
      <w:r>
        <w:t xml:space="preserve">endpoint’s own measured chemistry and reports an endpoint-specific in-domain, near-domain or</w:t>
      </w:r>
      <w:r>
        <w:t xml:space="preserve"> </w:t>
      </w:r>
      <w:r>
        <w:t xml:space="preserve">out-of-domain flag together with the nearest measured analogue and its structure. The ADME layer</w:t>
      </w:r>
      <w:r>
        <w:t xml:space="preserve"> </w:t>
      </w:r>
      <w:r>
        <w:t xml:space="preserve">provides a free-brain-exposure verdict; on known drugs this correctly separates central compounds</w:t>
      </w:r>
      <w:r>
        <w:t xml:space="preserve"> </w:t>
      </w:r>
      <w:r>
        <w:t xml:space="preserve">(diazepam K_p,uu 0.94, donepezil 0.84) from peripheral or efflux-limited ones (atenolol 0.07,</w:t>
      </w:r>
      <w:r>
        <w:t xml:space="preserve"> </w:t>
      </w:r>
      <w:r>
        <w:t xml:space="preserve">loperamide 0.04).</w:t>
      </w:r>
    </w:p>
    <w:bookmarkEnd w:id="19"/>
    <w:bookmarkStart w:id="20" w:name="X74bdf2fb4c8d873f9c02d11851d44a9a38dc3c6"/>
    <w:p>
      <w:pPr>
        <w:pStyle w:val="Heading3"/>
      </w:pPr>
      <w:r>
        <w:t xml:space="preserve">Base-rate enrichment and the knowledge graph</w:t>
      </w:r>
    </w:p>
    <w:p>
      <w:pPr>
        <w:pStyle w:val="FirstParagraph"/>
      </w:pPr>
      <w:r>
        <w:t xml:space="preserve">Because several classifier training sets are active-heavy (BACE1 91%, GSK-3beta 93% positive), a raw</w:t>
      </w:r>
      <w:r>
        <w:t xml:space="preserve"> </w:t>
      </w:r>
      <w:r>
        <w:t xml:space="preserve">calibrated probability is not evidence of engagement unless it exceeds the base rate. The server</w:t>
      </w:r>
      <w:r>
        <w:t xml:space="preserve"> </w:t>
      </w:r>
      <w:r>
        <w:t xml:space="preserve">therefore scores each target by its</w:t>
      </w:r>
      <w:r>
        <w:t xml:space="preserve"> </w:t>
      </w:r>
      <w:r>
        <w:rPr>
          <w:i/>
          <w:iCs/>
        </w:rPr>
        <w:t xml:space="preserve">enrichment</w:t>
      </w:r>
      <w:r>
        <w:t xml:space="preserve"> </w:t>
      </w:r>
      <w:r>
        <w:t xml:space="preserve">over the endpoint base rate, and each receptor by its</w:t>
      </w:r>
      <w:r>
        <w:t xml:space="preserve"> </w:t>
      </w:r>
      <w:r>
        <w:t xml:space="preserve">floored binder probability, so that a prediction near chance contributes nothing. A curated, versioned</w:t>
      </w:r>
      <w:r>
        <w:t xml:space="preserve"> </w:t>
      </w:r>
      <w:r>
        <w:t xml:space="preserve">knowledge graph maps each target through a biological pathway to the diseases it informs, anchored to</w:t>
      </w:r>
      <w:r>
        <w:t xml:space="preserve"> </w:t>
      </w:r>
      <w:r>
        <w:t xml:space="preserve">KEGG synapse and disease maps (hsa04725, hsa04726, hsa04728, hsa04723, hsa05032, hsa04080, hsa05010,</w:t>
      </w:r>
      <w:r>
        <w:t xml:space="preserve"> </w:t>
      </w:r>
      <w:r>
        <w:t xml:space="preserve">hsa05012), the Reactome KEAP1-NFE2L2 oxidative-stress response (R-HSA-9755511) and IUPHAR Guide to</w:t>
      </w:r>
      <w:r>
        <w:t xml:space="preserve"> </w:t>
      </w:r>
      <w:r>
        <w:t xml:space="preserve">Pharmacology associations. A per-disease relevance score is the strongest engaged target for that</w:t>
      </w:r>
      <w:r>
        <w:t xml:space="preserve"> </w:t>
      </w:r>
      <w:r>
        <w:t xml:space="preserve">disease, scaled by predicted BBB penetration; taking the strongest rather than an average prevents</w:t>
      </w:r>
      <w:r>
        <w:t xml:space="preserve"> </w:t>
      </w:r>
      <w:r>
        <w:t xml:space="preserve">unrelated mechanisms from diluting a real signal. Coverage spans fourteen brain conditions (Figure 1).</w:t>
      </w:r>
    </w:p>
    <w:p>
      <w:pPr>
        <w:pStyle w:val="BodyText"/>
      </w:pPr>
      <w:r>
        <w:t xml:space="preserve">Two properties of this construction were established by ablation rather than assumed, and both</w:t>
      </w:r>
      <w:r>
        <w:t xml:space="preserve"> </w:t>
      </w:r>
      <w:r>
        <w:t xml:space="preserve">constrain how it should be described. First, the BBB term multiplies every disease identically and</w:t>
      </w:r>
      <w:r>
        <w:t xml:space="preserve"> </w:t>
      </w:r>
      <w:r>
        <w:t xml:space="preserve">therefore cannot alter which condition ranks highest; it is an exposure filter that determines</w:t>
      </w:r>
      <w:r>
        <w:t xml:space="preserve"> </w:t>
      </w:r>
      <w:r>
        <w:t xml:space="preserve">whether any signal is reported, not a discriminative term. Second, the curated edge weights do not</w:t>
      </w:r>
      <w:r>
        <w:t xml:space="preserve"> </w:t>
      </w:r>
      <w:r>
        <w:t xml:space="preserve">measurably affect the disease ranking: over 15,609 scaffold-held-out compounds, curated, uniform and</w:t>
      </w:r>
      <w:r>
        <w:t xml:space="preserve"> </w:t>
      </w:r>
      <w:r>
        <w:t xml:space="preserve">randomly permuted weights give top-3 accuracies of 0.7917, 0.7911 and 0.7899. The predictive content</w:t>
      </w:r>
      <w:r>
        <w:t xml:space="preserve"> </w:t>
      </w:r>
      <w:r>
        <w:t xml:space="preserve">of the graph lies in its topology, in which target is connected to which disease, and the weights are</w:t>
      </w:r>
      <w:r>
        <w:t xml:space="preserve"> </w:t>
      </w:r>
      <w:r>
        <w:t xml:space="preserve">retained as a mechanistic prior expressing directness of linkage rather than as fitted parameters.</w:t>
      </w:r>
    </w:p>
    <w:bookmarkEnd w:id="20"/>
    <w:bookmarkStart w:id="21" w:name="web-implementation"/>
    <w:p>
      <w:pPr>
        <w:pStyle w:val="Heading3"/>
      </w:pPr>
      <w:r>
        <w:t xml:space="preserve">Web implementation</w:t>
      </w:r>
    </w:p>
    <w:p>
      <w:pPr>
        <w:pStyle w:val="FirstParagraph"/>
      </w:pPr>
      <w:r>
        <w:t xml:space="preserve">The server is a single-page application built with Streamlit and RDKit. The user submits either a</w:t>
      </w:r>
      <w:r>
        <w:t xml:space="preserve"> </w:t>
      </w:r>
      <w:r>
        <w:t xml:space="preserve">compound name, resolved to a structure through PubChem, or a SMILES string. Models are loaded once and</w:t>
      </w:r>
      <w:r>
        <w:t xml:space="preserve"> </w:t>
      </w:r>
      <w:r>
        <w:t xml:space="preserve">cached; a complete profile across all 40 models, including both applicability-domain calculations,</w:t>
      </w:r>
      <w:r>
        <w:t xml:space="preserve"> </w:t>
      </w:r>
      <w:r>
        <w:t xml:space="preserve">returns in approximately 3.3 seconds on a single CPU core, of which the domain calculations against the</w:t>
      </w:r>
      <w:r>
        <w:t xml:space="preserve"> </w:t>
      </w:r>
      <w:r>
        <w:t xml:space="preserve">75,000-compound reference library account for under 0.05 seconds. The interface is self-contained and</w:t>
      </w:r>
      <w:r>
        <w:t xml:space="preserve"> </w:t>
      </w:r>
      <w:r>
        <w:t xml:space="preserve">requires no installation or GPU.</w:t>
      </w:r>
    </w:p>
    <w:bookmarkEnd w:id="21"/>
    <w:bookmarkEnd w:id="22"/>
    <w:bookmarkStart w:id="24" w:name="results"/>
    <w:p>
      <w:pPr>
        <w:pStyle w:val="Heading2"/>
      </w:pPr>
      <w:r>
        <w:t xml:space="preserve">Results</w:t>
      </w:r>
    </w:p>
    <w:bookmarkStart w:id="23" w:name="per-endpoint-performance"/>
    <w:p>
      <w:pPr>
        <w:pStyle w:val="Heading3"/>
      </w:pPr>
      <w:r>
        <w:t xml:space="preserve">Per-endpoint performance</w:t>
      </w:r>
    </w:p>
    <w:p>
      <w:pPr>
        <w:pStyle w:val="FirstParagraph"/>
      </w:pPr>
      <w:r>
        <w:t xml:space="preserve">Tables 1 to 3 report, for every endpoint, the measured data size, the number of distinct scaffolds,</w:t>
      </w:r>
      <w:r>
        <w:t xml:space="preserve"> </w:t>
      </w:r>
      <w:r>
        <w:t xml:space="preserve">class balance where applicable, the training and test set size per fold, and the mean and standard</w:t>
      </w:r>
      <w:r>
        <w:t xml:space="preserve"> </w:t>
      </w:r>
      <w:r>
        <w:t xml:space="preserve">deviation of the appropriate metric under both cross-validation regimes. Figure 6 summarises the same</w:t>
      </w:r>
      <w:r>
        <w:t xml:space="preserve"> </w:t>
      </w:r>
      <w:r>
        <w:t xml:space="preserve">results graphically.</w:t>
      </w:r>
    </w:p>
    <w:p>
      <w:pPr>
        <w:pStyle w:val="BodyText"/>
      </w:pPr>
      <w:r>
        <w:t xml:space="preserve">The eight target classifiers reach a mean AUROC of 0.960 (random) and 0.919 (scaffold); BACE1 is the</w:t>
      </w:r>
      <w:r>
        <w:t xml:space="preserve"> </w:t>
      </w:r>
      <w:r>
        <w:t xml:space="preserve">most robust to chemotype change (0.967 to 0.956) and MAO-A the least (0.947 to 0.868). An external</w:t>
      </w:r>
      <w:r>
        <w:t xml:space="preserve"> </w:t>
      </w:r>
      <w:r>
        <w:t xml:space="preserve">test of the BBB model on 306 FDA-curated approved drugs absent from training gives AUROC 0.774. The</w:t>
      </w:r>
      <w:r>
        <w:t xml:space="preserve"> </w:t>
      </w:r>
      <w:r>
        <w:t xml:space="preserve">receptor potency regressions reach R2 0.60 to 0.68 (random) and 0.39 to 0.58 (scaffold). The 18</w:t>
      </w:r>
      <w:r>
        <w:t xml:space="preserve"> </w:t>
      </w:r>
      <w:r>
        <w:t xml:space="preserve">decoy-aware binder classifiers reach 0.86 to 0.99 against near-miss decoys. Within the ADME layer,</w:t>
      </w:r>
      <w:r>
        <w:t xml:space="preserve"> </w:t>
      </w:r>
      <w:r>
        <w:t xml:space="preserve">performance ranges from strong (solubility R2 0.76, P-gp inhibition AUROC 0.94 under the scaffold</w:t>
      </w:r>
      <w:r>
        <w:t xml:space="preserve"> </w:t>
      </w:r>
      <w:r>
        <w:t xml:space="preserve">split) to weak and explicitly disclosed (hepatocyte clearance R2 0.19, K_p,uu R2 0.35).</w:t>
      </w:r>
    </w:p>
    <w:bookmarkEnd w:id="23"/>
    <w:bookmarkEnd w:id="24"/>
    <w:bookmarkStart w:id="25" w:name="Xa6731253987483f0725bf693c5f2bbe6fed33e5"/>
    <w:p>
      <w:pPr>
        <w:pStyle w:val="Heading2"/>
      </w:pPr>
      <w:r>
        <w:t xml:space="preserve">Table 1. Core target panel (13 endpoints), 10-fold cross-validation</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Endpoint</w:t>
            </w:r>
          </w:p>
        </w:tc>
        <w:tc>
          <w:tcPr/>
          <w:p>
            <w:pPr>
              <w:pStyle w:val="Compact"/>
            </w:pPr>
            <w:r>
              <w:t xml:space="preserve">Target</w:t>
            </w:r>
          </w:p>
        </w:tc>
        <w:tc>
          <w:tcPr/>
          <w:p>
            <w:pPr>
              <w:pStyle w:val="Compact"/>
            </w:pPr>
            <w:r>
              <w:t xml:space="preserve">Task</w:t>
            </w:r>
          </w:p>
        </w:tc>
        <w:tc>
          <w:tcPr/>
          <w:p>
            <w:pPr>
              <w:pStyle w:val="Compact"/>
            </w:pPr>
            <w:r>
              <w:t xml:space="preserve">Compounds</w:t>
            </w:r>
          </w:p>
        </w:tc>
        <w:tc>
          <w:tcPr/>
          <w:p>
            <w:pPr>
              <w:pStyle w:val="Compact"/>
            </w:pPr>
            <w:r>
              <w:t xml:space="preserve">Scaffolds</w:t>
            </w:r>
          </w:p>
        </w:tc>
        <w:tc>
          <w:tcPr/>
          <w:p>
            <w:pPr>
              <w:pStyle w:val="Compact"/>
            </w:pPr>
            <w:r>
              <w:t xml:space="preserve">Active fraction</w:t>
            </w:r>
          </w:p>
        </w:tc>
        <w:tc>
          <w:tcPr/>
          <w:p>
            <w:pPr>
              <w:pStyle w:val="Compact"/>
            </w:pPr>
            <w:r>
              <w:t xml:space="preserve">Train/fold</w:t>
            </w:r>
          </w:p>
        </w:tc>
        <w:tc>
          <w:tcPr/>
          <w:p>
            <w:pPr>
              <w:pStyle w:val="Compact"/>
            </w:pPr>
            <w:r>
              <w:t xml:space="preserve">Test/fold</w:t>
            </w:r>
          </w:p>
        </w:tc>
        <w:tc>
          <w:tcPr/>
          <w:p>
            <w:pPr>
              <w:pStyle w:val="Compact"/>
            </w:pPr>
            <w:r>
              <w:t xml:space="preserve">Metric</w:t>
            </w:r>
          </w:p>
        </w:tc>
        <w:tc>
          <w:tcPr/>
          <w:p>
            <w:pPr>
              <w:pStyle w:val="Compact"/>
            </w:pPr>
            <w:r>
              <w:t xml:space="preserve">Random 10-fold</w:t>
            </w:r>
          </w:p>
        </w:tc>
        <w:tc>
          <w:tcPr/>
          <w:p>
            <w:pPr>
              <w:pStyle w:val="Compact"/>
            </w:pPr>
            <w:r>
              <w:t xml:space="preserve">Scaffold 10-fold</w:t>
            </w:r>
          </w:p>
        </w:tc>
        <w:tc>
          <w:tcPr/>
          <w:p>
            <w:pPr>
              <w:pStyle w:val="Compact"/>
            </w:pPr>
            <w:r>
              <w:t xml:space="preserve">Why this endpoint</w:t>
            </w:r>
          </w:p>
        </w:tc>
      </w:tr>
      <w:tr>
        <w:tc>
          <w:tcPr/>
          <w:p>
            <w:pPr>
              <w:pStyle w:val="Compact"/>
            </w:pPr>
            <w:r>
              <w:t xml:space="preserve">BBB</w:t>
            </w:r>
          </w:p>
        </w:tc>
        <w:tc>
          <w:tcPr/>
          <w:p>
            <w:pPr>
              <w:pStyle w:val="Compact"/>
            </w:pPr>
            <w:r>
              <w:t xml:space="preserve">Blood-brain barrier penetration</w:t>
            </w:r>
          </w:p>
        </w:tc>
        <w:tc>
          <w:tcPr/>
          <w:p>
            <w:pPr>
              <w:pStyle w:val="Compact"/>
            </w:pPr>
            <w:r>
              <w:t xml:space="preserve">classification</w:t>
            </w:r>
          </w:p>
        </w:tc>
        <w:tc>
          <w:tcPr/>
          <w:p>
            <w:pPr>
              <w:pStyle w:val="Compact"/>
            </w:pPr>
            <w:r>
              <w:t xml:space="preserve">7,805</w:t>
            </w:r>
          </w:p>
        </w:tc>
        <w:tc>
          <w:tcPr/>
          <w:p>
            <w:pPr>
              <w:pStyle w:val="Compact"/>
            </w:pPr>
            <w:r>
              <w:t xml:space="preserve">2,439</w:t>
            </w:r>
          </w:p>
        </w:tc>
        <w:tc>
          <w:tcPr/>
          <w:p>
            <w:pPr>
              <w:pStyle w:val="Compact"/>
            </w:pPr>
            <w:r>
              <w:t xml:space="preserve">0.64</w:t>
            </w:r>
          </w:p>
        </w:tc>
        <w:tc>
          <w:tcPr/>
          <w:p>
            <w:pPr>
              <w:pStyle w:val="Compact"/>
            </w:pPr>
            <w:r>
              <w:t xml:space="preserve">7,024</w:t>
            </w:r>
          </w:p>
        </w:tc>
        <w:tc>
          <w:tcPr/>
          <w:p>
            <w:pPr>
              <w:pStyle w:val="Compact"/>
            </w:pPr>
            <w:r>
              <w:t xml:space="preserve">780</w:t>
            </w:r>
          </w:p>
        </w:tc>
        <w:tc>
          <w:tcPr/>
          <w:p>
            <w:pPr>
              <w:pStyle w:val="Compact"/>
            </w:pPr>
            <w:r>
              <w:t xml:space="preserve">AUROC</w:t>
            </w:r>
          </w:p>
        </w:tc>
        <w:tc>
          <w:tcPr/>
          <w:p>
            <w:pPr>
              <w:pStyle w:val="Compact"/>
            </w:pPr>
            <w:r>
              <w:t xml:space="preserve">0.961 ± 0.007</w:t>
            </w:r>
          </w:p>
        </w:tc>
        <w:tc>
          <w:tcPr/>
          <w:p>
            <w:pPr>
              <w:pStyle w:val="Compact"/>
            </w:pPr>
            <w:r>
              <w:t xml:space="preserve">0.920 ± 0.037</w:t>
            </w:r>
          </w:p>
        </w:tc>
        <w:tc>
          <w:tcPr/>
          <w:p>
            <w:pPr>
              <w:pStyle w:val="Compact"/>
            </w:pPr>
            <w:r>
              <w:t xml:space="preserve">Gate: no CNS effect without brain entry</w:t>
            </w:r>
          </w:p>
        </w:tc>
      </w:tr>
      <w:tr>
        <w:tc>
          <w:tcPr/>
          <w:p>
            <w:pPr>
              <w:pStyle w:val="Compact"/>
            </w:pPr>
            <w:r>
              <w:t xml:space="preserve">AChE</w:t>
            </w:r>
          </w:p>
        </w:tc>
        <w:tc>
          <w:tcPr/>
          <w:p>
            <w:pPr>
              <w:pStyle w:val="Compact"/>
            </w:pPr>
            <w:r>
              <w:t xml:space="preserve">Acetylcholinesterase</w:t>
            </w:r>
          </w:p>
        </w:tc>
        <w:tc>
          <w:tcPr/>
          <w:p>
            <w:pPr>
              <w:pStyle w:val="Compact"/>
            </w:pPr>
            <w:r>
              <w:t xml:space="preserve">classification</w:t>
            </w:r>
          </w:p>
        </w:tc>
        <w:tc>
          <w:tcPr/>
          <w:p>
            <w:pPr>
              <w:pStyle w:val="Compact"/>
            </w:pPr>
            <w:r>
              <w:t xml:space="preserve">4,387</w:t>
            </w:r>
          </w:p>
        </w:tc>
        <w:tc>
          <w:tcPr/>
          <w:p>
            <w:pPr>
              <w:pStyle w:val="Compact"/>
            </w:pPr>
            <w:r>
              <w:t xml:space="preserve">2,116</w:t>
            </w:r>
          </w:p>
        </w:tc>
        <w:tc>
          <w:tcPr/>
          <w:p>
            <w:pPr>
              <w:pStyle w:val="Compact"/>
            </w:pPr>
            <w:r>
              <w:t xml:space="preserve">0.72</w:t>
            </w:r>
          </w:p>
        </w:tc>
        <w:tc>
          <w:tcPr/>
          <w:p>
            <w:pPr>
              <w:pStyle w:val="Compact"/>
            </w:pPr>
            <w:r>
              <w:t xml:space="preserve">3,948</w:t>
            </w:r>
          </w:p>
        </w:tc>
        <w:tc>
          <w:tcPr/>
          <w:p>
            <w:pPr>
              <w:pStyle w:val="Compact"/>
            </w:pPr>
            <w:r>
              <w:t xml:space="preserve">439</w:t>
            </w:r>
          </w:p>
        </w:tc>
        <w:tc>
          <w:tcPr/>
          <w:p>
            <w:pPr>
              <w:pStyle w:val="Compact"/>
            </w:pPr>
            <w:r>
              <w:t xml:space="preserve">AUROC</w:t>
            </w:r>
          </w:p>
        </w:tc>
        <w:tc>
          <w:tcPr/>
          <w:p>
            <w:pPr>
              <w:pStyle w:val="Compact"/>
            </w:pPr>
            <w:r>
              <w:t xml:space="preserve">0.963 ± 0.008</w:t>
            </w:r>
          </w:p>
        </w:tc>
        <w:tc>
          <w:tcPr/>
          <w:p>
            <w:pPr>
              <w:pStyle w:val="Compact"/>
            </w:pPr>
            <w:r>
              <w:t xml:space="preserve">0.921 ± 0.021</w:t>
            </w:r>
          </w:p>
        </w:tc>
        <w:tc>
          <w:tcPr/>
          <w:p>
            <w:pPr>
              <w:pStyle w:val="Compact"/>
            </w:pPr>
            <w:r>
              <w:t xml:space="preserve">Symptomatic Alzheimer therapy (donepezil class)</w:t>
            </w:r>
          </w:p>
        </w:tc>
      </w:tr>
      <w:tr>
        <w:tc>
          <w:tcPr/>
          <w:p>
            <w:pPr>
              <w:pStyle w:val="Compact"/>
            </w:pPr>
            <w:r>
              <w:t xml:space="preserve">BChE</w:t>
            </w:r>
          </w:p>
        </w:tc>
        <w:tc>
          <w:tcPr/>
          <w:p>
            <w:pPr>
              <w:pStyle w:val="Compact"/>
            </w:pPr>
            <w:r>
              <w:t xml:space="preserve">Butyrylcholinesterase</w:t>
            </w:r>
          </w:p>
        </w:tc>
        <w:tc>
          <w:tcPr/>
          <w:p>
            <w:pPr>
              <w:pStyle w:val="Compact"/>
            </w:pPr>
            <w:r>
              <w:t xml:space="preserve">classification</w:t>
            </w:r>
          </w:p>
        </w:tc>
        <w:tc>
          <w:tcPr/>
          <w:p>
            <w:pPr>
              <w:pStyle w:val="Compact"/>
            </w:pPr>
            <w:r>
              <w:t xml:space="preserve">2,621</w:t>
            </w:r>
          </w:p>
        </w:tc>
        <w:tc>
          <w:tcPr/>
          <w:p>
            <w:pPr>
              <w:pStyle w:val="Compact"/>
            </w:pPr>
            <w:r>
              <w:t xml:space="preserve">1,345</w:t>
            </w:r>
          </w:p>
        </w:tc>
        <w:tc>
          <w:tcPr/>
          <w:p>
            <w:pPr>
              <w:pStyle w:val="Compact"/>
            </w:pPr>
            <w:r>
              <w:t xml:space="preserve">0.70</w:t>
            </w:r>
          </w:p>
        </w:tc>
        <w:tc>
          <w:tcPr/>
          <w:p>
            <w:pPr>
              <w:pStyle w:val="Compact"/>
            </w:pPr>
            <w:r>
              <w:t xml:space="preserve">2,359</w:t>
            </w:r>
          </w:p>
        </w:tc>
        <w:tc>
          <w:tcPr/>
          <w:p>
            <w:pPr>
              <w:pStyle w:val="Compact"/>
            </w:pPr>
            <w:r>
              <w:t xml:space="preserve">262</w:t>
            </w:r>
          </w:p>
        </w:tc>
        <w:tc>
          <w:tcPr/>
          <w:p>
            <w:pPr>
              <w:pStyle w:val="Compact"/>
            </w:pPr>
            <w:r>
              <w:t xml:space="preserve">AUROC</w:t>
            </w:r>
          </w:p>
        </w:tc>
        <w:tc>
          <w:tcPr/>
          <w:p>
            <w:pPr>
              <w:pStyle w:val="Compact"/>
            </w:pPr>
            <w:r>
              <w:t xml:space="preserve">0.968 ± 0.012</w:t>
            </w:r>
          </w:p>
        </w:tc>
        <w:tc>
          <w:tcPr/>
          <w:p>
            <w:pPr>
              <w:pStyle w:val="Compact"/>
            </w:pPr>
            <w:r>
              <w:t xml:space="preserve">0.937 ± 0.021</w:t>
            </w:r>
          </w:p>
        </w:tc>
        <w:tc>
          <w:tcPr/>
          <w:p>
            <w:pPr>
              <w:pStyle w:val="Compact"/>
            </w:pPr>
            <w:r>
              <w:t xml:space="preserve">Rises as Alzheimer progresses; selective-inhibitor target</w:t>
            </w:r>
          </w:p>
        </w:tc>
      </w:tr>
      <w:tr>
        <w:tc>
          <w:tcPr/>
          <w:p>
            <w:pPr>
              <w:pStyle w:val="Compact"/>
            </w:pPr>
            <w:r>
              <w:t xml:space="preserve">BACE1</w:t>
            </w:r>
          </w:p>
        </w:tc>
        <w:tc>
          <w:tcPr/>
          <w:p>
            <w:pPr>
              <w:pStyle w:val="Compact"/>
            </w:pPr>
            <w:r>
              <w:t xml:space="preserve">Beta-secretase 1</w:t>
            </w:r>
          </w:p>
        </w:tc>
        <w:tc>
          <w:tcPr/>
          <w:p>
            <w:pPr>
              <w:pStyle w:val="Compact"/>
            </w:pPr>
            <w:r>
              <w:t xml:space="preserve">classification</w:t>
            </w:r>
          </w:p>
        </w:tc>
        <w:tc>
          <w:tcPr/>
          <w:p>
            <w:pPr>
              <w:pStyle w:val="Compact"/>
            </w:pPr>
            <w:r>
              <w:t xml:space="preserve">8,501</w:t>
            </w:r>
          </w:p>
        </w:tc>
        <w:tc>
          <w:tcPr/>
          <w:p>
            <w:pPr>
              <w:pStyle w:val="Compact"/>
            </w:pPr>
            <w:r>
              <w:t xml:space="preserve">3,088</w:t>
            </w:r>
          </w:p>
        </w:tc>
        <w:tc>
          <w:tcPr/>
          <w:p>
            <w:pPr>
              <w:pStyle w:val="Compact"/>
            </w:pPr>
            <w:r>
              <w:t xml:space="preserve">0.91</w:t>
            </w:r>
          </w:p>
        </w:tc>
        <w:tc>
          <w:tcPr/>
          <w:p>
            <w:pPr>
              <w:pStyle w:val="Compact"/>
            </w:pPr>
            <w:r>
              <w:t xml:space="preserve">7,651</w:t>
            </w:r>
          </w:p>
        </w:tc>
        <w:tc>
          <w:tcPr/>
          <w:p>
            <w:pPr>
              <w:pStyle w:val="Compact"/>
            </w:pPr>
            <w:r>
              <w:t xml:space="preserve">850</w:t>
            </w:r>
          </w:p>
        </w:tc>
        <w:tc>
          <w:tcPr/>
          <w:p>
            <w:pPr>
              <w:pStyle w:val="Compact"/>
            </w:pPr>
            <w:r>
              <w:t xml:space="preserve">AUROC</w:t>
            </w:r>
          </w:p>
        </w:tc>
        <w:tc>
          <w:tcPr/>
          <w:p>
            <w:pPr>
              <w:pStyle w:val="Compact"/>
            </w:pPr>
            <w:r>
              <w:t xml:space="preserve">0.967 ± 0.010</w:t>
            </w:r>
          </w:p>
        </w:tc>
        <w:tc>
          <w:tcPr/>
          <w:p>
            <w:pPr>
              <w:pStyle w:val="Compact"/>
            </w:pPr>
            <w:r>
              <w:t xml:space="preserve">0.956 ± 0.021</w:t>
            </w:r>
          </w:p>
        </w:tc>
        <w:tc>
          <w:tcPr/>
          <w:p>
            <w:pPr>
              <w:pStyle w:val="Compact"/>
            </w:pPr>
            <w:r>
              <w:t xml:space="preserve">Rate-limiting step of amyloid-beta generation</w:t>
            </w:r>
          </w:p>
        </w:tc>
      </w:tr>
      <w:tr>
        <w:tc>
          <w:tcPr/>
          <w:p>
            <w:pPr>
              <w:pStyle w:val="Compact"/>
            </w:pPr>
            <w:r>
              <w:t xml:space="preserve">GSK3B</w:t>
            </w:r>
          </w:p>
        </w:tc>
        <w:tc>
          <w:tcPr/>
          <w:p>
            <w:pPr>
              <w:pStyle w:val="Compact"/>
            </w:pPr>
            <w:r>
              <w:t xml:space="preserve">Glycogen synthase kinase-3 beta</w:t>
            </w:r>
          </w:p>
        </w:tc>
        <w:tc>
          <w:tcPr/>
          <w:p>
            <w:pPr>
              <w:pStyle w:val="Compact"/>
            </w:pPr>
            <w:r>
              <w:t xml:space="preserve">classification</w:t>
            </w:r>
          </w:p>
        </w:tc>
        <w:tc>
          <w:tcPr/>
          <w:p>
            <w:pPr>
              <w:pStyle w:val="Compact"/>
            </w:pPr>
            <w:r>
              <w:t xml:space="preserve">4,958</w:t>
            </w:r>
          </w:p>
        </w:tc>
        <w:tc>
          <w:tcPr/>
          <w:p>
            <w:pPr>
              <w:pStyle w:val="Compact"/>
            </w:pPr>
            <w:r>
              <w:t xml:space="preserve">2,118</w:t>
            </w:r>
          </w:p>
        </w:tc>
        <w:tc>
          <w:tcPr/>
          <w:p>
            <w:pPr>
              <w:pStyle w:val="Compact"/>
            </w:pPr>
            <w:r>
              <w:t xml:space="preserve">0.93</w:t>
            </w:r>
          </w:p>
        </w:tc>
        <w:tc>
          <w:tcPr/>
          <w:p>
            <w:pPr>
              <w:pStyle w:val="Compact"/>
            </w:pPr>
            <w:r>
              <w:t xml:space="preserve">4,462</w:t>
            </w:r>
          </w:p>
        </w:tc>
        <w:tc>
          <w:tcPr/>
          <w:p>
            <w:pPr>
              <w:pStyle w:val="Compact"/>
            </w:pPr>
            <w:r>
              <w:t xml:space="preserve">496</w:t>
            </w:r>
          </w:p>
        </w:tc>
        <w:tc>
          <w:tcPr/>
          <w:p>
            <w:pPr>
              <w:pStyle w:val="Compact"/>
            </w:pPr>
            <w:r>
              <w:t xml:space="preserve">AUROC</w:t>
            </w:r>
          </w:p>
        </w:tc>
        <w:tc>
          <w:tcPr/>
          <w:p>
            <w:pPr>
              <w:pStyle w:val="Compact"/>
            </w:pPr>
            <w:r>
              <w:t xml:space="preserve">0.969 ± 0.013</w:t>
            </w:r>
          </w:p>
        </w:tc>
        <w:tc>
          <w:tcPr/>
          <w:p>
            <w:pPr>
              <w:pStyle w:val="Compact"/>
            </w:pPr>
            <w:r>
              <w:t xml:space="preserve">0.937 ± 0.030</w:t>
            </w:r>
          </w:p>
        </w:tc>
        <w:tc>
          <w:tcPr/>
          <w:p>
            <w:pPr>
              <w:pStyle w:val="Compact"/>
            </w:pPr>
            <w:r>
              <w:t xml:space="preserve">Tau hyperphosphorylation; neuroprotection</w:t>
            </w:r>
          </w:p>
        </w:tc>
      </w:tr>
      <w:tr>
        <w:tc>
          <w:tcPr/>
          <w:p>
            <w:pPr>
              <w:pStyle w:val="Compact"/>
            </w:pPr>
            <w:r>
              <w:t xml:space="preserve">MAO_A</w:t>
            </w:r>
          </w:p>
        </w:tc>
        <w:tc>
          <w:tcPr/>
          <w:p>
            <w:pPr>
              <w:pStyle w:val="Compact"/>
            </w:pPr>
            <w:r>
              <w:t xml:space="preserve">Monoamine oxidase A</w:t>
            </w:r>
          </w:p>
        </w:tc>
        <w:tc>
          <w:tcPr/>
          <w:p>
            <w:pPr>
              <w:pStyle w:val="Compact"/>
            </w:pPr>
            <w:r>
              <w:t xml:space="preserve">classification</w:t>
            </w:r>
          </w:p>
        </w:tc>
        <w:tc>
          <w:tcPr/>
          <w:p>
            <w:pPr>
              <w:pStyle w:val="Compact"/>
            </w:pPr>
            <w:r>
              <w:t xml:space="preserve">2,228</w:t>
            </w:r>
          </w:p>
        </w:tc>
        <w:tc>
          <w:tcPr/>
          <w:p>
            <w:pPr>
              <w:pStyle w:val="Compact"/>
            </w:pPr>
            <w:r>
              <w:t xml:space="preserve">827</w:t>
            </w:r>
          </w:p>
        </w:tc>
        <w:tc>
          <w:tcPr/>
          <w:p>
            <w:pPr>
              <w:pStyle w:val="Compact"/>
            </w:pPr>
            <w:r>
              <w:t xml:space="preserve">0.41</w:t>
            </w:r>
          </w:p>
        </w:tc>
        <w:tc>
          <w:tcPr/>
          <w:p>
            <w:pPr>
              <w:pStyle w:val="Compact"/>
            </w:pPr>
            <w:r>
              <w:t xml:space="preserve">2,005</w:t>
            </w:r>
          </w:p>
        </w:tc>
        <w:tc>
          <w:tcPr/>
          <w:p>
            <w:pPr>
              <w:pStyle w:val="Compact"/>
            </w:pPr>
            <w:r>
              <w:t xml:space="preserve">223</w:t>
            </w:r>
          </w:p>
        </w:tc>
        <w:tc>
          <w:tcPr/>
          <w:p>
            <w:pPr>
              <w:pStyle w:val="Compact"/>
            </w:pPr>
            <w:r>
              <w:t xml:space="preserve">AUROC</w:t>
            </w:r>
          </w:p>
        </w:tc>
        <w:tc>
          <w:tcPr/>
          <w:p>
            <w:pPr>
              <w:pStyle w:val="Compact"/>
            </w:pPr>
            <w:r>
              <w:t xml:space="preserve">0.947 ± 0.017</w:t>
            </w:r>
          </w:p>
        </w:tc>
        <w:tc>
          <w:tcPr/>
          <w:p>
            <w:pPr>
              <w:pStyle w:val="Compact"/>
            </w:pPr>
            <w:r>
              <w:t xml:space="preserve">0.868 ± 0.046</w:t>
            </w:r>
          </w:p>
        </w:tc>
        <w:tc>
          <w:tcPr/>
          <w:p>
            <w:pPr>
              <w:pStyle w:val="Compact"/>
            </w:pPr>
            <w:r>
              <w:t xml:space="preserve">Serotonin/noradrenaline catabolism; depression</w:t>
            </w:r>
          </w:p>
        </w:tc>
      </w:tr>
      <w:tr>
        <w:tc>
          <w:tcPr/>
          <w:p>
            <w:pPr>
              <w:pStyle w:val="Compact"/>
            </w:pPr>
            <w:r>
              <w:t xml:space="preserve">MAO_B</w:t>
            </w:r>
          </w:p>
        </w:tc>
        <w:tc>
          <w:tcPr/>
          <w:p>
            <w:pPr>
              <w:pStyle w:val="Compact"/>
            </w:pPr>
            <w:r>
              <w:t xml:space="preserve">Monoamine oxidase B</w:t>
            </w:r>
          </w:p>
        </w:tc>
        <w:tc>
          <w:tcPr/>
          <w:p>
            <w:pPr>
              <w:pStyle w:val="Compact"/>
            </w:pPr>
            <w:r>
              <w:t xml:space="preserve">classification</w:t>
            </w:r>
          </w:p>
        </w:tc>
        <w:tc>
          <w:tcPr/>
          <w:p>
            <w:pPr>
              <w:pStyle w:val="Compact"/>
            </w:pPr>
            <w:r>
              <w:t xml:space="preserve">3,665</w:t>
            </w:r>
          </w:p>
        </w:tc>
        <w:tc>
          <w:tcPr/>
          <w:p>
            <w:pPr>
              <w:pStyle w:val="Compact"/>
            </w:pPr>
            <w:r>
              <w:t xml:space="preserve">1,196</w:t>
            </w:r>
          </w:p>
        </w:tc>
        <w:tc>
          <w:tcPr/>
          <w:p>
            <w:pPr>
              <w:pStyle w:val="Compact"/>
            </w:pPr>
            <w:r>
              <w:t xml:space="preserve">0.68</w:t>
            </w:r>
          </w:p>
        </w:tc>
        <w:tc>
          <w:tcPr/>
          <w:p>
            <w:pPr>
              <w:pStyle w:val="Compact"/>
            </w:pPr>
            <w:r>
              <w:t xml:space="preserve">3,298</w:t>
            </w:r>
          </w:p>
        </w:tc>
        <w:tc>
          <w:tcPr/>
          <w:p>
            <w:pPr>
              <w:pStyle w:val="Compact"/>
            </w:pPr>
            <w:r>
              <w:t xml:space="preserve">366</w:t>
            </w:r>
          </w:p>
        </w:tc>
        <w:tc>
          <w:tcPr/>
          <w:p>
            <w:pPr>
              <w:pStyle w:val="Compact"/>
            </w:pPr>
            <w:r>
              <w:t xml:space="preserve">AUROC</w:t>
            </w:r>
          </w:p>
        </w:tc>
        <w:tc>
          <w:tcPr/>
          <w:p>
            <w:pPr>
              <w:pStyle w:val="Compact"/>
            </w:pPr>
            <w:r>
              <w:t xml:space="preserve">0.955 ± 0.007</w:t>
            </w:r>
          </w:p>
        </w:tc>
        <w:tc>
          <w:tcPr/>
          <w:p>
            <w:pPr>
              <w:pStyle w:val="Compact"/>
            </w:pPr>
            <w:r>
              <w:t xml:space="preserve">0.889 ± 0.033</w:t>
            </w:r>
          </w:p>
        </w:tc>
        <w:tc>
          <w:tcPr/>
          <w:p>
            <w:pPr>
              <w:pStyle w:val="Compact"/>
            </w:pPr>
            <w:r>
              <w:t xml:space="preserve">Dopamine catabolism; Parkinson therapy (selegiline)</w:t>
            </w:r>
          </w:p>
        </w:tc>
      </w:tr>
      <w:tr>
        <w:tc>
          <w:tcPr/>
          <w:p>
            <w:pPr>
              <w:pStyle w:val="Compact"/>
            </w:pPr>
            <w:r>
              <w:t xml:space="preserve">hERG</w:t>
            </w:r>
          </w:p>
        </w:tc>
        <w:tc>
          <w:tcPr/>
          <w:p>
            <w:pPr>
              <w:pStyle w:val="Compact"/>
            </w:pPr>
            <w:r>
              <w:t xml:space="preserve">hERG potassium channel</w:t>
            </w:r>
          </w:p>
        </w:tc>
        <w:tc>
          <w:tcPr/>
          <w:p>
            <w:pPr>
              <w:pStyle w:val="Compact"/>
            </w:pPr>
            <w:r>
              <w:t xml:space="preserve">classification</w:t>
            </w:r>
          </w:p>
        </w:tc>
        <w:tc>
          <w:tcPr/>
          <w:p>
            <w:pPr>
              <w:pStyle w:val="Compact"/>
            </w:pPr>
            <w:r>
              <w:t xml:space="preserve">5,875</w:t>
            </w:r>
          </w:p>
        </w:tc>
        <w:tc>
          <w:tcPr/>
          <w:p>
            <w:pPr>
              <w:pStyle w:val="Compact"/>
            </w:pPr>
            <w:r>
              <w:t xml:space="preserve">3,377</w:t>
            </w:r>
          </w:p>
        </w:tc>
        <w:tc>
          <w:tcPr/>
          <w:p>
            <w:pPr>
              <w:pStyle w:val="Compact"/>
            </w:pPr>
            <w:r>
              <w:t xml:space="preserve">0.41</w:t>
            </w:r>
          </w:p>
        </w:tc>
        <w:tc>
          <w:tcPr/>
          <w:p>
            <w:pPr>
              <w:pStyle w:val="Compact"/>
            </w:pPr>
            <w:r>
              <w:t xml:space="preserve">5,287</w:t>
            </w:r>
          </w:p>
        </w:tc>
        <w:tc>
          <w:tcPr/>
          <w:p>
            <w:pPr>
              <w:pStyle w:val="Compact"/>
            </w:pPr>
            <w:r>
              <w:t xml:space="preserve">587</w:t>
            </w:r>
          </w:p>
        </w:tc>
        <w:tc>
          <w:tcPr/>
          <w:p>
            <w:pPr>
              <w:pStyle w:val="Compact"/>
            </w:pPr>
            <w:r>
              <w:t xml:space="preserve">AUROC</w:t>
            </w:r>
          </w:p>
        </w:tc>
        <w:tc>
          <w:tcPr/>
          <w:p>
            <w:pPr>
              <w:pStyle w:val="Compact"/>
            </w:pPr>
            <w:r>
              <w:t xml:space="preserve">0.954 ± 0.007</w:t>
            </w:r>
          </w:p>
        </w:tc>
        <w:tc>
          <w:tcPr/>
          <w:p>
            <w:pPr>
              <w:pStyle w:val="Compact"/>
            </w:pPr>
            <w:r>
              <w:t xml:space="preserve">0.921 ± 0.035</w:t>
            </w:r>
          </w:p>
        </w:tc>
        <w:tc>
          <w:tcPr/>
          <w:p>
            <w:pPr>
              <w:pStyle w:val="Compact"/>
            </w:pPr>
            <w:r>
              <w:t xml:space="preserve">Cardiotoxicity liability; principal safety filter</w:t>
            </w:r>
          </w:p>
        </w:tc>
      </w:tr>
      <w:tr>
        <w:tc>
          <w:tcPr/>
          <w:p>
            <w:pPr>
              <w:pStyle w:val="Compact"/>
            </w:pPr>
            <w:r>
              <w:t xml:space="preserve">D2</w:t>
            </w:r>
          </w:p>
        </w:tc>
        <w:tc>
          <w:tcPr/>
          <w:p>
            <w:pPr>
              <w:pStyle w:val="Compact"/>
            </w:pPr>
            <w:r>
              <w:t xml:space="preserve">Dopamine D2 receptor</w:t>
            </w:r>
          </w:p>
        </w:tc>
        <w:tc>
          <w:tcPr/>
          <w:p>
            <w:pPr>
              <w:pStyle w:val="Compact"/>
            </w:pPr>
            <w:r>
              <w:t xml:space="preserve">regression</w:t>
            </w:r>
          </w:p>
        </w:tc>
        <w:tc>
          <w:tcPr/>
          <w:p>
            <w:pPr>
              <w:pStyle w:val="Compact"/>
            </w:pPr>
            <w:r>
              <w:t xml:space="preserve">7,734</w:t>
            </w:r>
          </w:p>
        </w:tc>
        <w:tc>
          <w:tcPr/>
          <w:p>
            <w:pPr>
              <w:pStyle w:val="Compact"/>
            </w:pPr>
            <w:r>
              <w:t xml:space="preserve">3,329</w:t>
            </w:r>
          </w:p>
        </w:tc>
        <w:tc>
          <w:tcPr/>
          <w:p>
            <w:pPr>
              <w:pStyle w:val="Compact"/>
            </w:pPr>
            <w:r>
              <w:t xml:space="preserve">n/a</w:t>
            </w:r>
          </w:p>
        </w:tc>
        <w:tc>
          <w:tcPr/>
          <w:p>
            <w:pPr>
              <w:pStyle w:val="Compact"/>
            </w:pPr>
            <w:r>
              <w:t xml:space="preserve">6,961</w:t>
            </w:r>
          </w:p>
        </w:tc>
        <w:tc>
          <w:tcPr/>
          <w:p>
            <w:pPr>
              <w:pStyle w:val="Compact"/>
            </w:pPr>
            <w:r>
              <w:t xml:space="preserve">773</w:t>
            </w:r>
          </w:p>
        </w:tc>
        <w:tc>
          <w:tcPr/>
          <w:p>
            <w:pPr>
              <w:pStyle w:val="Compact"/>
            </w:pPr>
            <w:r>
              <w:t xml:space="preserve">R2</w:t>
            </w:r>
          </w:p>
        </w:tc>
        <w:tc>
          <w:tcPr/>
          <w:p>
            <w:pPr>
              <w:pStyle w:val="Compact"/>
            </w:pPr>
            <w:r>
              <w:t xml:space="preserve">0.601 ± 0.018</w:t>
            </w:r>
          </w:p>
        </w:tc>
        <w:tc>
          <w:tcPr/>
          <w:p>
            <w:pPr>
              <w:pStyle w:val="Compact"/>
            </w:pPr>
            <w:r>
              <w:t xml:space="preserve">0.483 ± 0.051</w:t>
            </w:r>
          </w:p>
        </w:tc>
        <w:tc>
          <w:tcPr/>
          <w:p>
            <w:pPr>
              <w:pStyle w:val="Compact"/>
            </w:pPr>
            <w:r>
              <w:t xml:space="preserve">Antipsychotic efficacy; motor control</w:t>
            </w:r>
          </w:p>
        </w:tc>
      </w:tr>
      <w:tr>
        <w:tc>
          <w:tcPr/>
          <w:p>
            <w:pPr>
              <w:pStyle w:val="Compact"/>
            </w:pPr>
            <w:r>
              <w:t xml:space="preserve">A2A</w:t>
            </w:r>
          </w:p>
        </w:tc>
        <w:tc>
          <w:tcPr/>
          <w:p>
            <w:pPr>
              <w:pStyle w:val="Compact"/>
            </w:pPr>
            <w:r>
              <w:t xml:space="preserve">Adenosine A2A receptor</w:t>
            </w:r>
          </w:p>
        </w:tc>
        <w:tc>
          <w:tcPr/>
          <w:p>
            <w:pPr>
              <w:pStyle w:val="Compact"/>
            </w:pPr>
            <w:r>
              <w:t xml:space="preserve">regression</w:t>
            </w:r>
          </w:p>
        </w:tc>
        <w:tc>
          <w:tcPr/>
          <w:p>
            <w:pPr>
              <w:pStyle w:val="Compact"/>
            </w:pPr>
            <w:r>
              <w:t xml:space="preserve">6,785</w:t>
            </w:r>
          </w:p>
        </w:tc>
        <w:tc>
          <w:tcPr/>
          <w:p>
            <w:pPr>
              <w:pStyle w:val="Compact"/>
            </w:pPr>
            <w:r>
              <w:t xml:space="preserve">2,654</w:t>
            </w:r>
          </w:p>
        </w:tc>
        <w:tc>
          <w:tcPr/>
          <w:p>
            <w:pPr>
              <w:pStyle w:val="Compact"/>
            </w:pPr>
            <w:r>
              <w:t xml:space="preserve">n/a</w:t>
            </w:r>
          </w:p>
        </w:tc>
        <w:tc>
          <w:tcPr/>
          <w:p>
            <w:pPr>
              <w:pStyle w:val="Compact"/>
            </w:pPr>
            <w:r>
              <w:t xml:space="preserve">6,106</w:t>
            </w:r>
          </w:p>
        </w:tc>
        <w:tc>
          <w:tcPr/>
          <w:p>
            <w:pPr>
              <w:pStyle w:val="Compact"/>
            </w:pPr>
            <w:r>
              <w:t xml:space="preserve">678</w:t>
            </w:r>
          </w:p>
        </w:tc>
        <w:tc>
          <w:tcPr/>
          <w:p>
            <w:pPr>
              <w:pStyle w:val="Compact"/>
            </w:pPr>
            <w:r>
              <w:t xml:space="preserve">R2</w:t>
            </w:r>
          </w:p>
        </w:tc>
        <w:tc>
          <w:tcPr/>
          <w:p>
            <w:pPr>
              <w:pStyle w:val="Compact"/>
            </w:pPr>
            <w:r>
              <w:t xml:space="preserve">0.682 ± 0.023</w:t>
            </w:r>
          </w:p>
        </w:tc>
        <w:tc>
          <w:tcPr/>
          <w:p>
            <w:pPr>
              <w:pStyle w:val="Compact"/>
            </w:pPr>
            <w:r>
              <w:t xml:space="preserve">0.576 ± 0.066</w:t>
            </w:r>
          </w:p>
        </w:tc>
        <w:tc>
          <w:tcPr/>
          <w:p>
            <w:pPr>
              <w:pStyle w:val="Compact"/>
            </w:pPr>
            <w:r>
              <w:t xml:space="preserve">Non-dopaminergic Parkinson target (istradefylline)</w:t>
            </w:r>
          </w:p>
        </w:tc>
      </w:tr>
      <w:tr>
        <w:tc>
          <w:tcPr/>
          <w:p>
            <w:pPr>
              <w:pStyle w:val="Compact"/>
            </w:pPr>
            <w:r>
              <w:t xml:space="preserve">HT2A</w:t>
            </w:r>
          </w:p>
        </w:tc>
        <w:tc>
          <w:tcPr/>
          <w:p>
            <w:pPr>
              <w:pStyle w:val="Compact"/>
            </w:pPr>
            <w:r>
              <w:t xml:space="preserve">Serotonin 5-HT2A receptor</w:t>
            </w:r>
          </w:p>
        </w:tc>
        <w:tc>
          <w:tcPr/>
          <w:p>
            <w:pPr>
              <w:pStyle w:val="Compact"/>
            </w:pPr>
            <w:r>
              <w:t xml:space="preserve">regression</w:t>
            </w:r>
          </w:p>
        </w:tc>
        <w:tc>
          <w:tcPr/>
          <w:p>
            <w:pPr>
              <w:pStyle w:val="Compact"/>
            </w:pPr>
            <w:r>
              <w:t xml:space="preserve">5,989</w:t>
            </w:r>
          </w:p>
        </w:tc>
        <w:tc>
          <w:tcPr/>
          <w:p>
            <w:pPr>
              <w:pStyle w:val="Compact"/>
            </w:pPr>
            <w:r>
              <w:t xml:space="preserve">2,254</w:t>
            </w:r>
          </w:p>
        </w:tc>
        <w:tc>
          <w:tcPr/>
          <w:p>
            <w:pPr>
              <w:pStyle w:val="Compact"/>
            </w:pPr>
            <w:r>
              <w:t xml:space="preserve">n/a</w:t>
            </w:r>
          </w:p>
        </w:tc>
        <w:tc>
          <w:tcPr/>
          <w:p>
            <w:pPr>
              <w:pStyle w:val="Compact"/>
            </w:pPr>
            <w:r>
              <w:t xml:space="preserve">5,390</w:t>
            </w:r>
          </w:p>
        </w:tc>
        <w:tc>
          <w:tcPr/>
          <w:p>
            <w:pPr>
              <w:pStyle w:val="Compact"/>
            </w:pPr>
            <w:r>
              <w:t xml:space="preserve">599</w:t>
            </w:r>
          </w:p>
        </w:tc>
        <w:tc>
          <w:tcPr/>
          <w:p>
            <w:pPr>
              <w:pStyle w:val="Compact"/>
            </w:pPr>
            <w:r>
              <w:t xml:space="preserve">R2</w:t>
            </w:r>
          </w:p>
        </w:tc>
        <w:tc>
          <w:tcPr/>
          <w:p>
            <w:pPr>
              <w:pStyle w:val="Compact"/>
            </w:pPr>
            <w:r>
              <w:t xml:space="preserve">0.636 ± 0.028</w:t>
            </w:r>
          </w:p>
        </w:tc>
        <w:tc>
          <w:tcPr/>
          <w:p>
            <w:pPr>
              <w:pStyle w:val="Compact"/>
            </w:pPr>
            <w:r>
              <w:t xml:space="preserve">0.490 ± 0.054</w:t>
            </w:r>
          </w:p>
        </w:tc>
        <w:tc>
          <w:tcPr/>
          <w:p>
            <w:pPr>
              <w:pStyle w:val="Compact"/>
            </w:pPr>
            <w:r>
              <w:t xml:space="preserve">Atypical antipsychotics; psychedelics</w:t>
            </w:r>
          </w:p>
        </w:tc>
      </w:tr>
      <w:tr>
        <w:tc>
          <w:tcPr/>
          <w:p>
            <w:pPr>
              <w:pStyle w:val="Compact"/>
            </w:pPr>
            <w:r>
              <w:t xml:space="preserve">SERT</w:t>
            </w:r>
          </w:p>
        </w:tc>
        <w:tc>
          <w:tcPr/>
          <w:p>
            <w:pPr>
              <w:pStyle w:val="Compact"/>
            </w:pPr>
            <w:r>
              <w:t xml:space="preserve">Serotonin transporter</w:t>
            </w:r>
          </w:p>
        </w:tc>
        <w:tc>
          <w:tcPr/>
          <w:p>
            <w:pPr>
              <w:pStyle w:val="Compact"/>
            </w:pPr>
            <w:r>
              <w:t xml:space="preserve">regression</w:t>
            </w:r>
          </w:p>
        </w:tc>
        <w:tc>
          <w:tcPr/>
          <w:p>
            <w:pPr>
              <w:pStyle w:val="Compact"/>
            </w:pPr>
            <w:r>
              <w:t xml:space="preserve">4,572</w:t>
            </w:r>
          </w:p>
        </w:tc>
        <w:tc>
          <w:tcPr/>
          <w:p>
            <w:pPr>
              <w:pStyle w:val="Compact"/>
            </w:pPr>
            <w:r>
              <w:t xml:space="preserve">1,459</w:t>
            </w:r>
          </w:p>
        </w:tc>
        <w:tc>
          <w:tcPr/>
          <w:p>
            <w:pPr>
              <w:pStyle w:val="Compact"/>
            </w:pPr>
            <w:r>
              <w:t xml:space="preserve">n/a</w:t>
            </w:r>
          </w:p>
        </w:tc>
        <w:tc>
          <w:tcPr/>
          <w:p>
            <w:pPr>
              <w:pStyle w:val="Compact"/>
            </w:pPr>
            <w:r>
              <w:t xml:space="preserve">4,115</w:t>
            </w:r>
          </w:p>
        </w:tc>
        <w:tc>
          <w:tcPr/>
          <w:p>
            <w:pPr>
              <w:pStyle w:val="Compact"/>
            </w:pPr>
            <w:r>
              <w:t xml:space="preserve">457</w:t>
            </w:r>
          </w:p>
        </w:tc>
        <w:tc>
          <w:tcPr/>
          <w:p>
            <w:pPr>
              <w:pStyle w:val="Compact"/>
            </w:pPr>
            <w:r>
              <w:t xml:space="preserve">R2</w:t>
            </w:r>
          </w:p>
        </w:tc>
        <w:tc>
          <w:tcPr/>
          <w:p>
            <w:pPr>
              <w:pStyle w:val="Compact"/>
            </w:pPr>
            <w:r>
              <w:t xml:space="preserve">0.602 ± 0.038</w:t>
            </w:r>
          </w:p>
        </w:tc>
        <w:tc>
          <w:tcPr/>
          <w:p>
            <w:pPr>
              <w:pStyle w:val="Compact"/>
            </w:pPr>
            <w:r>
              <w:t xml:space="preserve">0.389 ± 0.124</w:t>
            </w:r>
          </w:p>
        </w:tc>
        <w:tc>
          <w:tcPr/>
          <w:p>
            <w:pPr>
              <w:pStyle w:val="Compact"/>
            </w:pPr>
            <w:r>
              <w:t xml:space="preserve">SSRI antidepressant target</w:t>
            </w:r>
          </w:p>
        </w:tc>
      </w:tr>
      <w:tr>
        <w:tc>
          <w:tcPr/>
          <w:p>
            <w:pPr>
              <w:pStyle w:val="Compact"/>
            </w:pPr>
            <w:r>
              <w:t xml:space="preserve">antioxidant_DPPH</w:t>
            </w:r>
          </w:p>
        </w:tc>
        <w:tc>
          <w:tcPr/>
          <w:p>
            <w:pPr>
              <w:pStyle w:val="Compact"/>
            </w:pPr>
            <w:r>
              <w:t xml:space="preserve">Radical-scavenging capacity</w:t>
            </w:r>
          </w:p>
        </w:tc>
        <w:tc>
          <w:tcPr/>
          <w:p>
            <w:pPr>
              <w:pStyle w:val="Compact"/>
            </w:pPr>
            <w:r>
              <w:t xml:space="preserve">regression</w:t>
            </w:r>
          </w:p>
        </w:tc>
        <w:tc>
          <w:tcPr/>
          <w:p>
            <w:pPr>
              <w:pStyle w:val="Compact"/>
            </w:pPr>
            <w:r>
              <w:t xml:space="preserve">2,862</w:t>
            </w:r>
          </w:p>
        </w:tc>
        <w:tc>
          <w:tcPr/>
          <w:p>
            <w:pPr>
              <w:pStyle w:val="Compact"/>
            </w:pPr>
            <w:r>
              <w:t xml:space="preserve">919</w:t>
            </w:r>
          </w:p>
        </w:tc>
        <w:tc>
          <w:tcPr/>
          <w:p>
            <w:pPr>
              <w:pStyle w:val="Compact"/>
            </w:pPr>
            <w:r>
              <w:t xml:space="preserve">n/a</w:t>
            </w:r>
          </w:p>
        </w:tc>
        <w:tc>
          <w:tcPr/>
          <w:p>
            <w:pPr>
              <w:pStyle w:val="Compact"/>
            </w:pPr>
            <w:r>
              <w:t xml:space="preserve">2,576</w:t>
            </w:r>
          </w:p>
        </w:tc>
        <w:tc>
          <w:tcPr/>
          <w:p>
            <w:pPr>
              <w:pStyle w:val="Compact"/>
            </w:pPr>
            <w:r>
              <w:t xml:space="preserve">286</w:t>
            </w:r>
          </w:p>
        </w:tc>
        <w:tc>
          <w:tcPr/>
          <w:p>
            <w:pPr>
              <w:pStyle w:val="Compact"/>
            </w:pPr>
            <w:r>
              <w:t xml:space="preserve">R2</w:t>
            </w:r>
          </w:p>
        </w:tc>
        <w:tc>
          <w:tcPr/>
          <w:p>
            <w:pPr>
              <w:pStyle w:val="Compact"/>
            </w:pPr>
            <w:r>
              <w:t xml:space="preserve">0.669 ± 0.065</w:t>
            </w:r>
          </w:p>
        </w:tc>
        <w:tc>
          <w:tcPr/>
          <w:p>
            <w:pPr>
              <w:pStyle w:val="Compact"/>
            </w:pPr>
            <w:r>
              <w:t xml:space="preserve">0.434 ± 0.100</w:t>
            </w:r>
          </w:p>
        </w:tc>
        <w:tc>
          <w:tcPr/>
          <w:p>
            <w:pPr>
              <w:pStyle w:val="Compact"/>
            </w:pPr>
            <w:r>
              <w:t xml:space="preserve">Oxidative stress in neurodegeneration</w:t>
            </w:r>
          </w:p>
        </w:tc>
      </w:tr>
    </w:tbl>
    <w:bookmarkEnd w:id="25"/>
    <w:bookmarkStart w:id="26" w:name="Xaf2db87375f39e9326a30136caf18cbdedc898c"/>
    <w:p>
      <w:pPr>
        <w:pStyle w:val="Heading2"/>
      </w:pPr>
      <w:r>
        <w:t xml:space="preserve">Table 2. Binder classifiers validated against held-out measured inactives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Endpoint</w:t>
            </w:r>
          </w:p>
        </w:tc>
        <w:tc>
          <w:tcPr/>
          <w:p>
            <w:pPr>
              <w:pStyle w:val="Compact"/>
            </w:pPr>
            <w:r>
              <w:t xml:space="preserve">Target</w:t>
            </w:r>
          </w:p>
        </w:tc>
        <w:tc>
          <w:tcPr/>
          <w:p>
            <w:pPr>
              <w:pStyle w:val="Compact"/>
            </w:pPr>
            <w:r>
              <w:t xml:space="preserve">Measured binders</w:t>
            </w:r>
          </w:p>
        </w:tc>
        <w:tc>
          <w:tcPr/>
          <w:p>
            <w:pPr>
              <w:pStyle w:val="Compact"/>
            </w:pPr>
            <w:r>
              <w:t xml:space="preserve">Training negatives</w:t>
            </w:r>
          </w:p>
        </w:tc>
        <w:tc>
          <w:tcPr/>
          <w:p>
            <w:pPr>
              <w:pStyle w:val="Compact"/>
            </w:pPr>
            <w:r>
              <w:t xml:space="preserve">AUROC (held-out measured inactives)</w:t>
            </w:r>
          </w:p>
        </w:tc>
        <w:tc>
          <w:tcPr/>
          <w:p>
            <w:pPr>
              <w:pStyle w:val="Compact"/>
            </w:pPr>
            <w:r>
              <w:t xml:space="preserve">Threshold</w:t>
            </w:r>
          </w:p>
        </w:tc>
        <w:tc>
          <w:tcPr/>
          <w:p>
            <w:pPr>
              <w:pStyle w:val="Compact"/>
            </w:pPr>
            <w:r>
              <w:t xml:space="preserve">Sensitivity</w:t>
            </w:r>
          </w:p>
        </w:tc>
        <w:tc>
          <w:tcPr/>
          <w:p>
            <w:pPr>
              <w:pStyle w:val="Compact"/>
            </w:pPr>
            <w:r>
              <w:t xml:space="preserve">Why this endpoint</w:t>
            </w:r>
          </w:p>
        </w:tc>
      </w:tr>
      <w:tr>
        <w:tc>
          <w:tcPr/>
          <w:p>
            <w:pPr>
              <w:pStyle w:val="Compact"/>
            </w:pPr>
            <w:r>
              <w:t xml:space="preserve">D2</w:t>
            </w:r>
          </w:p>
        </w:tc>
        <w:tc>
          <w:tcPr/>
          <w:p>
            <w:pPr>
              <w:pStyle w:val="Compact"/>
            </w:pPr>
            <w:r>
              <w:t xml:space="preserve">Dopamine D2 receptor</w:t>
            </w:r>
          </w:p>
        </w:tc>
        <w:tc>
          <w:tcPr/>
          <w:p>
            <w:pPr>
              <w:pStyle w:val="Compact"/>
            </w:pPr>
            <w:r>
              <w:t xml:space="preserve">3,676</w:t>
            </w:r>
          </w:p>
        </w:tc>
        <w:tc>
          <w:tcPr/>
          <w:p>
            <w:pPr>
              <w:pStyle w:val="Compact"/>
            </w:pPr>
            <w:r>
              <w:t xml:space="preserve">10,895</w:t>
            </w:r>
          </w:p>
        </w:tc>
        <w:tc>
          <w:tcPr/>
          <w:p>
            <w:pPr>
              <w:pStyle w:val="Compact"/>
            </w:pPr>
            <w:r>
              <w:t xml:space="preserve">0.938</w:t>
            </w:r>
          </w:p>
        </w:tc>
        <w:tc>
          <w:tcPr/>
          <w:p>
            <w:pPr>
              <w:pStyle w:val="Compact"/>
            </w:pPr>
            <w:r>
              <w:t xml:space="preserve">0.986</w:t>
            </w:r>
          </w:p>
        </w:tc>
        <w:tc>
          <w:tcPr/>
          <w:p>
            <w:pPr>
              <w:pStyle w:val="Compact"/>
            </w:pPr>
            <w:r>
              <w:t xml:space="preserve">0.785</w:t>
            </w:r>
          </w:p>
        </w:tc>
        <w:tc>
          <w:tcPr/>
          <w:p>
            <w:pPr>
              <w:pStyle w:val="Compact"/>
            </w:pPr>
            <w:r>
              <w:t xml:space="preserve">Antipsychotic efficacy</w:t>
            </w:r>
          </w:p>
        </w:tc>
      </w:tr>
      <w:tr>
        <w:tc>
          <w:tcPr/>
          <w:p>
            <w:pPr>
              <w:pStyle w:val="Compact"/>
            </w:pPr>
            <w:r>
              <w:t xml:space="preserve">A2A</w:t>
            </w:r>
          </w:p>
        </w:tc>
        <w:tc>
          <w:tcPr/>
          <w:p>
            <w:pPr>
              <w:pStyle w:val="Compact"/>
            </w:pPr>
            <w:r>
              <w:t xml:space="preserve">Adenosine A2A receptor</w:t>
            </w:r>
          </w:p>
        </w:tc>
        <w:tc>
          <w:tcPr/>
          <w:p>
            <w:pPr>
              <w:pStyle w:val="Compact"/>
            </w:pPr>
            <w:r>
              <w:t xml:space="preserve">4,352</w:t>
            </w:r>
          </w:p>
        </w:tc>
        <w:tc>
          <w:tcPr/>
          <w:p>
            <w:pPr>
              <w:pStyle w:val="Compact"/>
            </w:pPr>
            <w:r>
              <w:t xml:space="preserve">12,941</w:t>
            </w:r>
          </w:p>
        </w:tc>
        <w:tc>
          <w:tcPr/>
          <w:p>
            <w:pPr>
              <w:pStyle w:val="Compact"/>
            </w:pPr>
            <w:r>
              <w:t xml:space="preserve">0.960</w:t>
            </w:r>
          </w:p>
        </w:tc>
        <w:tc>
          <w:tcPr/>
          <w:p>
            <w:pPr>
              <w:pStyle w:val="Compact"/>
            </w:pPr>
            <w:r>
              <w:t xml:space="preserve">0.994</w:t>
            </w:r>
          </w:p>
        </w:tc>
        <w:tc>
          <w:tcPr/>
          <w:p>
            <w:pPr>
              <w:pStyle w:val="Compact"/>
            </w:pPr>
            <w:r>
              <w:t xml:space="preserve">0.861</w:t>
            </w:r>
          </w:p>
        </w:tc>
        <w:tc>
          <w:tcPr/>
          <w:p>
            <w:pPr>
              <w:pStyle w:val="Compact"/>
            </w:pPr>
            <w:r>
              <w:t xml:space="preserve">Non-dopaminergic Parkinson target</w:t>
            </w:r>
          </w:p>
        </w:tc>
      </w:tr>
      <w:tr>
        <w:tc>
          <w:tcPr/>
          <w:p>
            <w:pPr>
              <w:pStyle w:val="Compact"/>
            </w:pPr>
            <w:r>
              <w:t xml:space="preserve">HT2A</w:t>
            </w:r>
          </w:p>
        </w:tc>
        <w:tc>
          <w:tcPr/>
          <w:p>
            <w:pPr>
              <w:pStyle w:val="Compact"/>
            </w:pPr>
            <w:r>
              <w:t xml:space="preserve">Serotonin 5-HT2A receptor</w:t>
            </w:r>
          </w:p>
        </w:tc>
        <w:tc>
          <w:tcPr/>
          <w:p>
            <w:pPr>
              <w:pStyle w:val="Compact"/>
            </w:pPr>
            <w:r>
              <w:t xml:space="preserve">3,951</w:t>
            </w:r>
          </w:p>
        </w:tc>
        <w:tc>
          <w:tcPr/>
          <w:p>
            <w:pPr>
              <w:pStyle w:val="Compact"/>
            </w:pPr>
            <w:r>
              <w:t xml:space="preserve">11,813</w:t>
            </w:r>
          </w:p>
        </w:tc>
        <w:tc>
          <w:tcPr/>
          <w:p>
            <w:pPr>
              <w:pStyle w:val="Compact"/>
            </w:pPr>
            <w:r>
              <w:t xml:space="preserve">0.953</w:t>
            </w:r>
          </w:p>
        </w:tc>
        <w:tc>
          <w:tcPr/>
          <w:p>
            <w:pPr>
              <w:pStyle w:val="Compact"/>
            </w:pPr>
            <w:r>
              <w:t xml:space="preserve">0.983</w:t>
            </w:r>
          </w:p>
        </w:tc>
        <w:tc>
          <w:tcPr/>
          <w:p>
            <w:pPr>
              <w:pStyle w:val="Compact"/>
            </w:pPr>
            <w:r>
              <w:t xml:space="preserve">0.850</w:t>
            </w:r>
          </w:p>
        </w:tc>
        <w:tc>
          <w:tcPr/>
          <w:p>
            <w:pPr>
              <w:pStyle w:val="Compact"/>
            </w:pPr>
            <w:r>
              <w:t xml:space="preserve">Atypical antipsychotic profile</w:t>
            </w:r>
          </w:p>
        </w:tc>
      </w:tr>
      <w:tr>
        <w:tc>
          <w:tcPr/>
          <w:p>
            <w:pPr>
              <w:pStyle w:val="Compact"/>
            </w:pPr>
            <w:r>
              <w:t xml:space="preserve">SERT</w:t>
            </w:r>
          </w:p>
        </w:tc>
        <w:tc>
          <w:tcPr/>
          <w:p>
            <w:pPr>
              <w:pStyle w:val="Compact"/>
            </w:pPr>
            <w:r>
              <w:t xml:space="preserve">Serotonin transporter</w:t>
            </w:r>
          </w:p>
        </w:tc>
        <w:tc>
          <w:tcPr/>
          <w:p>
            <w:pPr>
              <w:pStyle w:val="Compact"/>
            </w:pPr>
            <w:r>
              <w:t xml:space="preserve">3,028</w:t>
            </w:r>
          </w:p>
        </w:tc>
        <w:tc>
          <w:tcPr/>
          <w:p>
            <w:pPr>
              <w:pStyle w:val="Compact"/>
            </w:pPr>
            <w:r>
              <w:t xml:space="preserve">9,012</w:t>
            </w:r>
          </w:p>
        </w:tc>
        <w:tc>
          <w:tcPr/>
          <w:p>
            <w:pPr>
              <w:pStyle w:val="Compact"/>
            </w:pPr>
            <w:r>
              <w:t xml:space="preserve">0.983</w:t>
            </w:r>
          </w:p>
        </w:tc>
        <w:tc>
          <w:tcPr/>
          <w:p>
            <w:pPr>
              <w:pStyle w:val="Compact"/>
            </w:pPr>
            <w:r>
              <w:t xml:space="preserve">0.768</w:t>
            </w:r>
          </w:p>
        </w:tc>
        <w:tc>
          <w:tcPr/>
          <w:p>
            <w:pPr>
              <w:pStyle w:val="Compact"/>
            </w:pPr>
            <w:r>
              <w:t xml:space="preserve">0.970</w:t>
            </w:r>
          </w:p>
        </w:tc>
        <w:tc>
          <w:tcPr/>
          <w:p>
            <w:pPr>
              <w:pStyle w:val="Compact"/>
            </w:pPr>
            <w:r>
              <w:t xml:space="preserve">SSRI antidepressant target</w:t>
            </w:r>
          </w:p>
        </w:tc>
      </w:tr>
      <w:tr>
        <w:tc>
          <w:tcPr/>
          <w:p>
            <w:pPr>
              <w:pStyle w:val="Compact"/>
            </w:pPr>
            <w:r>
              <w:t xml:space="preserve">HT1A</w:t>
            </w:r>
          </w:p>
        </w:tc>
        <w:tc>
          <w:tcPr/>
          <w:p>
            <w:pPr>
              <w:pStyle w:val="Compact"/>
            </w:pPr>
            <w:r>
              <w:t xml:space="preserve">5-HT1A receptor</w:t>
            </w:r>
          </w:p>
        </w:tc>
        <w:tc>
          <w:tcPr/>
          <w:p>
            <w:pPr>
              <w:pStyle w:val="Compact"/>
            </w:pPr>
            <w:r>
              <w:t xml:space="preserve">3,703</w:t>
            </w:r>
          </w:p>
        </w:tc>
        <w:tc>
          <w:tcPr/>
          <w:p>
            <w:pPr>
              <w:pStyle w:val="Compact"/>
            </w:pPr>
            <w:r>
              <w:t xml:space="preserve">11,012</w:t>
            </w:r>
          </w:p>
        </w:tc>
        <w:tc>
          <w:tcPr/>
          <w:p>
            <w:pPr>
              <w:pStyle w:val="Compact"/>
            </w:pPr>
            <w:r>
              <w:t xml:space="preserve">0.989</w:t>
            </w:r>
          </w:p>
        </w:tc>
        <w:tc>
          <w:tcPr/>
          <w:p>
            <w:pPr>
              <w:pStyle w:val="Compact"/>
            </w:pPr>
            <w:r>
              <w:t xml:space="preserve">0.758</w:t>
            </w:r>
          </w:p>
        </w:tc>
        <w:tc>
          <w:tcPr/>
          <w:p>
            <w:pPr>
              <w:pStyle w:val="Compact"/>
            </w:pPr>
            <w:r>
              <w:t xml:space="preserve">0.971</w:t>
            </w:r>
          </w:p>
        </w:tc>
        <w:tc>
          <w:tcPr/>
          <w:p>
            <w:pPr>
              <w:pStyle w:val="Compact"/>
            </w:pPr>
            <w:r>
              <w:t xml:space="preserve">Anxiety, depression (buspirone)</w:t>
            </w:r>
          </w:p>
        </w:tc>
      </w:tr>
      <w:tr>
        <w:tc>
          <w:tcPr/>
          <w:p>
            <w:pPr>
              <w:pStyle w:val="Compact"/>
            </w:pPr>
            <w:r>
              <w:t xml:space="preserve">HT6</w:t>
            </w:r>
          </w:p>
        </w:tc>
        <w:tc>
          <w:tcPr/>
          <w:p>
            <w:pPr>
              <w:pStyle w:val="Compact"/>
            </w:pPr>
            <w:r>
              <w:t xml:space="preserve">5-HT6 receptor</w:t>
            </w:r>
          </w:p>
        </w:tc>
        <w:tc>
          <w:tcPr/>
          <w:p>
            <w:pPr>
              <w:pStyle w:val="Compact"/>
            </w:pPr>
            <w:r>
              <w:t xml:space="preserve">2,741</w:t>
            </w:r>
          </w:p>
        </w:tc>
        <w:tc>
          <w:tcPr/>
          <w:p>
            <w:pPr>
              <w:pStyle w:val="Compact"/>
            </w:pPr>
            <w:r>
              <w:t xml:space="preserve">8,195</w:t>
            </w:r>
          </w:p>
        </w:tc>
        <w:tc>
          <w:tcPr/>
          <w:p>
            <w:pPr>
              <w:pStyle w:val="Compact"/>
            </w:pPr>
            <w:r>
              <w:t xml:space="preserve">0.977</w:t>
            </w:r>
          </w:p>
        </w:tc>
        <w:tc>
          <w:tcPr/>
          <w:p>
            <w:pPr>
              <w:pStyle w:val="Compact"/>
            </w:pPr>
            <w:r>
              <w:t xml:space="preserve">0.947</w:t>
            </w:r>
          </w:p>
        </w:tc>
        <w:tc>
          <w:tcPr/>
          <w:p>
            <w:pPr>
              <w:pStyle w:val="Compact"/>
            </w:pPr>
            <w:r>
              <w:t xml:space="preserve">0.942</w:t>
            </w:r>
          </w:p>
        </w:tc>
        <w:tc>
          <w:tcPr/>
          <w:p>
            <w:pPr>
              <w:pStyle w:val="Compact"/>
            </w:pPr>
            <w:r>
              <w:t xml:space="preserve">Cognition enhancement in Alzheimer</w:t>
            </w:r>
          </w:p>
        </w:tc>
      </w:tr>
      <w:tr>
        <w:tc>
          <w:tcPr/>
          <w:p>
            <w:pPr>
              <w:pStyle w:val="Compact"/>
            </w:pPr>
            <w:r>
              <w:t xml:space="preserve">HT7</w:t>
            </w:r>
          </w:p>
        </w:tc>
        <w:tc>
          <w:tcPr/>
          <w:p>
            <w:pPr>
              <w:pStyle w:val="Compact"/>
            </w:pPr>
            <w:r>
              <w:t xml:space="preserve">5-HT7 receptor</w:t>
            </w:r>
          </w:p>
        </w:tc>
        <w:tc>
          <w:tcPr/>
          <w:p>
            <w:pPr>
              <w:pStyle w:val="Compact"/>
            </w:pPr>
            <w:r>
              <w:t xml:space="preserve">1,478</w:t>
            </w:r>
          </w:p>
        </w:tc>
        <w:tc>
          <w:tcPr/>
          <w:p>
            <w:pPr>
              <w:pStyle w:val="Compact"/>
            </w:pPr>
            <w:r>
              <w:t xml:space="preserve">4,377</w:t>
            </w:r>
          </w:p>
        </w:tc>
        <w:tc>
          <w:tcPr/>
          <w:p>
            <w:pPr>
              <w:pStyle w:val="Compact"/>
            </w:pPr>
            <w:r>
              <w:t xml:space="preserve">0.960</w:t>
            </w:r>
          </w:p>
        </w:tc>
        <w:tc>
          <w:tcPr/>
          <w:p>
            <w:pPr>
              <w:pStyle w:val="Compact"/>
            </w:pPr>
            <w:r>
              <w:t xml:space="preserve">0.921</w:t>
            </w:r>
          </w:p>
        </w:tc>
        <w:tc>
          <w:tcPr/>
          <w:p>
            <w:pPr>
              <w:pStyle w:val="Compact"/>
            </w:pPr>
            <w:r>
              <w:t xml:space="preserve">0.913</w:t>
            </w:r>
          </w:p>
        </w:tc>
        <w:tc>
          <w:tcPr/>
          <w:p>
            <w:pPr>
              <w:pStyle w:val="Compact"/>
            </w:pPr>
            <w:r>
              <w:t xml:space="preserve">Mood, circadian rhythm, sleep</w:t>
            </w:r>
          </w:p>
        </w:tc>
      </w:tr>
      <w:tr>
        <w:tc>
          <w:tcPr/>
          <w:p>
            <w:pPr>
              <w:pStyle w:val="Compact"/>
            </w:pPr>
            <w:r>
              <w:t xml:space="preserve">H3</w:t>
            </w:r>
          </w:p>
        </w:tc>
        <w:tc>
          <w:tcPr/>
          <w:p>
            <w:pPr>
              <w:pStyle w:val="Compact"/>
            </w:pPr>
            <w:r>
              <w:t xml:space="preserve">Histamine H3 receptor</w:t>
            </w:r>
          </w:p>
        </w:tc>
        <w:tc>
          <w:tcPr/>
          <w:p>
            <w:pPr>
              <w:pStyle w:val="Compact"/>
            </w:pPr>
            <w:r>
              <w:t xml:space="preserve">3,212</w:t>
            </w:r>
          </w:p>
        </w:tc>
        <w:tc>
          <w:tcPr/>
          <w:p>
            <w:pPr>
              <w:pStyle w:val="Compact"/>
            </w:pPr>
            <w:r>
              <w:t xml:space="preserve">9,548</w:t>
            </w:r>
          </w:p>
        </w:tc>
        <w:tc>
          <w:tcPr/>
          <w:p>
            <w:pPr>
              <w:pStyle w:val="Compact"/>
            </w:pPr>
            <w:r>
              <w:t xml:space="preserve">0.990</w:t>
            </w:r>
          </w:p>
        </w:tc>
        <w:tc>
          <w:tcPr/>
          <w:p>
            <w:pPr>
              <w:pStyle w:val="Compact"/>
            </w:pPr>
            <w:r>
              <w:t xml:space="preserve">0.919</w:t>
            </w:r>
          </w:p>
        </w:tc>
        <w:tc>
          <w:tcPr/>
          <w:p>
            <w:pPr>
              <w:pStyle w:val="Compact"/>
            </w:pPr>
            <w:r>
              <w:t xml:space="preserve">0.964</w:t>
            </w:r>
          </w:p>
        </w:tc>
        <w:tc>
          <w:tcPr/>
          <w:p>
            <w:pPr>
              <w:pStyle w:val="Compact"/>
            </w:pPr>
            <w:r>
              <w:t xml:space="preserve">Wakefulness (pitolisant), cognition</w:t>
            </w:r>
          </w:p>
        </w:tc>
      </w:tr>
      <w:tr>
        <w:tc>
          <w:tcPr/>
          <w:p>
            <w:pPr>
              <w:pStyle w:val="Compact"/>
            </w:pPr>
            <w:r>
              <w:t xml:space="preserve">DAT</w:t>
            </w:r>
          </w:p>
        </w:tc>
        <w:tc>
          <w:tcPr/>
          <w:p>
            <w:pPr>
              <w:pStyle w:val="Compact"/>
            </w:pPr>
            <w:r>
              <w:t xml:space="preserve">Dopamine transporter</w:t>
            </w:r>
          </w:p>
        </w:tc>
        <w:tc>
          <w:tcPr/>
          <w:p>
            <w:pPr>
              <w:pStyle w:val="Compact"/>
            </w:pPr>
            <w:r>
              <w:t xml:space="preserve">1,337</w:t>
            </w:r>
          </w:p>
        </w:tc>
        <w:tc>
          <w:tcPr/>
          <w:p>
            <w:pPr>
              <w:pStyle w:val="Compact"/>
            </w:pPr>
            <w:r>
              <w:t xml:space="preserve">3,855</w:t>
            </w:r>
          </w:p>
        </w:tc>
        <w:tc>
          <w:tcPr/>
          <w:p>
            <w:pPr>
              <w:pStyle w:val="Compact"/>
            </w:pPr>
            <w:r>
              <w:t xml:space="preserve">0.986</w:t>
            </w:r>
          </w:p>
        </w:tc>
        <w:tc>
          <w:tcPr/>
          <w:p>
            <w:pPr>
              <w:pStyle w:val="Compact"/>
            </w:pPr>
            <w:r>
              <w:t xml:space="preserve">0.531</w:t>
            </w:r>
          </w:p>
        </w:tc>
        <w:tc>
          <w:tcPr/>
          <w:p>
            <w:pPr>
              <w:pStyle w:val="Compact"/>
            </w:pPr>
            <w:r>
              <w:t xml:space="preserve">0.984</w:t>
            </w:r>
          </w:p>
        </w:tc>
        <w:tc>
          <w:tcPr/>
          <w:p>
            <w:pPr>
              <w:pStyle w:val="Compact"/>
            </w:pPr>
            <w:r>
              <w:t xml:space="preserve">ADHD, addiction, stimulant liability</w:t>
            </w:r>
          </w:p>
        </w:tc>
      </w:tr>
      <w:tr>
        <w:tc>
          <w:tcPr/>
          <w:p>
            <w:pPr>
              <w:pStyle w:val="Compact"/>
            </w:pPr>
            <w:r>
              <w:t xml:space="preserve">NET</w:t>
            </w:r>
          </w:p>
        </w:tc>
        <w:tc>
          <w:tcPr/>
          <w:p>
            <w:pPr>
              <w:pStyle w:val="Compact"/>
            </w:pPr>
            <w:r>
              <w:t xml:space="preserve">Noradrenaline transporter</w:t>
            </w:r>
          </w:p>
        </w:tc>
        <w:tc>
          <w:tcPr/>
          <w:p>
            <w:pPr>
              <w:pStyle w:val="Compact"/>
            </w:pPr>
            <w:r>
              <w:t xml:space="preserve">1,572</w:t>
            </w:r>
          </w:p>
        </w:tc>
        <w:tc>
          <w:tcPr/>
          <w:p>
            <w:pPr>
              <w:pStyle w:val="Compact"/>
            </w:pPr>
            <w:r>
              <w:t xml:space="preserve">4,583</w:t>
            </w:r>
          </w:p>
        </w:tc>
        <w:tc>
          <w:tcPr/>
          <w:p>
            <w:pPr>
              <w:pStyle w:val="Compact"/>
            </w:pPr>
            <w:r>
              <w:t xml:space="preserve">0.990</w:t>
            </w:r>
          </w:p>
        </w:tc>
        <w:tc>
          <w:tcPr/>
          <w:p>
            <w:pPr>
              <w:pStyle w:val="Compact"/>
            </w:pPr>
            <w:r>
              <w:t xml:space="preserve">0.715</w:t>
            </w:r>
          </w:p>
        </w:tc>
        <w:tc>
          <w:tcPr/>
          <w:p>
            <w:pPr>
              <w:pStyle w:val="Compact"/>
            </w:pPr>
            <w:r>
              <w:t xml:space="preserve">0.971</w:t>
            </w:r>
          </w:p>
        </w:tc>
        <w:tc>
          <w:tcPr/>
          <w:p>
            <w:pPr>
              <w:pStyle w:val="Compact"/>
            </w:pPr>
            <w:r>
              <w:t xml:space="preserve">Depression, ADHD (atomoxetine)</w:t>
            </w:r>
          </w:p>
        </w:tc>
      </w:tr>
      <w:tr>
        <w:tc>
          <w:tcPr/>
          <w:p>
            <w:pPr>
              <w:pStyle w:val="Compact"/>
            </w:pPr>
            <w:r>
              <w:t xml:space="preserve">Sigma1</w:t>
            </w:r>
          </w:p>
        </w:tc>
        <w:tc>
          <w:tcPr/>
          <w:p>
            <w:pPr>
              <w:pStyle w:val="Compact"/>
            </w:pPr>
            <w:r>
              <w:t xml:space="preserve">Sigma-1 receptor</w:t>
            </w:r>
          </w:p>
        </w:tc>
        <w:tc>
          <w:tcPr/>
          <w:p>
            <w:pPr>
              <w:pStyle w:val="Compact"/>
            </w:pPr>
            <w:r>
              <w:t xml:space="preserve">1,928</w:t>
            </w:r>
          </w:p>
        </w:tc>
        <w:tc>
          <w:tcPr/>
          <w:p>
            <w:pPr>
              <w:pStyle w:val="Compact"/>
            </w:pPr>
            <w:r>
              <w:t xml:space="preserve">5,762</w:t>
            </w:r>
          </w:p>
        </w:tc>
        <w:tc>
          <w:tcPr/>
          <w:p>
            <w:pPr>
              <w:pStyle w:val="Compact"/>
            </w:pPr>
            <w:r>
              <w:t xml:space="preserve">0.940</w:t>
            </w:r>
          </w:p>
        </w:tc>
        <w:tc>
          <w:tcPr/>
          <w:p>
            <w:pPr>
              <w:pStyle w:val="Compact"/>
            </w:pPr>
            <w:r>
              <w:t xml:space="preserve">0.955</w:t>
            </w:r>
          </w:p>
        </w:tc>
        <w:tc>
          <w:tcPr/>
          <w:p>
            <w:pPr>
              <w:pStyle w:val="Compact"/>
            </w:pPr>
            <w:r>
              <w:t xml:space="preserve">0.856</w:t>
            </w:r>
          </w:p>
        </w:tc>
        <w:tc>
          <w:tcPr/>
          <w:p>
            <w:pPr>
              <w:pStyle w:val="Compact"/>
            </w:pPr>
            <w:r>
              <w:t xml:space="preserve">Neuroprotection, ER-stress chaperone</w:t>
            </w:r>
          </w:p>
        </w:tc>
      </w:tr>
      <w:tr>
        <w:tc>
          <w:tcPr/>
          <w:p>
            <w:pPr>
              <w:pStyle w:val="Compact"/>
            </w:pPr>
            <w:r>
              <w:t xml:space="preserve">CB1</w:t>
            </w:r>
          </w:p>
        </w:tc>
        <w:tc>
          <w:tcPr/>
          <w:p>
            <w:pPr>
              <w:pStyle w:val="Compact"/>
            </w:pPr>
            <w:r>
              <w:t xml:space="preserve">Cannabinoid CB1 receptor</w:t>
            </w:r>
          </w:p>
        </w:tc>
        <w:tc>
          <w:tcPr/>
          <w:p>
            <w:pPr>
              <w:pStyle w:val="Compact"/>
            </w:pPr>
            <w:r>
              <w:t xml:space="preserve">2,680</w:t>
            </w:r>
          </w:p>
        </w:tc>
        <w:tc>
          <w:tcPr/>
          <w:p>
            <w:pPr>
              <w:pStyle w:val="Compact"/>
            </w:pPr>
            <w:r>
              <w:t xml:space="preserve">7,936</w:t>
            </w:r>
          </w:p>
        </w:tc>
        <w:tc>
          <w:tcPr/>
          <w:p>
            <w:pPr>
              <w:pStyle w:val="Compact"/>
            </w:pPr>
            <w:r>
              <w:t xml:space="preserve">0.965</w:t>
            </w:r>
          </w:p>
        </w:tc>
        <w:tc>
          <w:tcPr/>
          <w:p>
            <w:pPr>
              <w:pStyle w:val="Compact"/>
            </w:pPr>
            <w:r>
              <w:t xml:space="preserve">0.988</w:t>
            </w:r>
          </w:p>
        </w:tc>
        <w:tc>
          <w:tcPr/>
          <w:p>
            <w:pPr>
              <w:pStyle w:val="Compact"/>
            </w:pPr>
            <w:r>
              <w:t xml:space="preserve">0.878</w:t>
            </w:r>
          </w:p>
        </w:tc>
        <w:tc>
          <w:tcPr/>
          <w:p>
            <w:pPr>
              <w:pStyle w:val="Compact"/>
            </w:pPr>
            <w:r>
              <w:t xml:space="preserve">Pain, appetite, mood</w:t>
            </w:r>
          </w:p>
        </w:tc>
      </w:tr>
      <w:tr>
        <w:tc>
          <w:tcPr/>
          <w:p>
            <w:pPr>
              <w:pStyle w:val="Compact"/>
            </w:pPr>
            <w:r>
              <w:t xml:space="preserve">OPRK1</w:t>
            </w:r>
          </w:p>
        </w:tc>
        <w:tc>
          <w:tcPr/>
          <w:p>
            <w:pPr>
              <w:pStyle w:val="Compact"/>
            </w:pPr>
            <w:r>
              <w:t xml:space="preserve">Kappa-opioid receptor</w:t>
            </w:r>
          </w:p>
        </w:tc>
        <w:tc>
          <w:tcPr/>
          <w:p>
            <w:pPr>
              <w:pStyle w:val="Compact"/>
            </w:pPr>
            <w:r>
              <w:t xml:space="preserve">3,059</w:t>
            </w:r>
          </w:p>
        </w:tc>
        <w:tc>
          <w:tcPr/>
          <w:p>
            <w:pPr>
              <w:pStyle w:val="Compact"/>
            </w:pPr>
            <w:r>
              <w:t xml:space="preserve">9,022</w:t>
            </w:r>
          </w:p>
        </w:tc>
        <w:tc>
          <w:tcPr/>
          <w:p>
            <w:pPr>
              <w:pStyle w:val="Compact"/>
            </w:pPr>
            <w:r>
              <w:t xml:space="preserve">0.968</w:t>
            </w:r>
          </w:p>
        </w:tc>
        <w:tc>
          <w:tcPr/>
          <w:p>
            <w:pPr>
              <w:pStyle w:val="Compact"/>
            </w:pPr>
            <w:r>
              <w:t xml:space="preserve">0.991</w:t>
            </w:r>
          </w:p>
        </w:tc>
        <w:tc>
          <w:tcPr/>
          <w:p>
            <w:pPr>
              <w:pStyle w:val="Compact"/>
            </w:pPr>
            <w:r>
              <w:t xml:space="preserve">0.903</w:t>
            </w:r>
          </w:p>
        </w:tc>
        <w:tc>
          <w:tcPr/>
          <w:p>
            <w:pPr>
              <w:pStyle w:val="Compact"/>
            </w:pPr>
            <w:r>
              <w:t xml:space="preserve">Analgesia, dysphoria, mood</w:t>
            </w:r>
          </w:p>
        </w:tc>
      </w:tr>
      <w:tr>
        <w:tc>
          <w:tcPr/>
          <w:p>
            <w:pPr>
              <w:pStyle w:val="Compact"/>
            </w:pPr>
            <w:r>
              <w:t xml:space="preserve">OPRM1</w:t>
            </w:r>
          </w:p>
        </w:tc>
        <w:tc>
          <w:tcPr/>
          <w:p>
            <w:pPr>
              <w:pStyle w:val="Compact"/>
            </w:pPr>
            <w:r>
              <w:t xml:space="preserve">Mu-opioid receptor</w:t>
            </w:r>
          </w:p>
        </w:tc>
        <w:tc>
          <w:tcPr/>
          <w:p>
            <w:pPr>
              <w:pStyle w:val="Compact"/>
            </w:pPr>
            <w:r>
              <w:t xml:space="preserve">3,718</w:t>
            </w:r>
          </w:p>
        </w:tc>
        <w:tc>
          <w:tcPr/>
          <w:p>
            <w:pPr>
              <w:pStyle w:val="Compact"/>
            </w:pPr>
            <w:r>
              <w:t xml:space="preserve">10,971</w:t>
            </w:r>
          </w:p>
        </w:tc>
        <w:tc>
          <w:tcPr/>
          <w:p>
            <w:pPr>
              <w:pStyle w:val="Compact"/>
            </w:pPr>
            <w:r>
              <w:t xml:space="preserve">0.981</w:t>
            </w:r>
          </w:p>
        </w:tc>
        <w:tc>
          <w:tcPr/>
          <w:p>
            <w:pPr>
              <w:pStyle w:val="Compact"/>
            </w:pPr>
            <w:r>
              <w:t xml:space="preserve">0.874</w:t>
            </w:r>
          </w:p>
        </w:tc>
        <w:tc>
          <w:tcPr/>
          <w:p>
            <w:pPr>
              <w:pStyle w:val="Compact"/>
            </w:pPr>
            <w:r>
              <w:t xml:space="preserve">0.969</w:t>
            </w:r>
          </w:p>
        </w:tc>
        <w:tc>
          <w:tcPr/>
          <w:p>
            <w:pPr>
              <w:pStyle w:val="Compact"/>
            </w:pPr>
            <w:r>
              <w:t xml:space="preserve">Analgesia, addiction liability</w:t>
            </w:r>
          </w:p>
        </w:tc>
      </w:tr>
      <w:tr>
        <w:tc>
          <w:tcPr/>
          <w:p>
            <w:pPr>
              <w:pStyle w:val="Compact"/>
            </w:pPr>
            <w:r>
              <w:t xml:space="preserve">D3</w:t>
            </w:r>
          </w:p>
        </w:tc>
        <w:tc>
          <w:tcPr/>
          <w:p>
            <w:pPr>
              <w:pStyle w:val="Compact"/>
            </w:pPr>
            <w:r>
              <w:t xml:space="preserve">Dopamine D3 receptor</w:t>
            </w:r>
          </w:p>
        </w:tc>
        <w:tc>
          <w:tcPr/>
          <w:p>
            <w:pPr>
              <w:pStyle w:val="Compact"/>
            </w:pPr>
            <w:r>
              <w:t xml:space="preserve">4,127</w:t>
            </w:r>
          </w:p>
        </w:tc>
        <w:tc>
          <w:tcPr/>
          <w:p>
            <w:pPr>
              <w:pStyle w:val="Compact"/>
            </w:pPr>
            <w:r>
              <w:t xml:space="preserve">12,289</w:t>
            </w:r>
          </w:p>
        </w:tc>
        <w:tc>
          <w:tcPr/>
          <w:p>
            <w:pPr>
              <w:pStyle w:val="Compact"/>
            </w:pPr>
            <w:r>
              <w:t xml:space="preserve">0.978</w:t>
            </w:r>
          </w:p>
        </w:tc>
        <w:tc>
          <w:tcPr/>
          <w:p>
            <w:pPr>
              <w:pStyle w:val="Compact"/>
            </w:pPr>
            <w:r>
              <w:t xml:space="preserve">0.960</w:t>
            </w:r>
          </w:p>
        </w:tc>
        <w:tc>
          <w:tcPr/>
          <w:p>
            <w:pPr>
              <w:pStyle w:val="Compact"/>
            </w:pPr>
            <w:r>
              <w:t xml:space="preserve">0.938</w:t>
            </w:r>
          </w:p>
        </w:tc>
        <w:tc>
          <w:tcPr/>
          <w:p>
            <w:pPr>
              <w:pStyle w:val="Compact"/>
            </w:pPr>
            <w:r>
              <w:t xml:space="preserve">Addiction, Parkinson motor complications</w:t>
            </w:r>
          </w:p>
        </w:tc>
      </w:tr>
      <w:tr>
        <w:tc>
          <w:tcPr/>
          <w:p>
            <w:pPr>
              <w:pStyle w:val="Compact"/>
            </w:pPr>
            <w:r>
              <w:t xml:space="preserve">A1</w:t>
            </w:r>
          </w:p>
        </w:tc>
        <w:tc>
          <w:tcPr/>
          <w:p>
            <w:pPr>
              <w:pStyle w:val="Compact"/>
            </w:pPr>
            <w:r>
              <w:t xml:space="preserve">Adenosine A1 receptor</w:t>
            </w:r>
          </w:p>
        </w:tc>
        <w:tc>
          <w:tcPr/>
          <w:p>
            <w:pPr>
              <w:pStyle w:val="Compact"/>
            </w:pPr>
            <w:r>
              <w:t xml:space="preserve">1,943</w:t>
            </w:r>
          </w:p>
        </w:tc>
        <w:tc>
          <w:tcPr/>
          <w:p>
            <w:pPr>
              <w:pStyle w:val="Compact"/>
            </w:pPr>
            <w:r>
              <w:t xml:space="preserve">5,720</w:t>
            </w:r>
          </w:p>
        </w:tc>
        <w:tc>
          <w:tcPr/>
          <w:p>
            <w:pPr>
              <w:pStyle w:val="Compact"/>
            </w:pPr>
            <w:r>
              <w:t xml:space="preserve">0.954</w:t>
            </w:r>
          </w:p>
        </w:tc>
        <w:tc>
          <w:tcPr/>
          <w:p>
            <w:pPr>
              <w:pStyle w:val="Compact"/>
            </w:pPr>
            <w:r>
              <w:t xml:space="preserve">0.978</w:t>
            </w:r>
          </w:p>
        </w:tc>
        <w:tc>
          <w:tcPr/>
          <w:p>
            <w:pPr>
              <w:pStyle w:val="Compact"/>
            </w:pPr>
            <w:r>
              <w:t xml:space="preserve">0.847</w:t>
            </w:r>
          </w:p>
        </w:tc>
        <w:tc>
          <w:tcPr/>
          <w:p>
            <w:pPr>
              <w:pStyle w:val="Compact"/>
            </w:pPr>
            <w:r>
              <w:t xml:space="preserve">Neuroprotection, epilepsy, sedation</w:t>
            </w:r>
          </w:p>
        </w:tc>
      </w:tr>
      <w:tr>
        <w:tc>
          <w:tcPr/>
          <w:p>
            <w:pPr>
              <w:pStyle w:val="Compact"/>
            </w:pPr>
            <w:r>
              <w:t xml:space="preserve">a7nAChR</w:t>
            </w:r>
          </w:p>
        </w:tc>
        <w:tc>
          <w:tcPr/>
          <w:p>
            <w:pPr>
              <w:pStyle w:val="Compact"/>
            </w:pPr>
            <w:r>
              <w:t xml:space="preserve">Alpha-7 nicotinic receptor</w:t>
            </w:r>
          </w:p>
        </w:tc>
        <w:tc>
          <w:tcPr/>
          <w:p>
            <w:pPr>
              <w:pStyle w:val="Compact"/>
            </w:pPr>
            <w:r>
              <w:t xml:space="preserve">337</w:t>
            </w:r>
          </w:p>
        </w:tc>
        <w:tc>
          <w:tcPr/>
          <w:p>
            <w:pPr>
              <w:pStyle w:val="Compact"/>
            </w:pPr>
            <w:r>
              <w:t xml:space="preserve">921</w:t>
            </w:r>
          </w:p>
        </w:tc>
        <w:tc>
          <w:tcPr/>
          <w:p>
            <w:pPr>
              <w:pStyle w:val="Compact"/>
            </w:pPr>
            <w:r>
              <w:t xml:space="preserve">0.982</w:t>
            </w:r>
          </w:p>
        </w:tc>
        <w:tc>
          <w:tcPr/>
          <w:p>
            <w:pPr>
              <w:pStyle w:val="Compact"/>
            </w:pPr>
            <w:r>
              <w:t xml:space="preserve">0.642</w:t>
            </w:r>
          </w:p>
        </w:tc>
        <w:tc>
          <w:tcPr/>
          <w:p>
            <w:pPr>
              <w:pStyle w:val="Compact"/>
            </w:pPr>
            <w:r>
              <w:t xml:space="preserve">0.932</w:t>
            </w:r>
          </w:p>
        </w:tc>
        <w:tc>
          <w:tcPr/>
          <w:p>
            <w:pPr>
              <w:pStyle w:val="Compact"/>
            </w:pPr>
            <w:r>
              <w:t xml:space="preserve">Cognition, neuroinflammation in Alzheimer</w:t>
            </w:r>
          </w:p>
        </w:tc>
      </w:tr>
      <w:tr>
        <w:tc>
          <w:tcPr/>
          <w:p>
            <w:pPr>
              <w:pStyle w:val="Compact"/>
            </w:pPr>
            <w:r>
              <w:t xml:space="preserve">LRRK2</w:t>
            </w:r>
          </w:p>
        </w:tc>
        <w:tc>
          <w:tcPr/>
          <w:p>
            <w:pPr>
              <w:pStyle w:val="Compact"/>
            </w:pPr>
            <w:r>
              <w:t xml:space="preserve">LRRK2 kinase</w:t>
            </w:r>
          </w:p>
        </w:tc>
        <w:tc>
          <w:tcPr/>
          <w:p>
            <w:pPr>
              <w:pStyle w:val="Compact"/>
            </w:pPr>
            <w:r>
              <w:t xml:space="preserve">1,173</w:t>
            </w:r>
          </w:p>
        </w:tc>
        <w:tc>
          <w:tcPr/>
          <w:p>
            <w:pPr>
              <w:pStyle w:val="Compact"/>
            </w:pPr>
            <w:r>
              <w:t xml:space="preserve">3,510</w:t>
            </w:r>
          </w:p>
        </w:tc>
        <w:tc>
          <w:tcPr/>
          <w:p>
            <w:pPr>
              <w:pStyle w:val="Compact"/>
            </w:pPr>
            <w:r>
              <w:t xml:space="preserve">n/a</w:t>
            </w:r>
          </w:p>
        </w:tc>
        <w:tc>
          <w:tcPr/>
          <w:p>
            <w:pPr>
              <w:pStyle w:val="Compact"/>
            </w:pPr>
            <w:r>
              <w:t xml:space="preserve">0.400</w:t>
            </w:r>
          </w:p>
        </w:tc>
        <w:tc>
          <w:tcPr/>
          <w:p>
            <w:pPr>
              <w:pStyle w:val="Compact"/>
            </w:pPr>
            <w:r>
              <w:t xml:space="preserve">n/a</w:t>
            </w:r>
          </w:p>
        </w:tc>
        <w:tc>
          <w:tcPr/>
          <w:p>
            <w:pPr>
              <w:pStyle w:val="Compact"/>
            </w:pPr>
            <w:r>
              <w:t xml:space="preserve">Most common genetic cause of Parkinson disease</w:t>
            </w:r>
          </w:p>
        </w:tc>
      </w:tr>
    </w:tbl>
    <w:bookmarkEnd w:id="26"/>
    <w:bookmarkStart w:id="27" w:name="table-3.-adme-exposure-layer-9-endpoints"/>
    <w:p>
      <w:pPr>
        <w:pStyle w:val="Heading2"/>
      </w:pPr>
      <w:r>
        <w:t xml:space="preserve">Table 3. ADME / exposure layer (9 endpoints)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Endpoint</w:t>
            </w:r>
          </w:p>
        </w:tc>
        <w:tc>
          <w:tcPr/>
          <w:p>
            <w:pPr>
              <w:pStyle w:val="Compact"/>
            </w:pPr>
            <w:r>
              <w:t xml:space="preserve">Property</w:t>
            </w:r>
          </w:p>
        </w:tc>
        <w:tc>
          <w:tcPr/>
          <w:p>
            <w:pPr>
              <w:pStyle w:val="Compact"/>
            </w:pPr>
            <w:r>
              <w:t xml:space="preserve">Task</w:t>
            </w:r>
          </w:p>
        </w:tc>
        <w:tc>
          <w:tcPr/>
          <w:p>
            <w:pPr>
              <w:pStyle w:val="Compact"/>
            </w:pPr>
            <w:r>
              <w:t xml:space="preserve">Compounds</w:t>
            </w:r>
          </w:p>
        </w:tc>
        <w:tc>
          <w:tcPr/>
          <w:p>
            <w:pPr>
              <w:pStyle w:val="Compact"/>
            </w:pPr>
            <w:r>
              <w:t xml:space="preserve">Metric</w:t>
            </w:r>
          </w:p>
        </w:tc>
        <w:tc>
          <w:tcPr/>
          <w:p>
            <w:pPr>
              <w:pStyle w:val="Compact"/>
            </w:pPr>
            <w:r>
              <w:t xml:space="preserve">Random 10-fold</w:t>
            </w:r>
          </w:p>
        </w:tc>
        <w:tc>
          <w:tcPr/>
          <w:p>
            <w:pPr>
              <w:pStyle w:val="Compact"/>
            </w:pPr>
            <w:r>
              <w:t xml:space="preserve">Scaffold 10-fold</w:t>
            </w:r>
          </w:p>
        </w:tc>
        <w:tc>
          <w:tcPr/>
          <w:p>
            <w:pPr>
              <w:pStyle w:val="Compact"/>
            </w:pPr>
            <w:r>
              <w:t xml:space="preserve">Why this endpoint</w:t>
            </w:r>
          </w:p>
        </w:tc>
      </w:tr>
      <w:tr>
        <w:tc>
          <w:tcPr/>
          <w:p>
            <w:pPr>
              <w:pStyle w:val="Compact"/>
            </w:pPr>
            <w:r>
              <w:t xml:space="preserve">kpuu</w:t>
            </w:r>
          </w:p>
        </w:tc>
        <w:tc>
          <w:tcPr/>
          <w:p>
            <w:pPr>
              <w:pStyle w:val="Compact"/>
            </w:pPr>
            <w:r>
              <w:t xml:space="preserve">Unbound brain/plasma ratio (Kp,uu)</w:t>
            </w:r>
          </w:p>
        </w:tc>
        <w:tc>
          <w:tcPr/>
          <w:p>
            <w:pPr>
              <w:pStyle w:val="Compact"/>
            </w:pPr>
            <w:r>
              <w:t xml:space="preserve">regression</w:t>
            </w:r>
          </w:p>
        </w:tc>
        <w:tc>
          <w:tcPr/>
          <w:p>
            <w:pPr>
              <w:pStyle w:val="Compact"/>
            </w:pPr>
            <w:r>
              <w:t xml:space="preserve">566</w:t>
            </w:r>
          </w:p>
        </w:tc>
        <w:tc>
          <w:tcPr/>
          <w:p>
            <w:pPr>
              <w:pStyle w:val="Compact"/>
            </w:pPr>
            <w:r>
              <w:t xml:space="preserve">R2</w:t>
            </w:r>
          </w:p>
        </w:tc>
        <w:tc>
          <w:tcPr/>
          <w:p>
            <w:pPr>
              <w:pStyle w:val="Compact"/>
            </w:pPr>
            <w:r>
              <w:t xml:space="preserve">0.404 ± 0.099</w:t>
            </w:r>
          </w:p>
        </w:tc>
        <w:tc>
          <w:tcPr/>
          <w:p>
            <w:pPr>
              <w:pStyle w:val="Compact"/>
            </w:pPr>
            <w:r>
              <w:t xml:space="preserve">0.352 ± 0.158</w:t>
            </w:r>
          </w:p>
        </w:tc>
        <w:tc>
          <w:tcPr/>
          <w:p>
            <w:pPr>
              <w:pStyle w:val="Compact"/>
            </w:pPr>
            <w:r>
              <w:t xml:space="preserve">Free drug available to CNS targets</w:t>
            </w:r>
          </w:p>
        </w:tc>
      </w:tr>
      <w:tr>
        <w:tc>
          <w:tcPr/>
          <w:p>
            <w:pPr>
              <w:pStyle w:val="Compact"/>
            </w:pPr>
            <w:r>
              <w:t xml:space="preserve">logbb</w:t>
            </w:r>
          </w:p>
        </w:tc>
        <w:tc>
          <w:tcPr/>
          <w:p>
            <w:pPr>
              <w:pStyle w:val="Compact"/>
            </w:pPr>
            <w:r>
              <w:t xml:space="preserve">Total brain/plasma ratio (logBB)</w:t>
            </w:r>
          </w:p>
        </w:tc>
        <w:tc>
          <w:tcPr/>
          <w:p>
            <w:pPr>
              <w:pStyle w:val="Compact"/>
            </w:pPr>
            <w:r>
              <w:t xml:space="preserve">regression</w:t>
            </w:r>
          </w:p>
        </w:tc>
        <w:tc>
          <w:tcPr/>
          <w:p>
            <w:pPr>
              <w:pStyle w:val="Compact"/>
            </w:pPr>
            <w:r>
              <w:t xml:space="preserve">1,058</w:t>
            </w:r>
          </w:p>
        </w:tc>
        <w:tc>
          <w:tcPr/>
          <w:p>
            <w:pPr>
              <w:pStyle w:val="Compact"/>
            </w:pPr>
            <w:r>
              <w:t xml:space="preserve">R2</w:t>
            </w:r>
          </w:p>
        </w:tc>
        <w:tc>
          <w:tcPr/>
          <w:p>
            <w:pPr>
              <w:pStyle w:val="Compact"/>
            </w:pPr>
            <w:r>
              <w:t xml:space="preserve">0.577 ± 0.081</w:t>
            </w:r>
          </w:p>
        </w:tc>
        <w:tc>
          <w:tcPr/>
          <w:p>
            <w:pPr>
              <w:pStyle w:val="Compact"/>
            </w:pPr>
            <w:r>
              <w:t xml:space="preserve">0.455 ± 0.145</w:t>
            </w:r>
          </w:p>
        </w:tc>
        <w:tc>
          <w:tcPr/>
          <w:p>
            <w:pPr>
              <w:pStyle w:val="Compact"/>
            </w:pPr>
            <w:r>
              <w:t xml:space="preserve">Bulk brain distribution</w:t>
            </w:r>
          </w:p>
        </w:tc>
      </w:tr>
      <w:tr>
        <w:tc>
          <w:tcPr/>
          <w:p>
            <w:pPr>
              <w:pStyle w:val="Compact"/>
            </w:pPr>
            <w:r>
              <w:t xml:space="preserve">caco2_permeability</w:t>
            </w:r>
          </w:p>
        </w:tc>
        <w:tc>
          <w:tcPr/>
          <w:p>
            <w:pPr>
              <w:pStyle w:val="Compact"/>
            </w:pPr>
            <w:r>
              <w:t xml:space="preserve">Caco-2 permeability</w:t>
            </w:r>
          </w:p>
        </w:tc>
        <w:tc>
          <w:tcPr/>
          <w:p>
            <w:pPr>
              <w:pStyle w:val="Compact"/>
            </w:pPr>
            <w:r>
              <w:t xml:space="preserve">regression</w:t>
            </w:r>
          </w:p>
        </w:tc>
        <w:tc>
          <w:tcPr/>
          <w:p>
            <w:pPr>
              <w:pStyle w:val="Compact"/>
            </w:pPr>
            <w:r>
              <w:t xml:space="preserve">897</w:t>
            </w:r>
          </w:p>
        </w:tc>
        <w:tc>
          <w:tcPr/>
          <w:p>
            <w:pPr>
              <w:pStyle w:val="Compact"/>
            </w:pPr>
            <w:r>
              <w:t xml:space="preserve">R2</w:t>
            </w:r>
          </w:p>
        </w:tc>
        <w:tc>
          <w:tcPr/>
          <w:p>
            <w:pPr>
              <w:pStyle w:val="Compact"/>
            </w:pPr>
            <w:r>
              <w:t xml:space="preserve">0.734 ± 0.051</w:t>
            </w:r>
          </w:p>
        </w:tc>
        <w:tc>
          <w:tcPr/>
          <w:p>
            <w:pPr>
              <w:pStyle w:val="Compact"/>
            </w:pPr>
            <w:r>
              <w:t xml:space="preserve">0.593 ± 0.126</w:t>
            </w:r>
          </w:p>
        </w:tc>
        <w:tc>
          <w:tcPr/>
          <w:p>
            <w:pPr>
              <w:pStyle w:val="Compact"/>
            </w:pPr>
            <w:r>
              <w:t xml:space="preserve">Passive membrane permeability</w:t>
            </w:r>
          </w:p>
        </w:tc>
      </w:tr>
      <w:tr>
        <w:tc>
          <w:tcPr/>
          <w:p>
            <w:pPr>
              <w:pStyle w:val="Compact"/>
            </w:pPr>
            <w:r>
              <w:t xml:space="preserve">pgp_substrate</w:t>
            </w:r>
          </w:p>
        </w:tc>
        <w:tc>
          <w:tcPr/>
          <w:p>
            <w:pPr>
              <w:pStyle w:val="Compact"/>
            </w:pPr>
            <w:r>
              <w:t xml:space="preserve">P-glycoprotein substrate</w:t>
            </w:r>
          </w:p>
        </w:tc>
        <w:tc>
          <w:tcPr/>
          <w:p>
            <w:pPr>
              <w:pStyle w:val="Compact"/>
            </w:pPr>
            <w:r>
              <w:t xml:space="preserve">classification</w:t>
            </w:r>
          </w:p>
        </w:tc>
        <w:tc>
          <w:tcPr/>
          <w:p>
            <w:pPr>
              <w:pStyle w:val="Compact"/>
            </w:pPr>
            <w:r>
              <w:t xml:space="preserve">1,371</w:t>
            </w:r>
          </w:p>
        </w:tc>
        <w:tc>
          <w:tcPr/>
          <w:p>
            <w:pPr>
              <w:pStyle w:val="Compact"/>
            </w:pPr>
            <w:r>
              <w:t xml:space="preserve">AUROC</w:t>
            </w:r>
          </w:p>
        </w:tc>
        <w:tc>
          <w:tcPr/>
          <w:p>
            <w:pPr>
              <w:pStyle w:val="Compact"/>
            </w:pPr>
            <w:r>
              <w:t xml:space="preserve">0.858 ± 0.032</w:t>
            </w:r>
          </w:p>
        </w:tc>
        <w:tc>
          <w:tcPr/>
          <w:p>
            <w:pPr>
              <w:pStyle w:val="Compact"/>
            </w:pPr>
            <w:r>
              <w:t xml:space="preserve">0.808 ± 0.054</w:t>
            </w:r>
          </w:p>
        </w:tc>
        <w:tc>
          <w:tcPr/>
          <w:p>
            <w:pPr>
              <w:pStyle w:val="Compact"/>
            </w:pPr>
            <w:r>
              <w:t xml:space="preserve">Active efflux out of the brain</w:t>
            </w:r>
          </w:p>
        </w:tc>
      </w:tr>
      <w:tr>
        <w:tc>
          <w:tcPr/>
          <w:p>
            <w:pPr>
              <w:pStyle w:val="Compact"/>
            </w:pPr>
            <w:r>
              <w:t xml:space="preserve">pgp_inhibition</w:t>
            </w:r>
          </w:p>
        </w:tc>
        <w:tc>
          <w:tcPr/>
          <w:p>
            <w:pPr>
              <w:pStyle w:val="Compact"/>
            </w:pPr>
            <w:r>
              <w:t xml:space="preserve">P-glycoprotein inhibition</w:t>
            </w:r>
          </w:p>
        </w:tc>
        <w:tc>
          <w:tcPr/>
          <w:p>
            <w:pPr>
              <w:pStyle w:val="Compact"/>
            </w:pPr>
            <w:r>
              <w:t xml:space="preserve">classification</w:t>
            </w:r>
          </w:p>
        </w:tc>
        <w:tc>
          <w:tcPr/>
          <w:p>
            <w:pPr>
              <w:pStyle w:val="Compact"/>
            </w:pPr>
            <w:r>
              <w:t xml:space="preserve">1,212</w:t>
            </w:r>
          </w:p>
        </w:tc>
        <w:tc>
          <w:tcPr/>
          <w:p>
            <w:pPr>
              <w:pStyle w:val="Compact"/>
            </w:pPr>
            <w:r>
              <w:t xml:space="preserve">AUROC</w:t>
            </w:r>
          </w:p>
        </w:tc>
        <w:tc>
          <w:tcPr/>
          <w:p>
            <w:pPr>
              <w:pStyle w:val="Compact"/>
            </w:pPr>
            <w:r>
              <w:t xml:space="preserve">0.955 ± 0.018</w:t>
            </w:r>
          </w:p>
        </w:tc>
        <w:tc>
          <w:tcPr/>
          <w:p>
            <w:pPr>
              <w:pStyle w:val="Compact"/>
            </w:pPr>
            <w:r>
              <w:t xml:space="preserve">0.937 ± 0.024</w:t>
            </w:r>
          </w:p>
        </w:tc>
        <w:tc>
          <w:tcPr/>
          <w:p>
            <w:pPr>
              <w:pStyle w:val="Compact"/>
            </w:pPr>
            <w:r>
              <w:t xml:space="preserve">Efflux-mediated drug interactions</w:t>
            </w:r>
          </w:p>
        </w:tc>
      </w:tr>
      <w:tr>
        <w:tc>
          <w:tcPr/>
          <w:p>
            <w:pPr>
              <w:pStyle w:val="Compact"/>
            </w:pPr>
            <w:r>
              <w:t xml:space="preserve">solubility</w:t>
            </w:r>
          </w:p>
        </w:tc>
        <w:tc>
          <w:tcPr/>
          <w:p>
            <w:pPr>
              <w:pStyle w:val="Compact"/>
            </w:pPr>
            <w:r>
              <w:t xml:space="preserve">Aqueous solubility (logS)</w:t>
            </w:r>
          </w:p>
        </w:tc>
        <w:tc>
          <w:tcPr/>
          <w:p>
            <w:pPr>
              <w:pStyle w:val="Compact"/>
            </w:pPr>
            <w:r>
              <w:t xml:space="preserve">regression</w:t>
            </w:r>
          </w:p>
        </w:tc>
        <w:tc>
          <w:tcPr/>
          <w:p>
            <w:pPr>
              <w:pStyle w:val="Compact"/>
            </w:pPr>
            <w:r>
              <w:t xml:space="preserve">9,573</w:t>
            </w:r>
          </w:p>
        </w:tc>
        <w:tc>
          <w:tcPr/>
          <w:p>
            <w:pPr>
              <w:pStyle w:val="Compact"/>
            </w:pPr>
            <w:r>
              <w:t xml:space="preserve">R2</w:t>
            </w:r>
          </w:p>
        </w:tc>
        <w:tc>
          <w:tcPr/>
          <w:p>
            <w:pPr>
              <w:pStyle w:val="Compact"/>
            </w:pPr>
            <w:r>
              <w:t xml:space="preserve">0.804 ± 0.017</w:t>
            </w:r>
          </w:p>
        </w:tc>
        <w:tc>
          <w:tcPr/>
          <w:p>
            <w:pPr>
              <w:pStyle w:val="Compact"/>
            </w:pPr>
            <w:r>
              <w:t xml:space="preserve">0.763 ± 0.066</w:t>
            </w:r>
          </w:p>
        </w:tc>
        <w:tc>
          <w:tcPr/>
          <w:p>
            <w:pPr>
              <w:pStyle w:val="Compact"/>
            </w:pPr>
            <w:r>
              <w:t xml:space="preserve">Formulation and absorption</w:t>
            </w:r>
          </w:p>
        </w:tc>
      </w:tr>
      <w:tr>
        <w:tc>
          <w:tcPr/>
          <w:p>
            <w:pPr>
              <w:pStyle w:val="Compact"/>
            </w:pPr>
            <w:r>
              <w:t xml:space="preserve">lipophilicity</w:t>
            </w:r>
          </w:p>
        </w:tc>
        <w:tc>
          <w:tcPr/>
          <w:p>
            <w:pPr>
              <w:pStyle w:val="Compact"/>
            </w:pPr>
            <w:r>
              <w:t xml:space="preserve">Lipophilicity (logD)</w:t>
            </w:r>
          </w:p>
        </w:tc>
        <w:tc>
          <w:tcPr/>
          <w:p>
            <w:pPr>
              <w:pStyle w:val="Compact"/>
            </w:pPr>
            <w:r>
              <w:t xml:space="preserve">regression</w:t>
            </w:r>
          </w:p>
        </w:tc>
        <w:tc>
          <w:tcPr/>
          <w:p>
            <w:pPr>
              <w:pStyle w:val="Compact"/>
            </w:pPr>
            <w:r>
              <w:t xml:space="preserve">4,200</w:t>
            </w:r>
          </w:p>
        </w:tc>
        <w:tc>
          <w:tcPr/>
          <w:p>
            <w:pPr>
              <w:pStyle w:val="Compact"/>
            </w:pPr>
            <w:r>
              <w:t xml:space="preserve">R2</w:t>
            </w:r>
          </w:p>
        </w:tc>
        <w:tc>
          <w:tcPr/>
          <w:p>
            <w:pPr>
              <w:pStyle w:val="Compact"/>
            </w:pPr>
            <w:r>
              <w:t xml:space="preserve">0.639 ± 0.028</w:t>
            </w:r>
          </w:p>
        </w:tc>
        <w:tc>
          <w:tcPr/>
          <w:p>
            <w:pPr>
              <w:pStyle w:val="Compact"/>
            </w:pPr>
            <w:r>
              <w:t xml:space="preserve">0.564 ± 0.054</w:t>
            </w:r>
          </w:p>
        </w:tc>
        <w:tc>
          <w:tcPr/>
          <w:p>
            <w:pPr>
              <w:pStyle w:val="Compact"/>
            </w:pPr>
            <w:r>
              <w:t xml:space="preserve">Permeability/promiscuity balance</w:t>
            </w:r>
          </w:p>
        </w:tc>
      </w:tr>
      <w:tr>
        <w:tc>
          <w:tcPr/>
          <w:p>
            <w:pPr>
              <w:pStyle w:val="Compact"/>
            </w:pPr>
            <w:r>
              <w:t xml:space="preserve">plasma_protein_binding</w:t>
            </w:r>
          </w:p>
        </w:tc>
        <w:tc>
          <w:tcPr/>
          <w:p>
            <w:pPr>
              <w:pStyle w:val="Compact"/>
            </w:pPr>
            <w:r>
              <w:t xml:space="preserve">Plasma protein binding</w:t>
            </w:r>
          </w:p>
        </w:tc>
        <w:tc>
          <w:tcPr/>
          <w:p>
            <w:pPr>
              <w:pStyle w:val="Compact"/>
            </w:pPr>
            <w:r>
              <w:t xml:space="preserve">regression</w:t>
            </w:r>
          </w:p>
        </w:tc>
        <w:tc>
          <w:tcPr/>
          <w:p>
            <w:pPr>
              <w:pStyle w:val="Compact"/>
            </w:pPr>
            <w:r>
              <w:t xml:space="preserve">1,797</w:t>
            </w:r>
          </w:p>
        </w:tc>
        <w:tc>
          <w:tcPr/>
          <w:p>
            <w:pPr>
              <w:pStyle w:val="Compact"/>
            </w:pPr>
            <w:r>
              <w:t xml:space="preserve">R2</w:t>
            </w:r>
          </w:p>
        </w:tc>
        <w:tc>
          <w:tcPr/>
          <w:p>
            <w:pPr>
              <w:pStyle w:val="Compact"/>
            </w:pPr>
            <w:r>
              <w:t xml:space="preserve">0.434 ± 0.090</w:t>
            </w:r>
          </w:p>
        </w:tc>
        <w:tc>
          <w:tcPr/>
          <w:p>
            <w:pPr>
              <w:pStyle w:val="Compact"/>
            </w:pPr>
            <w:r>
              <w:t xml:space="preserve">0.374 ± 0.104</w:t>
            </w:r>
          </w:p>
        </w:tc>
        <w:tc>
          <w:tcPr/>
          <w:p>
            <w:pPr>
              <w:pStyle w:val="Compact"/>
            </w:pPr>
            <w:r>
              <w:t xml:space="preserve">Determines free fraction</w:t>
            </w:r>
          </w:p>
        </w:tc>
      </w:tr>
      <w:tr>
        <w:tc>
          <w:tcPr/>
          <w:p>
            <w:pPr>
              <w:pStyle w:val="Compact"/>
            </w:pPr>
            <w:r>
              <w:t xml:space="preserve">clearance_hepatocyte</w:t>
            </w:r>
          </w:p>
        </w:tc>
        <w:tc>
          <w:tcPr/>
          <w:p>
            <w:pPr>
              <w:pStyle w:val="Compact"/>
            </w:pPr>
            <w:r>
              <w:t xml:space="preserve">Hepatocyte clearance</w:t>
            </w:r>
          </w:p>
        </w:tc>
        <w:tc>
          <w:tcPr/>
          <w:p>
            <w:pPr>
              <w:pStyle w:val="Compact"/>
            </w:pPr>
            <w:r>
              <w:t xml:space="preserve">regression</w:t>
            </w:r>
          </w:p>
        </w:tc>
        <w:tc>
          <w:tcPr/>
          <w:p>
            <w:pPr>
              <w:pStyle w:val="Compact"/>
            </w:pPr>
            <w:r>
              <w:t xml:space="preserve">1,020</w:t>
            </w:r>
          </w:p>
        </w:tc>
        <w:tc>
          <w:tcPr/>
          <w:p>
            <w:pPr>
              <w:pStyle w:val="Compact"/>
            </w:pPr>
            <w:r>
              <w:t xml:space="preserve">R2</w:t>
            </w:r>
          </w:p>
        </w:tc>
        <w:tc>
          <w:tcPr/>
          <w:p>
            <w:pPr>
              <w:pStyle w:val="Compact"/>
            </w:pPr>
            <w:r>
              <w:t xml:space="preserve">0.230 ± 0.104</w:t>
            </w:r>
          </w:p>
        </w:tc>
        <w:tc>
          <w:tcPr/>
          <w:p>
            <w:pPr>
              <w:pStyle w:val="Compact"/>
            </w:pPr>
            <w:r>
              <w:t xml:space="preserve">0.193 ± 0.048</w:t>
            </w:r>
          </w:p>
        </w:tc>
        <w:tc>
          <w:tcPr/>
          <w:p>
            <w:pPr>
              <w:pStyle w:val="Compact"/>
            </w:pPr>
            <w:r>
              <w:t xml:space="preserve">Metabolic stability, exposure duration</w:t>
            </w:r>
          </w:p>
        </w:tc>
      </w:tr>
    </w:tbl>
    <w:bookmarkEnd w:id="27"/>
    <w:bookmarkStart w:id="28" w:name="X40a2433500f8b8d0b54496be0ec561da5029fa1"/>
    <w:p>
      <w:pPr>
        <w:pStyle w:val="Heading2"/>
      </w:pPr>
      <w:r>
        <w:t xml:space="preserve">Table 4. Between-fold error-bar decomposition</w:t>
      </w:r>
    </w:p>
    <w:p>
      <w:pPr>
        <w:pStyle w:val="FirstParagraph"/>
      </w:pPr>
      <w:r>
        <w:t xml:space="preserve">Observed between-fold SD separated into sampling noise (finite test set) and genuine fold-to-fold heterogeneity, by within-fold bootstrap.</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Random SD</w:t>
            </w:r>
          </w:p>
        </w:tc>
        <w:tc>
          <w:tcPr/>
          <w:p>
            <w:pPr>
              <w:pStyle w:val="Compact"/>
            </w:pPr>
            <w:r>
              <w:t xml:space="preserve">of which sampling</w:t>
            </w:r>
          </w:p>
        </w:tc>
        <w:tc>
          <w:tcPr/>
          <w:p>
            <w:pPr>
              <w:pStyle w:val="Compact"/>
            </w:pPr>
            <w:r>
              <w:t xml:space="preserve">heterogeneity share</w:t>
            </w:r>
          </w:p>
        </w:tc>
        <w:tc>
          <w:tcPr/>
          <w:p>
            <w:pPr>
              <w:pStyle w:val="Compact"/>
            </w:pPr>
            <w:r>
              <w:t xml:space="preserve">Scaffold SD</w:t>
            </w:r>
          </w:p>
        </w:tc>
        <w:tc>
          <w:tcPr/>
          <w:p>
            <w:pPr>
              <w:pStyle w:val="Compact"/>
            </w:pPr>
            <w:r>
              <w:t xml:space="preserve">of which sampling</w:t>
            </w:r>
          </w:p>
        </w:tc>
        <w:tc>
          <w:tcPr/>
          <w:p>
            <w:pPr>
              <w:pStyle w:val="Compact"/>
            </w:pPr>
            <w:r>
              <w:t xml:space="preserve">heterogeneity share</w:t>
            </w:r>
          </w:p>
        </w:tc>
      </w:tr>
      <w:tr>
        <w:tc>
          <w:tcPr/>
          <w:p>
            <w:pPr>
              <w:pStyle w:val="Compact"/>
            </w:pPr>
            <w:r>
              <w:t xml:space="preserve">BBB</w:t>
            </w:r>
          </w:p>
        </w:tc>
        <w:tc>
          <w:tcPr/>
          <w:p>
            <w:pPr>
              <w:pStyle w:val="Compact"/>
            </w:pPr>
            <w:r>
              <w:t xml:space="preserve">0.0075</w:t>
            </w:r>
          </w:p>
        </w:tc>
        <w:tc>
          <w:tcPr/>
          <w:p>
            <w:pPr>
              <w:pStyle w:val="Compact"/>
            </w:pPr>
            <w:r>
              <w:t xml:space="preserve">0.0062</w:t>
            </w:r>
          </w:p>
        </w:tc>
        <w:tc>
          <w:tcPr/>
          <w:p>
            <w:pPr>
              <w:pStyle w:val="Compact"/>
            </w:pPr>
            <w:r>
              <w:t xml:space="preserve">32%</w:t>
            </w:r>
          </w:p>
        </w:tc>
        <w:tc>
          <w:tcPr/>
          <w:p>
            <w:pPr>
              <w:pStyle w:val="Compact"/>
            </w:pPr>
            <w:r>
              <w:t xml:space="preserve">0.0367</w:t>
            </w:r>
          </w:p>
        </w:tc>
        <w:tc>
          <w:tcPr/>
          <w:p>
            <w:pPr>
              <w:pStyle w:val="Compact"/>
            </w:pPr>
            <w:r>
              <w:t xml:space="preserve">0.0102</w:t>
            </w:r>
          </w:p>
        </w:tc>
        <w:tc>
          <w:tcPr/>
          <w:p>
            <w:pPr>
              <w:pStyle w:val="Compact"/>
            </w:pPr>
            <w:r>
              <w:t xml:space="preserve">92%</w:t>
            </w:r>
          </w:p>
        </w:tc>
      </w:tr>
      <w:tr>
        <w:tc>
          <w:tcPr/>
          <w:p>
            <w:pPr>
              <w:pStyle w:val="Compact"/>
            </w:pPr>
            <w:r>
              <w:t xml:space="preserve">AChE</w:t>
            </w:r>
          </w:p>
        </w:tc>
        <w:tc>
          <w:tcPr/>
          <w:p>
            <w:pPr>
              <w:pStyle w:val="Compact"/>
            </w:pPr>
            <w:r>
              <w:t xml:space="preserve">0.0083</w:t>
            </w:r>
          </w:p>
        </w:tc>
        <w:tc>
          <w:tcPr/>
          <w:p>
            <w:pPr>
              <w:pStyle w:val="Compact"/>
            </w:pPr>
            <w:r>
              <w:t xml:space="preserve">0.0094</w:t>
            </w:r>
          </w:p>
        </w:tc>
        <w:tc>
          <w:tcPr/>
          <w:p>
            <w:pPr>
              <w:pStyle w:val="Compact"/>
            </w:pPr>
            <w:r>
              <w:t xml:space="preserve">0%</w:t>
            </w:r>
          </w:p>
        </w:tc>
        <w:tc>
          <w:tcPr/>
          <w:p>
            <w:pPr>
              <w:pStyle w:val="Compact"/>
            </w:pPr>
            <w:r>
              <w:t xml:space="preserve">0.0206</w:t>
            </w:r>
          </w:p>
        </w:tc>
        <w:tc>
          <w:tcPr/>
          <w:p>
            <w:pPr>
              <w:pStyle w:val="Compact"/>
            </w:pPr>
            <w:r>
              <w:t xml:space="preserve">0.0137</w:t>
            </w:r>
          </w:p>
        </w:tc>
        <w:tc>
          <w:tcPr/>
          <w:p>
            <w:pPr>
              <w:pStyle w:val="Compact"/>
            </w:pPr>
            <w:r>
              <w:t xml:space="preserve">56%</w:t>
            </w:r>
          </w:p>
        </w:tc>
      </w:tr>
      <w:tr>
        <w:tc>
          <w:tcPr/>
          <w:p>
            <w:pPr>
              <w:pStyle w:val="Compact"/>
            </w:pPr>
            <w:r>
              <w:t xml:space="preserve">BChE</w:t>
            </w:r>
          </w:p>
        </w:tc>
        <w:tc>
          <w:tcPr/>
          <w:p>
            <w:pPr>
              <w:pStyle w:val="Compact"/>
            </w:pPr>
            <w:r>
              <w:t xml:space="preserve">0.0118</w:t>
            </w:r>
          </w:p>
        </w:tc>
        <w:tc>
          <w:tcPr/>
          <w:p>
            <w:pPr>
              <w:pStyle w:val="Compact"/>
            </w:pPr>
            <w:r>
              <w:t xml:space="preserve">0.0096</w:t>
            </w:r>
          </w:p>
        </w:tc>
        <w:tc>
          <w:tcPr/>
          <w:p>
            <w:pPr>
              <w:pStyle w:val="Compact"/>
            </w:pPr>
            <w:r>
              <w:t xml:space="preserve">34%</w:t>
            </w:r>
          </w:p>
        </w:tc>
        <w:tc>
          <w:tcPr/>
          <w:p>
            <w:pPr>
              <w:pStyle w:val="Compact"/>
            </w:pPr>
            <w:r>
              <w:t xml:space="preserve">0.0212</w:t>
            </w:r>
          </w:p>
        </w:tc>
        <w:tc>
          <w:tcPr/>
          <w:p>
            <w:pPr>
              <w:pStyle w:val="Compact"/>
            </w:pPr>
            <w:r>
              <w:t xml:space="preserve">0.0145</w:t>
            </w:r>
          </w:p>
        </w:tc>
        <w:tc>
          <w:tcPr/>
          <w:p>
            <w:pPr>
              <w:pStyle w:val="Compact"/>
            </w:pPr>
            <w:r>
              <w:t xml:space="preserve">53%</w:t>
            </w:r>
          </w:p>
        </w:tc>
      </w:tr>
      <w:tr>
        <w:tc>
          <w:tcPr/>
          <w:p>
            <w:pPr>
              <w:pStyle w:val="Compact"/>
            </w:pPr>
            <w:r>
              <w:t xml:space="preserve">BACE1</w:t>
            </w:r>
          </w:p>
        </w:tc>
        <w:tc>
          <w:tcPr/>
          <w:p>
            <w:pPr>
              <w:pStyle w:val="Compact"/>
            </w:pPr>
            <w:r>
              <w:t xml:space="preserve">0.0099</w:t>
            </w:r>
          </w:p>
        </w:tc>
        <w:tc>
          <w:tcPr/>
          <w:p>
            <w:pPr>
              <w:pStyle w:val="Compact"/>
            </w:pPr>
            <w:r>
              <w:t xml:space="preserve">0.0106</w:t>
            </w:r>
          </w:p>
        </w:tc>
        <w:tc>
          <w:tcPr/>
          <w:p>
            <w:pPr>
              <w:pStyle w:val="Compact"/>
            </w:pPr>
            <w:r>
              <w:t xml:space="preserve">0%</w:t>
            </w:r>
          </w:p>
        </w:tc>
        <w:tc>
          <w:tcPr/>
          <w:p>
            <w:pPr>
              <w:pStyle w:val="Compact"/>
            </w:pPr>
            <w:r>
              <w:t xml:space="preserve">0.0209</w:t>
            </w:r>
          </w:p>
        </w:tc>
        <w:tc>
          <w:tcPr/>
          <w:p>
            <w:pPr>
              <w:pStyle w:val="Compact"/>
            </w:pPr>
            <w:r>
              <w:t xml:space="preserve">0.0118</w:t>
            </w:r>
          </w:p>
        </w:tc>
        <w:tc>
          <w:tcPr/>
          <w:p>
            <w:pPr>
              <w:pStyle w:val="Compact"/>
            </w:pPr>
            <w:r>
              <w:t xml:space="preserve">68%</w:t>
            </w:r>
          </w:p>
        </w:tc>
      </w:tr>
      <w:tr>
        <w:tc>
          <w:tcPr/>
          <w:p>
            <w:pPr>
              <w:pStyle w:val="Compact"/>
            </w:pPr>
            <w:r>
              <w:t xml:space="preserve">GSK3B</w:t>
            </w:r>
          </w:p>
        </w:tc>
        <w:tc>
          <w:tcPr/>
          <w:p>
            <w:pPr>
              <w:pStyle w:val="Compact"/>
            </w:pPr>
            <w:r>
              <w:t xml:space="preserve">0.0128</w:t>
            </w:r>
          </w:p>
        </w:tc>
        <w:tc>
          <w:tcPr/>
          <w:p>
            <w:pPr>
              <w:pStyle w:val="Compact"/>
            </w:pPr>
            <w:r>
              <w:t xml:space="preserve">0.0112</w:t>
            </w:r>
          </w:p>
        </w:tc>
        <w:tc>
          <w:tcPr/>
          <w:p>
            <w:pPr>
              <w:pStyle w:val="Compact"/>
            </w:pPr>
            <w:r>
              <w:t xml:space="preserve">23%</w:t>
            </w:r>
          </w:p>
        </w:tc>
        <w:tc>
          <w:tcPr/>
          <w:p>
            <w:pPr>
              <w:pStyle w:val="Compact"/>
            </w:pPr>
            <w:r>
              <w:t xml:space="preserve">0.0302</w:t>
            </w:r>
          </w:p>
        </w:tc>
        <w:tc>
          <w:tcPr/>
          <w:p>
            <w:pPr>
              <w:pStyle w:val="Compact"/>
            </w:pPr>
            <w:r>
              <w:t xml:space="preserve">0.0204</w:t>
            </w:r>
          </w:p>
        </w:tc>
        <w:tc>
          <w:tcPr/>
          <w:p>
            <w:pPr>
              <w:pStyle w:val="Compact"/>
            </w:pPr>
            <w:r>
              <w:t xml:space="preserve">54%</w:t>
            </w:r>
          </w:p>
        </w:tc>
      </w:tr>
      <w:tr>
        <w:tc>
          <w:tcPr/>
          <w:p>
            <w:pPr>
              <w:pStyle w:val="Compact"/>
            </w:pPr>
            <w:r>
              <w:t xml:space="preserve">MAO_A</w:t>
            </w:r>
          </w:p>
        </w:tc>
        <w:tc>
          <w:tcPr/>
          <w:p>
            <w:pPr>
              <w:pStyle w:val="Compact"/>
            </w:pPr>
            <w:r>
              <w:t xml:space="preserve">0.0169</w:t>
            </w:r>
          </w:p>
        </w:tc>
        <w:tc>
          <w:tcPr/>
          <w:p>
            <w:pPr>
              <w:pStyle w:val="Compact"/>
            </w:pPr>
            <w:r>
              <w:t xml:space="preserve">0.0147</w:t>
            </w:r>
          </w:p>
        </w:tc>
        <w:tc>
          <w:tcPr/>
          <w:p>
            <w:pPr>
              <w:pStyle w:val="Compact"/>
            </w:pPr>
            <w:r>
              <w:t xml:space="preserve">24%</w:t>
            </w:r>
          </w:p>
        </w:tc>
        <w:tc>
          <w:tcPr/>
          <w:p>
            <w:pPr>
              <w:pStyle w:val="Compact"/>
            </w:pPr>
            <w:r>
              <w:t xml:space="preserve">0.0464</w:t>
            </w:r>
          </w:p>
        </w:tc>
        <w:tc>
          <w:tcPr/>
          <w:p>
            <w:pPr>
              <w:pStyle w:val="Compact"/>
            </w:pPr>
            <w:r>
              <w:t xml:space="preserve">0.0251</w:t>
            </w:r>
          </w:p>
        </w:tc>
        <w:tc>
          <w:tcPr/>
          <w:p>
            <w:pPr>
              <w:pStyle w:val="Compact"/>
            </w:pPr>
            <w:r>
              <w:t xml:space="preserve">71%</w:t>
            </w:r>
          </w:p>
        </w:tc>
      </w:tr>
      <w:tr>
        <w:tc>
          <w:tcPr/>
          <w:p>
            <w:pPr>
              <w:pStyle w:val="Compact"/>
            </w:pPr>
            <w:r>
              <w:t xml:space="preserve">MAO_B</w:t>
            </w:r>
          </w:p>
        </w:tc>
        <w:tc>
          <w:tcPr/>
          <w:p>
            <w:pPr>
              <w:pStyle w:val="Compact"/>
            </w:pPr>
            <w:r>
              <w:t xml:space="preserve">0.0075</w:t>
            </w:r>
          </w:p>
        </w:tc>
        <w:tc>
          <w:tcPr/>
          <w:p>
            <w:pPr>
              <w:pStyle w:val="Compact"/>
            </w:pPr>
            <w:r>
              <w:t xml:space="preserve">0.0103</w:t>
            </w:r>
          </w:p>
        </w:tc>
        <w:tc>
          <w:tcPr/>
          <w:p>
            <w:pPr>
              <w:pStyle w:val="Compact"/>
            </w:pPr>
            <w:r>
              <w:t xml:space="preserve">0%</w:t>
            </w:r>
          </w:p>
        </w:tc>
        <w:tc>
          <w:tcPr/>
          <w:p>
            <w:pPr>
              <w:pStyle w:val="Compact"/>
            </w:pPr>
            <w:r>
              <w:t xml:space="preserve">0.0330</w:t>
            </w:r>
          </w:p>
        </w:tc>
        <w:tc>
          <w:tcPr/>
          <w:p>
            <w:pPr>
              <w:pStyle w:val="Compact"/>
            </w:pPr>
            <w:r>
              <w:t xml:space="preserve">0.0185</w:t>
            </w:r>
          </w:p>
        </w:tc>
        <w:tc>
          <w:tcPr/>
          <w:p>
            <w:pPr>
              <w:pStyle w:val="Compact"/>
            </w:pPr>
            <w:r>
              <w:t xml:space="preserve">69%</w:t>
            </w:r>
          </w:p>
        </w:tc>
      </w:tr>
      <w:tr>
        <w:tc>
          <w:tcPr/>
          <w:p>
            <w:pPr>
              <w:pStyle w:val="Compact"/>
            </w:pPr>
            <w:r>
              <w:t xml:space="preserve">hERG</w:t>
            </w:r>
          </w:p>
        </w:tc>
        <w:tc>
          <w:tcPr/>
          <w:p>
            <w:pPr>
              <w:pStyle w:val="Compact"/>
            </w:pPr>
            <w:r>
              <w:t xml:space="preserve">0.0066</w:t>
            </w:r>
          </w:p>
        </w:tc>
        <w:tc>
          <w:tcPr/>
          <w:p>
            <w:pPr>
              <w:pStyle w:val="Compact"/>
            </w:pPr>
            <w:r>
              <w:t xml:space="preserve">0.0082</w:t>
            </w:r>
          </w:p>
        </w:tc>
        <w:tc>
          <w:tcPr/>
          <w:p>
            <w:pPr>
              <w:pStyle w:val="Compact"/>
            </w:pPr>
            <w:r>
              <w:t xml:space="preserve">0%</w:t>
            </w:r>
          </w:p>
        </w:tc>
        <w:tc>
          <w:tcPr/>
          <w:p>
            <w:pPr>
              <w:pStyle w:val="Compact"/>
            </w:pPr>
            <w:r>
              <w:t xml:space="preserve">0.0351</w:t>
            </w:r>
          </w:p>
        </w:tc>
        <w:tc>
          <w:tcPr/>
          <w:p>
            <w:pPr>
              <w:pStyle w:val="Compact"/>
            </w:pPr>
            <w:r>
              <w:t xml:space="preserve">0.0109</w:t>
            </w:r>
          </w:p>
        </w:tc>
        <w:tc>
          <w:tcPr/>
          <w:p>
            <w:pPr>
              <w:pStyle w:val="Compact"/>
            </w:pPr>
            <w:r>
              <w:t xml:space="preserve">90%</w:t>
            </w:r>
          </w:p>
        </w:tc>
      </w:tr>
      <w:tr>
        <w:tc>
          <w:tcPr/>
          <w:p>
            <w:pPr>
              <w:pStyle w:val="Compact"/>
            </w:pPr>
            <w:r>
              <w:t xml:space="preserve">D2</w:t>
            </w:r>
          </w:p>
        </w:tc>
        <w:tc>
          <w:tcPr/>
          <w:p>
            <w:pPr>
              <w:pStyle w:val="Compact"/>
            </w:pPr>
            <w:r>
              <w:t xml:space="preserve">0.0177</w:t>
            </w:r>
          </w:p>
        </w:tc>
        <w:tc>
          <w:tcPr/>
          <w:p>
            <w:pPr>
              <w:pStyle w:val="Compact"/>
            </w:pPr>
            <w:r>
              <w:t xml:space="preserve">0.0255</w:t>
            </w:r>
          </w:p>
        </w:tc>
        <w:tc>
          <w:tcPr/>
          <w:p>
            <w:pPr>
              <w:pStyle w:val="Compact"/>
            </w:pPr>
            <w:r>
              <w:t xml:space="preserve">0%</w:t>
            </w:r>
          </w:p>
        </w:tc>
        <w:tc>
          <w:tcPr/>
          <w:p>
            <w:pPr>
              <w:pStyle w:val="Compact"/>
            </w:pPr>
            <w:r>
              <w:t xml:space="preserve">0.0515</w:t>
            </w:r>
          </w:p>
        </w:tc>
        <w:tc>
          <w:tcPr/>
          <w:p>
            <w:pPr>
              <w:pStyle w:val="Compact"/>
            </w:pPr>
            <w:r>
              <w:t xml:space="preserve">0.0299</w:t>
            </w:r>
          </w:p>
        </w:tc>
        <w:tc>
          <w:tcPr/>
          <w:p>
            <w:pPr>
              <w:pStyle w:val="Compact"/>
            </w:pPr>
            <w:r>
              <w:t xml:space="preserve">66%</w:t>
            </w:r>
          </w:p>
        </w:tc>
      </w:tr>
      <w:tr>
        <w:tc>
          <w:tcPr/>
          <w:p>
            <w:pPr>
              <w:pStyle w:val="Compact"/>
            </w:pPr>
            <w:r>
              <w:t xml:space="preserve">A2A</w:t>
            </w:r>
          </w:p>
        </w:tc>
        <w:tc>
          <w:tcPr/>
          <w:p>
            <w:pPr>
              <w:pStyle w:val="Compact"/>
            </w:pPr>
            <w:r>
              <w:t xml:space="preserve">0.0228</w:t>
            </w:r>
          </w:p>
        </w:tc>
        <w:tc>
          <w:tcPr/>
          <w:p>
            <w:pPr>
              <w:pStyle w:val="Compact"/>
            </w:pPr>
            <w:r>
              <w:t xml:space="preserve">0.0251</w:t>
            </w:r>
          </w:p>
        </w:tc>
        <w:tc>
          <w:tcPr/>
          <w:p>
            <w:pPr>
              <w:pStyle w:val="Compact"/>
            </w:pPr>
            <w:r>
              <w:t xml:space="preserve">0%</w:t>
            </w:r>
          </w:p>
        </w:tc>
        <w:tc>
          <w:tcPr/>
          <w:p>
            <w:pPr>
              <w:pStyle w:val="Compact"/>
            </w:pPr>
            <w:r>
              <w:t xml:space="preserve">0.0662</w:t>
            </w:r>
          </w:p>
        </w:tc>
        <w:tc>
          <w:tcPr/>
          <w:p>
            <w:pPr>
              <w:pStyle w:val="Compact"/>
            </w:pPr>
            <w:r>
              <w:t xml:space="preserve">0.0289</w:t>
            </w:r>
          </w:p>
        </w:tc>
        <w:tc>
          <w:tcPr/>
          <w:p>
            <w:pPr>
              <w:pStyle w:val="Compact"/>
            </w:pPr>
            <w:r>
              <w:t xml:space="preserve">81%</w:t>
            </w:r>
          </w:p>
        </w:tc>
      </w:tr>
      <w:tr>
        <w:tc>
          <w:tcPr/>
          <w:p>
            <w:pPr>
              <w:pStyle w:val="Compact"/>
            </w:pPr>
            <w:r>
              <w:t xml:space="preserve">HT2A</w:t>
            </w:r>
          </w:p>
        </w:tc>
        <w:tc>
          <w:tcPr/>
          <w:p>
            <w:pPr>
              <w:pStyle w:val="Compact"/>
            </w:pPr>
            <w:r>
              <w:t xml:space="preserve">0.0276</w:t>
            </w:r>
          </w:p>
        </w:tc>
        <w:tc>
          <w:tcPr/>
          <w:p>
            <w:pPr>
              <w:pStyle w:val="Compact"/>
            </w:pPr>
            <w:r>
              <w:t xml:space="preserve">0.0264</w:t>
            </w:r>
          </w:p>
        </w:tc>
        <w:tc>
          <w:tcPr/>
          <w:p>
            <w:pPr>
              <w:pStyle w:val="Compact"/>
            </w:pPr>
            <w:r>
              <w:t xml:space="preserve">8%</w:t>
            </w:r>
          </w:p>
        </w:tc>
        <w:tc>
          <w:tcPr/>
          <w:p>
            <w:pPr>
              <w:pStyle w:val="Compact"/>
            </w:pPr>
            <w:r>
              <w:t xml:space="preserve">0.0537</w:t>
            </w:r>
          </w:p>
        </w:tc>
        <w:tc>
          <w:tcPr/>
          <w:p>
            <w:pPr>
              <w:pStyle w:val="Compact"/>
            </w:pPr>
            <w:r>
              <w:t xml:space="preserve">0.0311</w:t>
            </w:r>
          </w:p>
        </w:tc>
        <w:tc>
          <w:tcPr/>
          <w:p>
            <w:pPr>
              <w:pStyle w:val="Compact"/>
            </w:pPr>
            <w:r>
              <w:t xml:space="preserve">67%</w:t>
            </w:r>
          </w:p>
        </w:tc>
      </w:tr>
      <w:tr>
        <w:tc>
          <w:tcPr/>
          <w:p>
            <w:pPr>
              <w:pStyle w:val="Compact"/>
            </w:pPr>
            <w:r>
              <w:t xml:space="preserve">SERT</w:t>
            </w:r>
          </w:p>
        </w:tc>
        <w:tc>
          <w:tcPr/>
          <w:p>
            <w:pPr>
              <w:pStyle w:val="Compact"/>
            </w:pPr>
            <w:r>
              <w:t xml:space="preserve">0.0379</w:t>
            </w:r>
          </w:p>
        </w:tc>
        <w:tc>
          <w:tcPr/>
          <w:p>
            <w:pPr>
              <w:pStyle w:val="Compact"/>
            </w:pPr>
            <w:r>
              <w:t xml:space="preserve">0.0329</w:t>
            </w:r>
          </w:p>
        </w:tc>
        <w:tc>
          <w:tcPr/>
          <w:p>
            <w:pPr>
              <w:pStyle w:val="Compact"/>
            </w:pPr>
            <w:r>
              <w:t xml:space="preserve">25%</w:t>
            </w:r>
          </w:p>
        </w:tc>
        <w:tc>
          <w:tcPr/>
          <w:p>
            <w:pPr>
              <w:pStyle w:val="Compact"/>
            </w:pPr>
            <w:r>
              <w:t xml:space="preserve">0.1239</w:t>
            </w:r>
          </w:p>
        </w:tc>
        <w:tc>
          <w:tcPr/>
          <w:p>
            <w:pPr>
              <w:pStyle w:val="Compact"/>
            </w:pPr>
            <w:r>
              <w:t xml:space="preserve">0.0404</w:t>
            </w:r>
          </w:p>
        </w:tc>
        <w:tc>
          <w:tcPr/>
          <w:p>
            <w:pPr>
              <w:pStyle w:val="Compact"/>
            </w:pPr>
            <w:r>
              <w:t xml:space="preserve">89%</w:t>
            </w:r>
          </w:p>
        </w:tc>
      </w:tr>
      <w:tr>
        <w:tc>
          <w:tcPr/>
          <w:p>
            <w:pPr>
              <w:pStyle w:val="Compact"/>
            </w:pPr>
            <w:r>
              <w:t xml:space="preserve">antioxidant_DPPH</w:t>
            </w:r>
          </w:p>
        </w:tc>
        <w:tc>
          <w:tcPr/>
          <w:p>
            <w:pPr>
              <w:pStyle w:val="Compact"/>
            </w:pPr>
            <w:r>
              <w:t xml:space="preserve">0.0648</w:t>
            </w:r>
          </w:p>
        </w:tc>
        <w:tc>
          <w:tcPr/>
          <w:p>
            <w:pPr>
              <w:pStyle w:val="Compact"/>
            </w:pPr>
            <w:r>
              <w:t xml:space="preserve">0.0457</w:t>
            </w:r>
          </w:p>
        </w:tc>
        <w:tc>
          <w:tcPr/>
          <w:p>
            <w:pPr>
              <w:pStyle w:val="Compact"/>
            </w:pPr>
            <w:r>
              <w:t xml:space="preserve">50%</w:t>
            </w:r>
          </w:p>
        </w:tc>
        <w:tc>
          <w:tcPr/>
          <w:p>
            <w:pPr>
              <w:pStyle w:val="Compact"/>
            </w:pPr>
            <w:r>
              <w:t xml:space="preserve">0.0995</w:t>
            </w:r>
          </w:p>
        </w:tc>
        <w:tc>
          <w:tcPr/>
          <w:p>
            <w:pPr>
              <w:pStyle w:val="Compact"/>
            </w:pPr>
            <w:r>
              <w:t xml:space="preserve">0.0592</w:t>
            </w:r>
          </w:p>
        </w:tc>
        <w:tc>
          <w:tcPr/>
          <w:p>
            <w:pPr>
              <w:pStyle w:val="Compact"/>
            </w:pPr>
            <w:r>
              <w:t xml:space="preserve">65%</w:t>
            </w:r>
          </w:p>
        </w:tc>
      </w:tr>
    </w:tbl>
    <w:bookmarkEnd w:id="28"/>
    <w:bookmarkStart w:id="29" w:name="X30490296a4b48eb47612dbd72379761c3aacc8b"/>
    <w:p>
      <w:pPr>
        <w:pStyle w:val="Heading2"/>
      </w:pPr>
      <w:r>
        <w:t xml:space="preserve">Table 5. Temporal (future-compound) validation</w:t>
      </w:r>
    </w:p>
    <w:p>
      <w:pPr>
        <w:pStyle w:val="FirstParagraph"/>
      </w:pPr>
      <w:r>
        <w:t xml:space="preserve">Models are trained only on compounds published before the cutoff year and tested on compounds published after it. This is the most demanding regime and the closest analogue of prospective use.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Target</w:t>
            </w:r>
          </w:p>
        </w:tc>
        <w:tc>
          <w:tcPr/>
          <w:p>
            <w:pPr>
              <w:pStyle w:val="Compact"/>
            </w:pPr>
            <w:r>
              <w:t xml:space="preserve">Cutoff year</w:t>
            </w:r>
          </w:p>
        </w:tc>
        <w:tc>
          <w:tcPr/>
          <w:p>
            <w:pPr>
              <w:pStyle w:val="Compact"/>
            </w:pPr>
            <w:r>
              <w:t xml:space="preserve">Train</w:t>
            </w:r>
          </w:p>
        </w:tc>
        <w:tc>
          <w:tcPr/>
          <w:p>
            <w:pPr>
              <w:pStyle w:val="Compact"/>
            </w:pPr>
            <w:r>
              <w:t xml:space="preserve">Test</w:t>
            </w:r>
          </w:p>
        </w:tc>
        <w:tc>
          <w:tcPr/>
          <w:p>
            <w:pPr>
              <w:pStyle w:val="Compact"/>
            </w:pPr>
            <w:r>
              <w:t xml:space="preserve">Metric</w:t>
            </w:r>
          </w:p>
        </w:tc>
        <w:tc>
          <w:tcPr/>
          <w:p>
            <w:pPr>
              <w:pStyle w:val="Compact"/>
            </w:pPr>
            <w:r>
              <w:t xml:space="preserve">Score</w:t>
            </w:r>
          </w:p>
        </w:tc>
      </w:tr>
      <w:tr>
        <w:tc>
          <w:tcPr/>
          <w:p>
            <w:pPr>
              <w:pStyle w:val="Compact"/>
            </w:pPr>
            <w:r>
              <w:t xml:space="preserve">AChE</w:t>
            </w:r>
          </w:p>
        </w:tc>
        <w:tc>
          <w:tcPr/>
          <w:p>
            <w:pPr>
              <w:pStyle w:val="Compact"/>
            </w:pPr>
            <w:r>
              <w:t xml:space="preserve">Acetylcholinesterase</w:t>
            </w:r>
          </w:p>
        </w:tc>
        <w:tc>
          <w:tcPr/>
          <w:p>
            <w:pPr>
              <w:pStyle w:val="Compact"/>
            </w:pPr>
            <w:r>
              <w:t xml:space="preserve">2020</w:t>
            </w:r>
          </w:p>
        </w:tc>
        <w:tc>
          <w:tcPr/>
          <w:p>
            <w:pPr>
              <w:pStyle w:val="Compact"/>
            </w:pPr>
            <w:r>
              <w:t xml:space="preserve">3,392</w:t>
            </w:r>
          </w:p>
        </w:tc>
        <w:tc>
          <w:tcPr/>
          <w:p>
            <w:pPr>
              <w:pStyle w:val="Compact"/>
            </w:pPr>
            <w:r>
              <w:t xml:space="preserve">839</w:t>
            </w:r>
          </w:p>
        </w:tc>
        <w:tc>
          <w:tcPr/>
          <w:p>
            <w:pPr>
              <w:pStyle w:val="Compact"/>
            </w:pPr>
            <w:r>
              <w:t xml:space="preserve">AUROC</w:t>
            </w:r>
          </w:p>
        </w:tc>
        <w:tc>
          <w:tcPr/>
          <w:p>
            <w:pPr>
              <w:pStyle w:val="Compact"/>
            </w:pPr>
            <w:r>
              <w:t xml:space="preserve">0.785</w:t>
            </w:r>
          </w:p>
        </w:tc>
      </w:tr>
      <w:tr>
        <w:tc>
          <w:tcPr/>
          <w:p>
            <w:pPr>
              <w:pStyle w:val="Compact"/>
            </w:pPr>
            <w:r>
              <w:t xml:space="preserve">BChE</w:t>
            </w:r>
          </w:p>
        </w:tc>
        <w:tc>
          <w:tcPr/>
          <w:p>
            <w:pPr>
              <w:pStyle w:val="Compact"/>
            </w:pPr>
            <w:r>
              <w:t xml:space="preserve">Butyrylcholinesterase</w:t>
            </w:r>
          </w:p>
        </w:tc>
        <w:tc>
          <w:tcPr/>
          <w:p>
            <w:pPr>
              <w:pStyle w:val="Compact"/>
            </w:pPr>
            <w:r>
              <w:t xml:space="preserve">2021</w:t>
            </w:r>
          </w:p>
        </w:tc>
        <w:tc>
          <w:tcPr/>
          <w:p>
            <w:pPr>
              <w:pStyle w:val="Compact"/>
            </w:pPr>
            <w:r>
              <w:t xml:space="preserve">2,015</w:t>
            </w:r>
          </w:p>
        </w:tc>
        <w:tc>
          <w:tcPr/>
          <w:p>
            <w:pPr>
              <w:pStyle w:val="Compact"/>
            </w:pPr>
            <w:r>
              <w:t xml:space="preserve">527</w:t>
            </w:r>
          </w:p>
        </w:tc>
        <w:tc>
          <w:tcPr/>
          <w:p>
            <w:pPr>
              <w:pStyle w:val="Compact"/>
            </w:pPr>
            <w:r>
              <w:t xml:space="preserve">AUROC</w:t>
            </w:r>
          </w:p>
        </w:tc>
        <w:tc>
          <w:tcPr/>
          <w:p>
            <w:pPr>
              <w:pStyle w:val="Compact"/>
            </w:pPr>
            <w:r>
              <w:t xml:space="preserve">0.737</w:t>
            </w:r>
          </w:p>
        </w:tc>
      </w:tr>
      <w:tr>
        <w:tc>
          <w:tcPr/>
          <w:p>
            <w:pPr>
              <w:pStyle w:val="Compact"/>
            </w:pPr>
            <w:r>
              <w:t xml:space="preserve">BACE1</w:t>
            </w:r>
          </w:p>
        </w:tc>
        <w:tc>
          <w:tcPr/>
          <w:p>
            <w:pPr>
              <w:pStyle w:val="Compact"/>
            </w:pPr>
            <w:r>
              <w:t xml:space="preserve">Beta-secretase 1</w:t>
            </w:r>
          </w:p>
        </w:tc>
        <w:tc>
          <w:tcPr/>
          <w:p>
            <w:pPr>
              <w:pStyle w:val="Compact"/>
            </w:pPr>
            <w:r>
              <w:t xml:space="preserve">2017</w:t>
            </w:r>
          </w:p>
        </w:tc>
        <w:tc>
          <w:tcPr/>
          <w:p>
            <w:pPr>
              <w:pStyle w:val="Compact"/>
            </w:pPr>
            <w:r>
              <w:t xml:space="preserve">6,497</w:t>
            </w:r>
          </w:p>
        </w:tc>
        <w:tc>
          <w:tcPr/>
          <w:p>
            <w:pPr>
              <w:pStyle w:val="Compact"/>
            </w:pPr>
            <w:r>
              <w:t xml:space="preserve">1,604</w:t>
            </w:r>
          </w:p>
        </w:tc>
        <w:tc>
          <w:tcPr/>
          <w:p>
            <w:pPr>
              <w:pStyle w:val="Compact"/>
            </w:pPr>
            <w:r>
              <w:t xml:space="preserve">AUROC</w:t>
            </w:r>
          </w:p>
        </w:tc>
        <w:tc>
          <w:tcPr/>
          <w:p>
            <w:pPr>
              <w:pStyle w:val="Compact"/>
            </w:pPr>
            <w:r>
              <w:t xml:space="preserve">0.908</w:t>
            </w:r>
          </w:p>
        </w:tc>
      </w:tr>
      <w:tr>
        <w:tc>
          <w:tcPr/>
          <w:p>
            <w:pPr>
              <w:pStyle w:val="Compact"/>
            </w:pPr>
            <w:r>
              <w:t xml:space="preserve">GSK3B</w:t>
            </w:r>
          </w:p>
        </w:tc>
        <w:tc>
          <w:tcPr/>
          <w:p>
            <w:pPr>
              <w:pStyle w:val="Compact"/>
            </w:pPr>
            <w:r>
              <w:t xml:space="preserve">Glycogen synthase kinase-3 beta</w:t>
            </w:r>
          </w:p>
        </w:tc>
        <w:tc>
          <w:tcPr/>
          <w:p>
            <w:pPr>
              <w:pStyle w:val="Compact"/>
            </w:pPr>
            <w:r>
              <w:t xml:space="preserve">2021</w:t>
            </w:r>
          </w:p>
        </w:tc>
        <w:tc>
          <w:tcPr/>
          <w:p>
            <w:pPr>
              <w:pStyle w:val="Compact"/>
            </w:pPr>
            <w:r>
              <w:t xml:space="preserve">3,270</w:t>
            </w:r>
          </w:p>
        </w:tc>
        <w:tc>
          <w:tcPr/>
          <w:p>
            <w:pPr>
              <w:pStyle w:val="Compact"/>
            </w:pPr>
            <w:r>
              <w:t xml:space="preserve">417</w:t>
            </w:r>
          </w:p>
        </w:tc>
        <w:tc>
          <w:tcPr/>
          <w:p>
            <w:pPr>
              <w:pStyle w:val="Compact"/>
            </w:pPr>
            <w:r>
              <w:t xml:space="preserve">AUROC</w:t>
            </w:r>
          </w:p>
        </w:tc>
        <w:tc>
          <w:tcPr/>
          <w:p>
            <w:pPr>
              <w:pStyle w:val="Compact"/>
            </w:pPr>
            <w:r>
              <w:t xml:space="preserve">0.657</w:t>
            </w:r>
          </w:p>
        </w:tc>
      </w:tr>
      <w:tr>
        <w:tc>
          <w:tcPr/>
          <w:p>
            <w:pPr>
              <w:pStyle w:val="Compact"/>
            </w:pPr>
            <w:r>
              <w:t xml:space="preserve">MAO_A</w:t>
            </w:r>
          </w:p>
        </w:tc>
        <w:tc>
          <w:tcPr/>
          <w:p>
            <w:pPr>
              <w:pStyle w:val="Compact"/>
            </w:pPr>
            <w:r>
              <w:t xml:space="preserve">Monoamine oxidase A</w:t>
            </w:r>
          </w:p>
        </w:tc>
        <w:tc>
          <w:tcPr/>
          <w:p>
            <w:pPr>
              <w:pStyle w:val="Compact"/>
            </w:pPr>
            <w:r>
              <w:t xml:space="preserve">2020</w:t>
            </w:r>
          </w:p>
        </w:tc>
        <w:tc>
          <w:tcPr/>
          <w:p>
            <w:pPr>
              <w:pStyle w:val="Compact"/>
            </w:pPr>
            <w:r>
              <w:t xml:space="preserve">1,667</w:t>
            </w:r>
          </w:p>
        </w:tc>
        <w:tc>
          <w:tcPr/>
          <w:p>
            <w:pPr>
              <w:pStyle w:val="Compact"/>
            </w:pPr>
            <w:r>
              <w:t xml:space="preserve">446</w:t>
            </w:r>
          </w:p>
        </w:tc>
        <w:tc>
          <w:tcPr/>
          <w:p>
            <w:pPr>
              <w:pStyle w:val="Compact"/>
            </w:pPr>
            <w:r>
              <w:t xml:space="preserve">AUROC</w:t>
            </w:r>
          </w:p>
        </w:tc>
        <w:tc>
          <w:tcPr/>
          <w:p>
            <w:pPr>
              <w:pStyle w:val="Compact"/>
            </w:pPr>
            <w:r>
              <w:t xml:space="preserve">0.611</w:t>
            </w:r>
          </w:p>
        </w:tc>
      </w:tr>
      <w:tr>
        <w:tc>
          <w:tcPr/>
          <w:p>
            <w:pPr>
              <w:pStyle w:val="Compact"/>
            </w:pPr>
            <w:r>
              <w:t xml:space="preserve">MAO_B</w:t>
            </w:r>
          </w:p>
        </w:tc>
        <w:tc>
          <w:tcPr/>
          <w:p>
            <w:pPr>
              <w:pStyle w:val="Compact"/>
            </w:pPr>
            <w:r>
              <w:t xml:space="preserve">Monoamine oxidase B</w:t>
            </w:r>
          </w:p>
        </w:tc>
        <w:tc>
          <w:tcPr/>
          <w:p>
            <w:pPr>
              <w:pStyle w:val="Compact"/>
            </w:pPr>
            <w:r>
              <w:t xml:space="preserve">2020</w:t>
            </w:r>
          </w:p>
        </w:tc>
        <w:tc>
          <w:tcPr/>
          <w:p>
            <w:pPr>
              <w:pStyle w:val="Compact"/>
            </w:pPr>
            <w:r>
              <w:t xml:space="preserve">2,697</w:t>
            </w:r>
          </w:p>
        </w:tc>
        <w:tc>
          <w:tcPr/>
          <w:p>
            <w:pPr>
              <w:pStyle w:val="Compact"/>
            </w:pPr>
            <w:r>
              <w:t xml:space="preserve">755</w:t>
            </w:r>
          </w:p>
        </w:tc>
        <w:tc>
          <w:tcPr/>
          <w:p>
            <w:pPr>
              <w:pStyle w:val="Compact"/>
            </w:pPr>
            <w:r>
              <w:t xml:space="preserve">AUROC</w:t>
            </w:r>
          </w:p>
        </w:tc>
        <w:tc>
          <w:tcPr/>
          <w:p>
            <w:pPr>
              <w:pStyle w:val="Compact"/>
            </w:pPr>
            <w:r>
              <w:t xml:space="preserve">0.781</w:t>
            </w:r>
          </w:p>
        </w:tc>
      </w:tr>
      <w:tr>
        <w:tc>
          <w:tcPr/>
          <w:p>
            <w:pPr>
              <w:pStyle w:val="Compact"/>
            </w:pPr>
            <w:r>
              <w:t xml:space="preserve">hERG</w:t>
            </w:r>
          </w:p>
        </w:tc>
        <w:tc>
          <w:tcPr/>
          <w:p>
            <w:pPr>
              <w:pStyle w:val="Compact"/>
            </w:pPr>
            <w:r>
              <w:t xml:space="preserve">hERG potassium channel</w:t>
            </w:r>
          </w:p>
        </w:tc>
        <w:tc>
          <w:tcPr/>
          <w:p>
            <w:pPr>
              <w:pStyle w:val="Compact"/>
            </w:pPr>
            <w:r>
              <w:t xml:space="preserve">2019</w:t>
            </w:r>
          </w:p>
        </w:tc>
        <w:tc>
          <w:tcPr/>
          <w:p>
            <w:pPr>
              <w:pStyle w:val="Compact"/>
            </w:pPr>
            <w:r>
              <w:t xml:space="preserve">4,570</w:t>
            </w:r>
          </w:p>
        </w:tc>
        <w:tc>
          <w:tcPr/>
          <w:p>
            <w:pPr>
              <w:pStyle w:val="Compact"/>
            </w:pPr>
            <w:r>
              <w:t xml:space="preserve">1,248</w:t>
            </w:r>
          </w:p>
        </w:tc>
        <w:tc>
          <w:tcPr/>
          <w:p>
            <w:pPr>
              <w:pStyle w:val="Compact"/>
            </w:pPr>
            <w:r>
              <w:t xml:space="preserve">AUROC</w:t>
            </w:r>
          </w:p>
        </w:tc>
        <w:tc>
          <w:tcPr/>
          <w:p>
            <w:pPr>
              <w:pStyle w:val="Compact"/>
            </w:pPr>
            <w:r>
              <w:t xml:space="preserve">0.785</w:t>
            </w:r>
          </w:p>
        </w:tc>
      </w:tr>
      <w:tr>
        <w:tc>
          <w:tcPr/>
          <w:p>
            <w:pPr>
              <w:pStyle w:val="Compact"/>
            </w:pPr>
            <w:r>
              <w:t xml:space="preserve">D2</w:t>
            </w:r>
          </w:p>
        </w:tc>
        <w:tc>
          <w:tcPr/>
          <w:p>
            <w:pPr>
              <w:pStyle w:val="Compact"/>
            </w:pPr>
            <w:r>
              <w:t xml:space="preserve">Dopamine D2 receptor</w:t>
            </w:r>
          </w:p>
        </w:tc>
        <w:tc>
          <w:tcPr/>
          <w:p>
            <w:pPr>
              <w:pStyle w:val="Compact"/>
            </w:pPr>
            <w:r>
              <w:t xml:space="preserve">2019</w:t>
            </w:r>
          </w:p>
        </w:tc>
        <w:tc>
          <w:tcPr/>
          <w:p>
            <w:pPr>
              <w:pStyle w:val="Compact"/>
            </w:pPr>
            <w:r>
              <w:t xml:space="preserve">6,081</w:t>
            </w:r>
          </w:p>
        </w:tc>
        <w:tc>
          <w:tcPr/>
          <w:p>
            <w:pPr>
              <w:pStyle w:val="Compact"/>
            </w:pPr>
            <w:r>
              <w:t xml:space="preserve">1,396</w:t>
            </w:r>
          </w:p>
        </w:tc>
        <w:tc>
          <w:tcPr/>
          <w:p>
            <w:pPr>
              <w:pStyle w:val="Compact"/>
            </w:pPr>
            <w:r>
              <w:t xml:space="preserve">R2</w:t>
            </w:r>
          </w:p>
        </w:tc>
        <w:tc>
          <w:tcPr/>
          <w:p>
            <w:pPr>
              <w:pStyle w:val="Compact"/>
            </w:pPr>
            <w:r>
              <w:t xml:space="preserve">0.042</w:t>
            </w:r>
          </w:p>
        </w:tc>
      </w:tr>
      <w:tr>
        <w:tc>
          <w:tcPr/>
          <w:p>
            <w:pPr>
              <w:pStyle w:val="Compact"/>
            </w:pPr>
            <w:r>
              <w:t xml:space="preserve">A2A</w:t>
            </w:r>
          </w:p>
        </w:tc>
        <w:tc>
          <w:tcPr/>
          <w:p>
            <w:pPr>
              <w:pStyle w:val="Compact"/>
            </w:pPr>
            <w:r>
              <w:t xml:space="preserve">Adenosine A2A receptor</w:t>
            </w:r>
          </w:p>
        </w:tc>
        <w:tc>
          <w:tcPr/>
          <w:p>
            <w:pPr>
              <w:pStyle w:val="Compact"/>
            </w:pPr>
            <w:r>
              <w:t xml:space="preserve">2021</w:t>
            </w:r>
          </w:p>
        </w:tc>
        <w:tc>
          <w:tcPr/>
          <w:p>
            <w:pPr>
              <w:pStyle w:val="Compact"/>
            </w:pPr>
            <w:r>
              <w:t xml:space="preserve">4,479</w:t>
            </w:r>
          </w:p>
        </w:tc>
        <w:tc>
          <w:tcPr/>
          <w:p>
            <w:pPr>
              <w:pStyle w:val="Compact"/>
            </w:pPr>
            <w:r>
              <w:t xml:space="preserve">1,057</w:t>
            </w:r>
          </w:p>
        </w:tc>
        <w:tc>
          <w:tcPr/>
          <w:p>
            <w:pPr>
              <w:pStyle w:val="Compact"/>
            </w:pPr>
            <w:r>
              <w:t xml:space="preserve">R2</w:t>
            </w:r>
          </w:p>
        </w:tc>
        <w:tc>
          <w:tcPr/>
          <w:p>
            <w:pPr>
              <w:pStyle w:val="Compact"/>
            </w:pPr>
            <w:r>
              <w:t xml:space="preserve">0.338</w:t>
            </w:r>
          </w:p>
        </w:tc>
      </w:tr>
      <w:tr>
        <w:tc>
          <w:tcPr/>
          <w:p>
            <w:pPr>
              <w:pStyle w:val="Compact"/>
            </w:pPr>
            <w:r>
              <w:t xml:space="preserve">HT2A</w:t>
            </w:r>
          </w:p>
        </w:tc>
        <w:tc>
          <w:tcPr/>
          <w:p>
            <w:pPr>
              <w:pStyle w:val="Compact"/>
            </w:pPr>
            <w:r>
              <w:t xml:space="preserve">Serotonin 5-HT2A receptor</w:t>
            </w:r>
          </w:p>
        </w:tc>
        <w:tc>
          <w:tcPr/>
          <w:p>
            <w:pPr>
              <w:pStyle w:val="Compact"/>
            </w:pPr>
            <w:r>
              <w:t xml:space="preserve">2020</w:t>
            </w:r>
          </w:p>
        </w:tc>
        <w:tc>
          <w:tcPr/>
          <w:p>
            <w:pPr>
              <w:pStyle w:val="Compact"/>
            </w:pPr>
            <w:r>
              <w:t xml:space="preserve">4,276</w:t>
            </w:r>
          </w:p>
        </w:tc>
        <w:tc>
          <w:tcPr/>
          <w:p>
            <w:pPr>
              <w:pStyle w:val="Compact"/>
            </w:pPr>
            <w:r>
              <w:t xml:space="preserve">895</w:t>
            </w:r>
          </w:p>
        </w:tc>
        <w:tc>
          <w:tcPr/>
          <w:p>
            <w:pPr>
              <w:pStyle w:val="Compact"/>
            </w:pPr>
            <w:r>
              <w:t xml:space="preserve">R2</w:t>
            </w:r>
          </w:p>
        </w:tc>
        <w:tc>
          <w:tcPr/>
          <w:p>
            <w:pPr>
              <w:pStyle w:val="Compact"/>
            </w:pPr>
            <w:r>
              <w:t xml:space="preserve">0.182</w:t>
            </w:r>
          </w:p>
        </w:tc>
      </w:tr>
      <w:tr>
        <w:tc>
          <w:tcPr/>
          <w:p>
            <w:pPr>
              <w:pStyle w:val="Compact"/>
            </w:pPr>
            <w:r>
              <w:t xml:space="preserve">SERT</w:t>
            </w:r>
          </w:p>
        </w:tc>
        <w:tc>
          <w:tcPr/>
          <w:p>
            <w:pPr>
              <w:pStyle w:val="Compact"/>
            </w:pPr>
            <w:r>
              <w:t xml:space="preserve">Serotonin transporter</w:t>
            </w:r>
          </w:p>
        </w:tc>
        <w:tc>
          <w:tcPr/>
          <w:p>
            <w:pPr>
              <w:pStyle w:val="Compact"/>
            </w:pPr>
            <w:r>
              <w:t xml:space="preserve">2015</w:t>
            </w:r>
          </w:p>
        </w:tc>
        <w:tc>
          <w:tcPr/>
          <w:p>
            <w:pPr>
              <w:pStyle w:val="Compact"/>
            </w:pPr>
            <w:r>
              <w:t xml:space="preserve">3,380</w:t>
            </w:r>
          </w:p>
        </w:tc>
        <w:tc>
          <w:tcPr/>
          <w:p>
            <w:pPr>
              <w:pStyle w:val="Compact"/>
            </w:pPr>
            <w:r>
              <w:t xml:space="preserve">999</w:t>
            </w:r>
          </w:p>
        </w:tc>
        <w:tc>
          <w:tcPr/>
          <w:p>
            <w:pPr>
              <w:pStyle w:val="Compact"/>
            </w:pPr>
            <w:r>
              <w:t xml:space="preserve">R2</w:t>
            </w:r>
          </w:p>
        </w:tc>
        <w:tc>
          <w:tcPr/>
          <w:p>
            <w:pPr>
              <w:pStyle w:val="Compact"/>
            </w:pPr>
            <w:r>
              <w:t xml:space="preserve">0.100</w:t>
            </w:r>
          </w:p>
        </w:tc>
      </w:tr>
      <w:tr>
        <w:tc>
          <w:tcPr/>
          <w:p>
            <w:pPr>
              <w:pStyle w:val="Compact"/>
            </w:pPr>
            <w:r>
              <w:t xml:space="preserve">antioxidant_DPPH</w:t>
            </w:r>
          </w:p>
        </w:tc>
        <w:tc>
          <w:tcPr/>
          <w:p>
            <w:pPr>
              <w:pStyle w:val="Compact"/>
            </w:pPr>
            <w:r>
              <w:t xml:space="preserve">Radical-scavenging capacity</w:t>
            </w:r>
          </w:p>
        </w:tc>
        <w:tc>
          <w:tcPr/>
          <w:p>
            <w:pPr>
              <w:pStyle w:val="Compact"/>
            </w:pPr>
            <w:r>
              <w:t xml:space="preserve">2016</w:t>
            </w:r>
          </w:p>
        </w:tc>
        <w:tc>
          <w:tcPr/>
          <w:p>
            <w:pPr>
              <w:pStyle w:val="Compact"/>
            </w:pPr>
            <w:r>
              <w:t xml:space="preserve">2,340</w:t>
            </w:r>
          </w:p>
        </w:tc>
        <w:tc>
          <w:tcPr/>
          <w:p>
            <w:pPr>
              <w:pStyle w:val="Compact"/>
            </w:pPr>
            <w:r>
              <w:t xml:space="preserve">522</w:t>
            </w:r>
          </w:p>
        </w:tc>
        <w:tc>
          <w:tcPr/>
          <w:p>
            <w:pPr>
              <w:pStyle w:val="Compact"/>
            </w:pPr>
            <w:r>
              <w:t xml:space="preserve">R2</w:t>
            </w:r>
          </w:p>
        </w:tc>
        <w:tc>
          <w:tcPr/>
          <w:p>
            <w:pPr>
              <w:pStyle w:val="Compact"/>
            </w:pPr>
            <w:r>
              <w:t xml:space="preserve">0.009</w:t>
            </w:r>
          </w:p>
        </w:tc>
      </w:tr>
    </w:tbl>
    <w:p>
      <w:pPr>
        <w:pStyle w:val="BodyText"/>
      </w:pPr>
      <w:r>
        <w:t xml:space="preserve">Classifier endpoints: mean AUROC 0.752 (range 0.611 to 0.908). Regression endpoints: mean R2 0.134 (range 0.009 to 0.338).</w:t>
      </w:r>
    </w:p>
    <w:bookmarkEnd w:id="29"/>
    <w:bookmarkStart w:id="30" w:name="Xf8956f7d140dc7619906588b230b7a7b068d2e6"/>
    <w:p>
      <w:pPr>
        <w:pStyle w:val="Heading2"/>
      </w:pPr>
      <w:r>
        <w:t xml:space="preserve">Table 6. Prospective validation under a scaffold hold-out</w:t>
      </w:r>
    </w:p>
    <w:p>
      <w:pPr>
        <w:pStyle w:val="FirstParagraph"/>
      </w:pPr>
      <w:r>
        <w:t xml:space="preserve">Twenty per cent of Bemis-Murcko scaffolds were withheld per target and every model retrained on the remainder, so no held-out compound shares a scaffold with anything its model saw. Thresholds were recalibrated on held-out negatives and an independent background sample. Targets marked excluded produced a threshold at the permitted floor, meaning no separation from background chemistry, and do not contribute to the pooled estimate.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pPr>
            <w:r>
              <w:t xml:space="preserve">Train actives</w:t>
            </w:r>
          </w:p>
        </w:tc>
        <w:tc>
          <w:tcPr/>
          <w:p>
            <w:pPr>
              <w:pStyle w:val="Compact"/>
            </w:pPr>
            <w:r>
              <w:t xml:space="preserve">Held-out actives</w:t>
            </w:r>
          </w:p>
        </w:tc>
        <w:tc>
          <w:tcPr/>
          <w:p>
            <w:pPr>
              <w:pStyle w:val="Compact"/>
            </w:pPr>
            <w:r>
              <w:t xml:space="preserve">Held-out scaffolds</w:t>
            </w:r>
          </w:p>
        </w:tc>
        <w:tc>
          <w:tcPr/>
          <w:p>
            <w:pPr>
              <w:pStyle w:val="Compact"/>
            </w:pPr>
            <w:r>
              <w:t xml:space="preserve">Threshold</w:t>
            </w:r>
          </w:p>
        </w:tc>
        <w:tc>
          <w:tcPr/>
          <w:p>
            <w:pPr>
              <w:pStyle w:val="Compact"/>
            </w:pPr>
            <w:r>
              <w:t xml:space="preserve">Recall</w:t>
            </w:r>
          </w:p>
        </w:tc>
        <w:tc>
          <w:tcPr/>
          <w:p>
            <w:pPr>
              <w:pStyle w:val="Compact"/>
            </w:pPr>
            <w:r>
              <w:t xml:space="preserve">95% CI</w:t>
            </w:r>
          </w:p>
        </w:tc>
        <w:tc>
          <w:tcPr/>
          <w:p>
            <w:pPr>
              <w:pStyle w:val="Compact"/>
            </w:pPr>
            <w:r>
              <w:t xml:space="preserve">Note</w:t>
            </w:r>
          </w:p>
        </w:tc>
      </w:tr>
      <w:tr>
        <w:tc>
          <w:tcPr/>
          <w:p>
            <w:pPr>
              <w:pStyle w:val="Compact"/>
            </w:pPr>
            <w:r>
              <w:t xml:space="preserve">OX2</w:t>
            </w:r>
          </w:p>
        </w:tc>
        <w:tc>
          <w:tcPr/>
          <w:p>
            <w:pPr>
              <w:pStyle w:val="Compact"/>
            </w:pPr>
            <w:r>
              <w:t xml:space="preserve">2,890</w:t>
            </w:r>
          </w:p>
        </w:tc>
        <w:tc>
          <w:tcPr/>
          <w:p>
            <w:pPr>
              <w:pStyle w:val="Compact"/>
            </w:pPr>
            <w:r>
              <w:t xml:space="preserve">962</w:t>
            </w:r>
          </w:p>
        </w:tc>
        <w:tc>
          <w:tcPr/>
          <w:p>
            <w:pPr>
              <w:pStyle w:val="Compact"/>
            </w:pPr>
            <w:r>
              <w:t xml:space="preserve">233</w:t>
            </w:r>
          </w:p>
        </w:tc>
        <w:tc>
          <w:tcPr/>
          <w:p>
            <w:pPr>
              <w:pStyle w:val="Compact"/>
            </w:pPr>
            <w:r>
              <w:t xml:space="preserve">0.050</w:t>
            </w:r>
          </w:p>
        </w:tc>
        <w:tc>
          <w:tcPr/>
          <w:p>
            <w:pPr>
              <w:pStyle w:val="Compact"/>
            </w:pPr>
            <w:r>
              <w:t xml:space="preserve">0.992</w:t>
            </w:r>
          </w:p>
        </w:tc>
        <w:tc>
          <w:tcPr/>
          <w:p>
            <w:pPr>
              <w:pStyle w:val="Compact"/>
            </w:pPr>
            <w:r>
              <w:t xml:space="preserve">[0.984, 0.996]</w:t>
            </w:r>
          </w:p>
        </w:tc>
        <w:tc>
          <w:tcPr/>
          <w:p>
            <w:pPr>
              <w:pStyle w:val="Compact"/>
            </w:pPr>
            <w:r>
              <w:t xml:space="preserve">excluded</w:t>
            </w:r>
          </w:p>
        </w:tc>
      </w:tr>
      <w:tr>
        <w:tc>
          <w:tcPr/>
          <w:p>
            <w:pPr>
              <w:pStyle w:val="Compact"/>
            </w:pPr>
            <w:r>
              <w:t xml:space="preserve">LRRK2</w:t>
            </w:r>
          </w:p>
        </w:tc>
        <w:tc>
          <w:tcPr/>
          <w:p>
            <w:pPr>
              <w:pStyle w:val="Compact"/>
            </w:pPr>
            <w:r>
              <w:t xml:space="preserve">906</w:t>
            </w:r>
          </w:p>
        </w:tc>
        <w:tc>
          <w:tcPr/>
          <w:p>
            <w:pPr>
              <w:pStyle w:val="Compact"/>
            </w:pPr>
            <w:r>
              <w:t xml:space="preserve">267</w:t>
            </w:r>
          </w:p>
        </w:tc>
        <w:tc>
          <w:tcPr/>
          <w:p>
            <w:pPr>
              <w:pStyle w:val="Compact"/>
            </w:pPr>
            <w:r>
              <w:t xml:space="preserve">90</w:t>
            </w:r>
          </w:p>
        </w:tc>
        <w:tc>
          <w:tcPr/>
          <w:p>
            <w:pPr>
              <w:pStyle w:val="Compact"/>
            </w:pPr>
            <w:r>
              <w:t xml:space="preserve">0.050</w:t>
            </w:r>
          </w:p>
        </w:tc>
        <w:tc>
          <w:tcPr/>
          <w:p>
            <w:pPr>
              <w:pStyle w:val="Compact"/>
            </w:pPr>
            <w:r>
              <w:t xml:space="preserve">0.985</w:t>
            </w:r>
          </w:p>
        </w:tc>
        <w:tc>
          <w:tcPr/>
          <w:p>
            <w:pPr>
              <w:pStyle w:val="Compact"/>
            </w:pPr>
            <w:r>
              <w:t xml:space="preserve">[0.962, 0.994]</w:t>
            </w:r>
          </w:p>
        </w:tc>
        <w:tc>
          <w:tcPr/>
          <w:p>
            <w:pPr>
              <w:pStyle w:val="Compact"/>
            </w:pPr>
            <w:r>
              <w:t xml:space="preserve">excluded</w:t>
            </w:r>
          </w:p>
        </w:tc>
      </w:tr>
      <w:tr>
        <w:tc>
          <w:tcPr/>
          <w:p>
            <w:pPr>
              <w:pStyle w:val="Compact"/>
            </w:pPr>
            <w:r>
              <w:t xml:space="preserve">mTOR</w:t>
            </w:r>
          </w:p>
        </w:tc>
        <w:tc>
          <w:tcPr/>
          <w:p>
            <w:pPr>
              <w:pStyle w:val="Compact"/>
            </w:pPr>
            <w:r>
              <w:t xml:space="preserve">2,421</w:t>
            </w:r>
          </w:p>
        </w:tc>
        <w:tc>
          <w:tcPr/>
          <w:p>
            <w:pPr>
              <w:pStyle w:val="Compact"/>
            </w:pPr>
            <w:r>
              <w:t xml:space="preserve">563</w:t>
            </w:r>
          </w:p>
        </w:tc>
        <w:tc>
          <w:tcPr/>
          <w:p>
            <w:pPr>
              <w:pStyle w:val="Compact"/>
            </w:pPr>
            <w:r>
              <w:t xml:space="preserve">216</w:t>
            </w:r>
          </w:p>
        </w:tc>
        <w:tc>
          <w:tcPr/>
          <w:p>
            <w:pPr>
              <w:pStyle w:val="Compact"/>
            </w:pPr>
            <w:r>
              <w:t xml:space="preserve">0.377</w:t>
            </w:r>
          </w:p>
        </w:tc>
        <w:tc>
          <w:tcPr/>
          <w:p>
            <w:pPr>
              <w:pStyle w:val="Compact"/>
            </w:pPr>
            <w:r>
              <w:t xml:space="preserve">0.977</w:t>
            </w:r>
          </w:p>
        </w:tc>
        <w:tc>
          <w:tcPr/>
          <w:p>
            <w:pPr>
              <w:pStyle w:val="Compact"/>
            </w:pPr>
            <w:r>
              <w:t xml:space="preserve">[0.961, 0.986]</w:t>
            </w:r>
          </w:p>
        </w:tc>
        <w:tc>
          <w:tcPr/>
          <w:p>
            <w:pPr>
              <w:pStyle w:val="Compact"/>
            </w:pPr>
          </w:p>
        </w:tc>
      </w:tr>
      <w:tr>
        <w:tc>
          <w:tcPr/>
          <w:p>
            <w:pPr>
              <w:pStyle w:val="Compact"/>
            </w:pPr>
            <w:r>
              <w:t xml:space="preserve">H3</w:t>
            </w:r>
          </w:p>
        </w:tc>
        <w:tc>
          <w:tcPr/>
          <w:p>
            <w:pPr>
              <w:pStyle w:val="Compact"/>
            </w:pPr>
            <w:r>
              <w:t xml:space="preserve">2,615</w:t>
            </w:r>
          </w:p>
        </w:tc>
        <w:tc>
          <w:tcPr/>
          <w:p>
            <w:pPr>
              <w:pStyle w:val="Compact"/>
            </w:pPr>
            <w:r>
              <w:t xml:space="preserve">597</w:t>
            </w:r>
          </w:p>
        </w:tc>
        <w:tc>
          <w:tcPr/>
          <w:p>
            <w:pPr>
              <w:pStyle w:val="Compact"/>
            </w:pPr>
            <w:r>
              <w:t xml:space="preserve">308</w:t>
            </w:r>
          </w:p>
        </w:tc>
        <w:tc>
          <w:tcPr/>
          <w:p>
            <w:pPr>
              <w:pStyle w:val="Compact"/>
            </w:pPr>
            <w:r>
              <w:t xml:space="preserve">0.758</w:t>
            </w:r>
          </w:p>
        </w:tc>
        <w:tc>
          <w:tcPr/>
          <w:p>
            <w:pPr>
              <w:pStyle w:val="Compact"/>
            </w:pPr>
            <w:r>
              <w:t xml:space="preserve">0.926</w:t>
            </w:r>
          </w:p>
        </w:tc>
        <w:tc>
          <w:tcPr/>
          <w:p>
            <w:pPr>
              <w:pStyle w:val="Compact"/>
            </w:pPr>
            <w:r>
              <w:t xml:space="preserve">[0.903, 0.945]</w:t>
            </w:r>
          </w:p>
        </w:tc>
        <w:tc>
          <w:tcPr/>
          <w:p>
            <w:pPr>
              <w:pStyle w:val="Compact"/>
            </w:pPr>
          </w:p>
        </w:tc>
      </w:tr>
      <w:tr>
        <w:tc>
          <w:tcPr/>
          <w:p>
            <w:pPr>
              <w:pStyle w:val="Compact"/>
            </w:pPr>
            <w:r>
              <w:t xml:space="preserve">PDE4B</w:t>
            </w:r>
          </w:p>
        </w:tc>
        <w:tc>
          <w:tcPr/>
          <w:p>
            <w:pPr>
              <w:pStyle w:val="Compact"/>
            </w:pPr>
            <w:r>
              <w:t xml:space="preserve">919</w:t>
            </w:r>
          </w:p>
        </w:tc>
        <w:tc>
          <w:tcPr/>
          <w:p>
            <w:pPr>
              <w:pStyle w:val="Compact"/>
            </w:pPr>
            <w:r>
              <w:t xml:space="preserve">209</w:t>
            </w:r>
          </w:p>
        </w:tc>
        <w:tc>
          <w:tcPr/>
          <w:p>
            <w:pPr>
              <w:pStyle w:val="Compact"/>
            </w:pPr>
            <w:r>
              <w:t xml:space="preserve">99</w:t>
            </w:r>
          </w:p>
        </w:tc>
        <w:tc>
          <w:tcPr/>
          <w:p>
            <w:pPr>
              <w:pStyle w:val="Compact"/>
            </w:pPr>
            <w:r>
              <w:t xml:space="preserve">0.148</w:t>
            </w:r>
          </w:p>
        </w:tc>
        <w:tc>
          <w:tcPr/>
          <w:p>
            <w:pPr>
              <w:pStyle w:val="Compact"/>
            </w:pPr>
            <w:r>
              <w:t xml:space="preserve">0.923</w:t>
            </w:r>
          </w:p>
        </w:tc>
        <w:tc>
          <w:tcPr/>
          <w:p>
            <w:pPr>
              <w:pStyle w:val="Compact"/>
            </w:pPr>
            <w:r>
              <w:t xml:space="preserve">[0.879, 0.952]</w:t>
            </w:r>
          </w:p>
        </w:tc>
        <w:tc>
          <w:tcPr/>
          <w:p>
            <w:pPr>
              <w:pStyle w:val="Compact"/>
            </w:pPr>
          </w:p>
        </w:tc>
      </w:tr>
      <w:tr>
        <w:tc>
          <w:tcPr/>
          <w:p>
            <w:pPr>
              <w:pStyle w:val="Compact"/>
            </w:pPr>
            <w:r>
              <w:t xml:space="preserve">DAT</w:t>
            </w:r>
          </w:p>
        </w:tc>
        <w:tc>
          <w:tcPr/>
          <w:p>
            <w:pPr>
              <w:pStyle w:val="Compact"/>
            </w:pPr>
            <w:r>
              <w:t xml:space="preserve">1,130</w:t>
            </w:r>
          </w:p>
        </w:tc>
        <w:tc>
          <w:tcPr/>
          <w:p>
            <w:pPr>
              <w:pStyle w:val="Compact"/>
            </w:pPr>
            <w:r>
              <w:t xml:space="preserve">207</w:t>
            </w:r>
          </w:p>
        </w:tc>
        <w:tc>
          <w:tcPr/>
          <w:p>
            <w:pPr>
              <w:pStyle w:val="Compact"/>
            </w:pPr>
            <w:r>
              <w:t xml:space="preserve">93</w:t>
            </w:r>
          </w:p>
        </w:tc>
        <w:tc>
          <w:tcPr/>
          <w:p>
            <w:pPr>
              <w:pStyle w:val="Compact"/>
            </w:pPr>
            <w:r>
              <w:t xml:space="preserve">0.315</w:t>
            </w:r>
          </w:p>
        </w:tc>
        <w:tc>
          <w:tcPr/>
          <w:p>
            <w:pPr>
              <w:pStyle w:val="Compact"/>
            </w:pPr>
            <w:r>
              <w:t xml:space="preserve">0.903</w:t>
            </w:r>
          </w:p>
        </w:tc>
        <w:tc>
          <w:tcPr/>
          <w:p>
            <w:pPr>
              <w:pStyle w:val="Compact"/>
            </w:pPr>
            <w:r>
              <w:t xml:space="preserve">[0.855, 0.937]</w:t>
            </w:r>
          </w:p>
        </w:tc>
        <w:tc>
          <w:tcPr/>
          <w:p>
            <w:pPr>
              <w:pStyle w:val="Compact"/>
            </w:pPr>
          </w:p>
        </w:tc>
      </w:tr>
      <w:tr>
        <w:tc>
          <w:tcPr/>
          <w:p>
            <w:pPr>
              <w:pStyle w:val="Compact"/>
            </w:pPr>
            <w:r>
              <w:t xml:space="preserve">OX1</w:t>
            </w:r>
          </w:p>
        </w:tc>
        <w:tc>
          <w:tcPr/>
          <w:p>
            <w:pPr>
              <w:pStyle w:val="Compact"/>
            </w:pPr>
            <w:r>
              <w:t xml:space="preserve">2,601</w:t>
            </w:r>
          </w:p>
        </w:tc>
        <w:tc>
          <w:tcPr/>
          <w:p>
            <w:pPr>
              <w:pStyle w:val="Compact"/>
            </w:pPr>
            <w:r>
              <w:t xml:space="preserve">711</w:t>
            </w:r>
          </w:p>
        </w:tc>
        <w:tc>
          <w:tcPr/>
          <w:p>
            <w:pPr>
              <w:pStyle w:val="Compact"/>
            </w:pPr>
            <w:r>
              <w:t xml:space="preserve">178</w:t>
            </w:r>
          </w:p>
        </w:tc>
        <w:tc>
          <w:tcPr/>
          <w:p>
            <w:pPr>
              <w:pStyle w:val="Compact"/>
            </w:pPr>
            <w:r>
              <w:t xml:space="preserve">0.955</w:t>
            </w:r>
          </w:p>
        </w:tc>
        <w:tc>
          <w:tcPr/>
          <w:p>
            <w:pPr>
              <w:pStyle w:val="Compact"/>
            </w:pPr>
            <w:r>
              <w:t xml:space="preserve">0.895</w:t>
            </w:r>
          </w:p>
        </w:tc>
        <w:tc>
          <w:tcPr/>
          <w:p>
            <w:pPr>
              <w:pStyle w:val="Compact"/>
            </w:pPr>
            <w:r>
              <w:t xml:space="preserve">[0.870, 0.915]</w:t>
            </w:r>
          </w:p>
        </w:tc>
        <w:tc>
          <w:tcPr/>
          <w:p>
            <w:pPr>
              <w:pStyle w:val="Compact"/>
            </w:pPr>
          </w:p>
        </w:tc>
      </w:tr>
      <w:tr>
        <w:tc>
          <w:tcPr/>
          <w:p>
            <w:pPr>
              <w:pStyle w:val="Compact"/>
            </w:pPr>
            <w:r>
              <w:t xml:space="preserve">OPRM1</w:t>
            </w:r>
          </w:p>
        </w:tc>
        <w:tc>
          <w:tcPr/>
          <w:p>
            <w:pPr>
              <w:pStyle w:val="Compact"/>
            </w:pPr>
            <w:r>
              <w:t xml:space="preserve">3,004</w:t>
            </w:r>
          </w:p>
        </w:tc>
        <w:tc>
          <w:tcPr/>
          <w:p>
            <w:pPr>
              <w:pStyle w:val="Compact"/>
            </w:pPr>
            <w:r>
              <w:t xml:space="preserve">714</w:t>
            </w:r>
          </w:p>
        </w:tc>
        <w:tc>
          <w:tcPr/>
          <w:p>
            <w:pPr>
              <w:pStyle w:val="Compact"/>
            </w:pPr>
            <w:r>
              <w:t xml:space="preserve">303</w:t>
            </w:r>
          </w:p>
        </w:tc>
        <w:tc>
          <w:tcPr/>
          <w:p>
            <w:pPr>
              <w:pStyle w:val="Compact"/>
            </w:pPr>
            <w:r>
              <w:t xml:space="preserve">0.838</w:t>
            </w:r>
          </w:p>
        </w:tc>
        <w:tc>
          <w:tcPr/>
          <w:p>
            <w:pPr>
              <w:pStyle w:val="Compact"/>
            </w:pPr>
            <w:r>
              <w:t xml:space="preserve">0.895</w:t>
            </w:r>
          </w:p>
        </w:tc>
        <w:tc>
          <w:tcPr/>
          <w:p>
            <w:pPr>
              <w:pStyle w:val="Compact"/>
            </w:pPr>
            <w:r>
              <w:t xml:space="preserve">[0.870, 0.915]</w:t>
            </w:r>
          </w:p>
        </w:tc>
        <w:tc>
          <w:tcPr/>
          <w:p>
            <w:pPr>
              <w:pStyle w:val="Compact"/>
            </w:pPr>
          </w:p>
        </w:tc>
      </w:tr>
      <w:tr>
        <w:tc>
          <w:tcPr/>
          <w:p>
            <w:pPr>
              <w:pStyle w:val="Compact"/>
            </w:pPr>
            <w:r>
              <w:t xml:space="preserve">NLRP3</w:t>
            </w:r>
          </w:p>
        </w:tc>
        <w:tc>
          <w:tcPr/>
          <w:p>
            <w:pPr>
              <w:pStyle w:val="Compact"/>
            </w:pPr>
            <w:r>
              <w:t xml:space="preserve">186</w:t>
            </w:r>
          </w:p>
        </w:tc>
        <w:tc>
          <w:tcPr/>
          <w:p>
            <w:pPr>
              <w:pStyle w:val="Compact"/>
            </w:pPr>
            <w:r>
              <w:t xml:space="preserve">36</w:t>
            </w:r>
          </w:p>
        </w:tc>
        <w:tc>
          <w:tcPr/>
          <w:p>
            <w:pPr>
              <w:pStyle w:val="Compact"/>
            </w:pPr>
            <w:r>
              <w:t xml:space="preserve">27</w:t>
            </w:r>
          </w:p>
        </w:tc>
        <w:tc>
          <w:tcPr/>
          <w:p>
            <w:pPr>
              <w:pStyle w:val="Compact"/>
            </w:pPr>
            <w:r>
              <w:t xml:space="preserve">0.053</w:t>
            </w:r>
          </w:p>
        </w:tc>
        <w:tc>
          <w:tcPr/>
          <w:p>
            <w:pPr>
              <w:pStyle w:val="Compact"/>
            </w:pPr>
            <w:r>
              <w:t xml:space="preserve">0.889</w:t>
            </w:r>
          </w:p>
        </w:tc>
        <w:tc>
          <w:tcPr/>
          <w:p>
            <w:pPr>
              <w:pStyle w:val="Compact"/>
            </w:pPr>
            <w:r>
              <w:t xml:space="preserve">[0.747, 0.956]</w:t>
            </w:r>
          </w:p>
        </w:tc>
        <w:tc>
          <w:tcPr/>
          <w:p>
            <w:pPr>
              <w:pStyle w:val="Compact"/>
            </w:pPr>
            <w:r>
              <w:t xml:space="preserve">excluded</w:t>
            </w:r>
          </w:p>
        </w:tc>
      </w:tr>
      <w:tr>
        <w:tc>
          <w:tcPr/>
          <w:p>
            <w:pPr>
              <w:pStyle w:val="Compact"/>
            </w:pPr>
            <w:r>
              <w:t xml:space="preserve">PDE10A</w:t>
            </w:r>
          </w:p>
        </w:tc>
        <w:tc>
          <w:tcPr/>
          <w:p>
            <w:pPr>
              <w:pStyle w:val="Compact"/>
            </w:pPr>
            <w:r>
              <w:t xml:space="preserve">3,212</w:t>
            </w:r>
          </w:p>
        </w:tc>
        <w:tc>
          <w:tcPr/>
          <w:p>
            <w:pPr>
              <w:pStyle w:val="Compact"/>
            </w:pPr>
            <w:r>
              <w:t xml:space="preserve">872</w:t>
            </w:r>
          </w:p>
        </w:tc>
        <w:tc>
          <w:tcPr/>
          <w:p>
            <w:pPr>
              <w:pStyle w:val="Compact"/>
            </w:pPr>
            <w:r>
              <w:t xml:space="preserve">326</w:t>
            </w:r>
          </w:p>
        </w:tc>
        <w:tc>
          <w:tcPr/>
          <w:p>
            <w:pPr>
              <w:pStyle w:val="Compact"/>
            </w:pPr>
            <w:r>
              <w:t xml:space="preserve">0.980</w:t>
            </w:r>
          </w:p>
        </w:tc>
        <w:tc>
          <w:tcPr/>
          <w:p>
            <w:pPr>
              <w:pStyle w:val="Compact"/>
            </w:pPr>
            <w:r>
              <w:t xml:space="preserve">0.877</w:t>
            </w:r>
          </w:p>
        </w:tc>
        <w:tc>
          <w:tcPr/>
          <w:p>
            <w:pPr>
              <w:pStyle w:val="Compact"/>
            </w:pPr>
            <w:r>
              <w:t xml:space="preserve">[0.854, 0.897]</w:t>
            </w:r>
          </w:p>
        </w:tc>
        <w:tc>
          <w:tcPr/>
          <w:p>
            <w:pPr>
              <w:pStyle w:val="Compact"/>
            </w:pPr>
          </w:p>
        </w:tc>
      </w:tr>
      <w:tr>
        <w:tc>
          <w:tcPr/>
          <w:p>
            <w:pPr>
              <w:pStyle w:val="Compact"/>
            </w:pPr>
            <w:r>
              <w:t xml:space="preserve">SERT</w:t>
            </w:r>
          </w:p>
        </w:tc>
        <w:tc>
          <w:tcPr/>
          <w:p>
            <w:pPr>
              <w:pStyle w:val="Compact"/>
            </w:pPr>
            <w:r>
              <w:t xml:space="preserve">2,293</w:t>
            </w:r>
          </w:p>
        </w:tc>
        <w:tc>
          <w:tcPr/>
          <w:p>
            <w:pPr>
              <w:pStyle w:val="Compact"/>
            </w:pPr>
            <w:r>
              <w:t xml:space="preserve">735</w:t>
            </w:r>
          </w:p>
        </w:tc>
        <w:tc>
          <w:tcPr/>
          <w:p>
            <w:pPr>
              <w:pStyle w:val="Compact"/>
            </w:pPr>
            <w:r>
              <w:t xml:space="preserve">190</w:t>
            </w:r>
          </w:p>
        </w:tc>
        <w:tc>
          <w:tcPr/>
          <w:p>
            <w:pPr>
              <w:pStyle w:val="Compact"/>
            </w:pPr>
            <w:r>
              <w:t xml:space="preserve">0.573</w:t>
            </w:r>
          </w:p>
        </w:tc>
        <w:tc>
          <w:tcPr/>
          <w:p>
            <w:pPr>
              <w:pStyle w:val="Compact"/>
            </w:pPr>
            <w:r>
              <w:t xml:space="preserve">0.861</w:t>
            </w:r>
          </w:p>
        </w:tc>
        <w:tc>
          <w:tcPr/>
          <w:p>
            <w:pPr>
              <w:pStyle w:val="Compact"/>
            </w:pPr>
            <w:r>
              <w:t xml:space="preserve">[0.834, 0.884]</w:t>
            </w:r>
          </w:p>
        </w:tc>
        <w:tc>
          <w:tcPr/>
          <w:p>
            <w:pPr>
              <w:pStyle w:val="Compact"/>
            </w:pPr>
          </w:p>
        </w:tc>
      </w:tr>
      <w:tr>
        <w:tc>
          <w:tcPr/>
          <w:p>
            <w:pPr>
              <w:pStyle w:val="Compact"/>
            </w:pPr>
            <w:r>
              <w:t xml:space="preserve">HT6</w:t>
            </w:r>
          </w:p>
        </w:tc>
        <w:tc>
          <w:tcPr/>
          <w:p>
            <w:pPr>
              <w:pStyle w:val="Compact"/>
            </w:pPr>
            <w:r>
              <w:t xml:space="preserve">2,023</w:t>
            </w:r>
          </w:p>
        </w:tc>
        <w:tc>
          <w:tcPr/>
          <w:p>
            <w:pPr>
              <w:pStyle w:val="Compact"/>
            </w:pPr>
            <w:r>
              <w:t xml:space="preserve">718</w:t>
            </w:r>
          </w:p>
        </w:tc>
        <w:tc>
          <w:tcPr/>
          <w:p>
            <w:pPr>
              <w:pStyle w:val="Compact"/>
            </w:pPr>
            <w:r>
              <w:t xml:space="preserve">167</w:t>
            </w:r>
          </w:p>
        </w:tc>
        <w:tc>
          <w:tcPr/>
          <w:p>
            <w:pPr>
              <w:pStyle w:val="Compact"/>
            </w:pPr>
            <w:r>
              <w:t xml:space="preserve">0.961</w:t>
            </w:r>
          </w:p>
        </w:tc>
        <w:tc>
          <w:tcPr/>
          <w:p>
            <w:pPr>
              <w:pStyle w:val="Compact"/>
            </w:pPr>
            <w:r>
              <w:t xml:space="preserve">0.858</w:t>
            </w:r>
          </w:p>
        </w:tc>
        <w:tc>
          <w:tcPr/>
          <w:p>
            <w:pPr>
              <w:pStyle w:val="Compact"/>
            </w:pPr>
            <w:r>
              <w:t xml:space="preserve">[0.830, 0.882]</w:t>
            </w:r>
          </w:p>
        </w:tc>
        <w:tc>
          <w:tcPr/>
          <w:p>
            <w:pPr>
              <w:pStyle w:val="Compact"/>
            </w:pPr>
          </w:p>
        </w:tc>
      </w:tr>
      <w:tr>
        <w:tc>
          <w:tcPr/>
          <w:p>
            <w:pPr>
              <w:pStyle w:val="Compact"/>
            </w:pPr>
            <w:r>
              <w:t xml:space="preserve">CSF1R</w:t>
            </w:r>
          </w:p>
        </w:tc>
        <w:tc>
          <w:tcPr/>
          <w:p>
            <w:pPr>
              <w:pStyle w:val="Compact"/>
            </w:pPr>
            <w:r>
              <w:t xml:space="preserve">1,543</w:t>
            </w:r>
          </w:p>
        </w:tc>
        <w:tc>
          <w:tcPr/>
          <w:p>
            <w:pPr>
              <w:pStyle w:val="Compact"/>
            </w:pPr>
            <w:r>
              <w:t xml:space="preserve">241</w:t>
            </w:r>
          </w:p>
        </w:tc>
        <w:tc>
          <w:tcPr/>
          <w:p>
            <w:pPr>
              <w:pStyle w:val="Compact"/>
            </w:pPr>
            <w:r>
              <w:t xml:space="preserve">152</w:t>
            </w:r>
          </w:p>
        </w:tc>
        <w:tc>
          <w:tcPr/>
          <w:p>
            <w:pPr>
              <w:pStyle w:val="Compact"/>
            </w:pPr>
            <w:r>
              <w:t xml:space="preserve">0.726</w:t>
            </w:r>
          </w:p>
        </w:tc>
        <w:tc>
          <w:tcPr/>
          <w:p>
            <w:pPr>
              <w:pStyle w:val="Compact"/>
            </w:pPr>
            <w:r>
              <w:t xml:space="preserve">0.846</w:t>
            </w:r>
          </w:p>
        </w:tc>
        <w:tc>
          <w:tcPr/>
          <w:p>
            <w:pPr>
              <w:pStyle w:val="Compact"/>
            </w:pPr>
            <w:r>
              <w:t xml:space="preserve">[0.796, 0.887]</w:t>
            </w:r>
          </w:p>
        </w:tc>
        <w:tc>
          <w:tcPr/>
          <w:p>
            <w:pPr>
              <w:pStyle w:val="Compact"/>
            </w:pPr>
          </w:p>
        </w:tc>
      </w:tr>
      <w:tr>
        <w:tc>
          <w:tcPr/>
          <w:p>
            <w:pPr>
              <w:pStyle w:val="Compact"/>
            </w:pPr>
            <w:r>
              <w:t xml:space="preserve">D3</w:t>
            </w:r>
          </w:p>
        </w:tc>
        <w:tc>
          <w:tcPr/>
          <w:p>
            <w:pPr>
              <w:pStyle w:val="Compact"/>
            </w:pPr>
            <w:r>
              <w:t xml:space="preserve">3,337</w:t>
            </w:r>
          </w:p>
        </w:tc>
        <w:tc>
          <w:tcPr/>
          <w:p>
            <w:pPr>
              <w:pStyle w:val="Compact"/>
            </w:pPr>
            <w:r>
              <w:t xml:space="preserve">790</w:t>
            </w:r>
          </w:p>
        </w:tc>
        <w:tc>
          <w:tcPr/>
          <w:p>
            <w:pPr>
              <w:pStyle w:val="Compact"/>
            </w:pPr>
            <w:r>
              <w:t xml:space="preserve">351</w:t>
            </w:r>
          </w:p>
        </w:tc>
        <w:tc>
          <w:tcPr/>
          <w:p>
            <w:pPr>
              <w:pStyle w:val="Compact"/>
            </w:pPr>
            <w:r>
              <w:t xml:space="preserve">0.980</w:t>
            </w:r>
          </w:p>
        </w:tc>
        <w:tc>
          <w:tcPr/>
          <w:p>
            <w:pPr>
              <w:pStyle w:val="Compact"/>
            </w:pPr>
            <w:r>
              <w:t xml:space="preserve">0.846</w:t>
            </w:r>
          </w:p>
        </w:tc>
        <w:tc>
          <w:tcPr/>
          <w:p>
            <w:pPr>
              <w:pStyle w:val="Compact"/>
            </w:pPr>
            <w:r>
              <w:t xml:space="preserve">[0.819, 0.869]</w:t>
            </w:r>
          </w:p>
        </w:tc>
        <w:tc>
          <w:tcPr/>
          <w:p>
            <w:pPr>
              <w:pStyle w:val="Compact"/>
            </w:pPr>
          </w:p>
        </w:tc>
      </w:tr>
      <w:tr>
        <w:tc>
          <w:tcPr/>
          <w:p>
            <w:pPr>
              <w:pStyle w:val="Compact"/>
            </w:pPr>
            <w:r>
              <w:t xml:space="preserve">Nav1_1</w:t>
            </w:r>
          </w:p>
        </w:tc>
        <w:tc>
          <w:tcPr/>
          <w:p>
            <w:pPr>
              <w:pStyle w:val="Compact"/>
            </w:pPr>
            <w:r>
              <w:t xml:space="preserve">40</w:t>
            </w:r>
          </w:p>
        </w:tc>
        <w:tc>
          <w:tcPr/>
          <w:p>
            <w:pPr>
              <w:pStyle w:val="Compact"/>
            </w:pPr>
            <w:r>
              <w:t xml:space="preserve">25</w:t>
            </w:r>
          </w:p>
        </w:tc>
        <w:tc>
          <w:tcPr/>
          <w:p>
            <w:pPr>
              <w:pStyle w:val="Compact"/>
            </w:pPr>
            <w:r>
              <w:t xml:space="preserve">9</w:t>
            </w:r>
          </w:p>
        </w:tc>
        <w:tc>
          <w:tcPr/>
          <w:p>
            <w:pPr>
              <w:pStyle w:val="Compact"/>
            </w:pPr>
            <w:r>
              <w:t xml:space="preserve">0.325</w:t>
            </w:r>
          </w:p>
        </w:tc>
        <w:tc>
          <w:tcPr/>
          <w:p>
            <w:pPr>
              <w:pStyle w:val="Compact"/>
            </w:pPr>
            <w:r>
              <w:t xml:space="preserve">0.840</w:t>
            </w:r>
          </w:p>
        </w:tc>
        <w:tc>
          <w:tcPr/>
          <w:p>
            <w:pPr>
              <w:pStyle w:val="Compact"/>
            </w:pPr>
            <w:r>
              <w:t xml:space="preserve">[0.653, 0.936]</w:t>
            </w:r>
          </w:p>
        </w:tc>
        <w:tc>
          <w:tcPr/>
          <w:p>
            <w:pPr>
              <w:pStyle w:val="Compact"/>
            </w:pPr>
          </w:p>
        </w:tc>
      </w:tr>
      <w:tr>
        <w:tc>
          <w:tcPr/>
          <w:p>
            <w:pPr>
              <w:pStyle w:val="Compact"/>
            </w:pPr>
            <w:r>
              <w:t xml:space="preserve">OPRK1</w:t>
            </w:r>
          </w:p>
        </w:tc>
        <w:tc>
          <w:tcPr/>
          <w:p>
            <w:pPr>
              <w:pStyle w:val="Compact"/>
            </w:pPr>
            <w:r>
              <w:t xml:space="preserve">2,497</w:t>
            </w:r>
          </w:p>
        </w:tc>
        <w:tc>
          <w:tcPr/>
          <w:p>
            <w:pPr>
              <w:pStyle w:val="Compact"/>
            </w:pPr>
            <w:r>
              <w:t xml:space="preserve">562</w:t>
            </w:r>
          </w:p>
        </w:tc>
        <w:tc>
          <w:tcPr/>
          <w:p>
            <w:pPr>
              <w:pStyle w:val="Compact"/>
            </w:pPr>
            <w:r>
              <w:t xml:space="preserve">235</w:t>
            </w:r>
          </w:p>
        </w:tc>
        <w:tc>
          <w:tcPr/>
          <w:p>
            <w:pPr>
              <w:pStyle w:val="Compact"/>
            </w:pPr>
            <w:r>
              <w:t xml:space="preserve">0.948</w:t>
            </w:r>
          </w:p>
        </w:tc>
        <w:tc>
          <w:tcPr/>
          <w:p>
            <w:pPr>
              <w:pStyle w:val="Compact"/>
            </w:pPr>
            <w:r>
              <w:t xml:space="preserve">0.838</w:t>
            </w:r>
          </w:p>
        </w:tc>
        <w:tc>
          <w:tcPr/>
          <w:p>
            <w:pPr>
              <w:pStyle w:val="Compact"/>
            </w:pPr>
            <w:r>
              <w:t xml:space="preserve">[0.805, 0.866]</w:t>
            </w:r>
          </w:p>
        </w:tc>
        <w:tc>
          <w:tcPr/>
          <w:p>
            <w:pPr>
              <w:pStyle w:val="Compact"/>
            </w:pPr>
          </w:p>
        </w:tc>
      </w:tr>
      <w:tr>
        <w:tc>
          <w:tcPr/>
          <w:p>
            <w:pPr>
              <w:pStyle w:val="Compact"/>
            </w:pPr>
            <w:r>
              <w:t xml:space="preserve">HDAC1</w:t>
            </w:r>
          </w:p>
        </w:tc>
        <w:tc>
          <w:tcPr/>
          <w:p>
            <w:pPr>
              <w:pStyle w:val="Compact"/>
            </w:pPr>
            <w:r>
              <w:t xml:space="preserve">2,414</w:t>
            </w:r>
          </w:p>
        </w:tc>
        <w:tc>
          <w:tcPr/>
          <w:p>
            <w:pPr>
              <w:pStyle w:val="Compact"/>
            </w:pPr>
            <w:r>
              <w:t xml:space="preserve">641</w:t>
            </w:r>
          </w:p>
        </w:tc>
        <w:tc>
          <w:tcPr/>
          <w:p>
            <w:pPr>
              <w:pStyle w:val="Compact"/>
            </w:pPr>
            <w:r>
              <w:t xml:space="preserve">292</w:t>
            </w:r>
          </w:p>
        </w:tc>
        <w:tc>
          <w:tcPr/>
          <w:p>
            <w:pPr>
              <w:pStyle w:val="Compact"/>
            </w:pPr>
            <w:r>
              <w:t xml:space="preserve">0.900</w:t>
            </w:r>
          </w:p>
        </w:tc>
        <w:tc>
          <w:tcPr/>
          <w:p>
            <w:pPr>
              <w:pStyle w:val="Compact"/>
            </w:pPr>
            <w:r>
              <w:t xml:space="preserve">0.836</w:t>
            </w:r>
          </w:p>
        </w:tc>
        <w:tc>
          <w:tcPr/>
          <w:p>
            <w:pPr>
              <w:pStyle w:val="Compact"/>
            </w:pPr>
            <w:r>
              <w:t xml:space="preserve">[0.806, 0.863]</w:t>
            </w:r>
          </w:p>
        </w:tc>
        <w:tc>
          <w:tcPr/>
          <w:p>
            <w:pPr>
              <w:pStyle w:val="Compact"/>
            </w:pPr>
          </w:p>
        </w:tc>
      </w:tr>
      <w:tr>
        <w:tc>
          <w:tcPr/>
          <w:p>
            <w:pPr>
              <w:pStyle w:val="Compact"/>
            </w:pPr>
            <w:r>
              <w:t xml:space="preserve">CB1</w:t>
            </w:r>
          </w:p>
        </w:tc>
        <w:tc>
          <w:tcPr/>
          <w:p>
            <w:pPr>
              <w:pStyle w:val="Compact"/>
            </w:pPr>
            <w:r>
              <w:t xml:space="preserve">2,201</w:t>
            </w:r>
          </w:p>
        </w:tc>
        <w:tc>
          <w:tcPr/>
          <w:p>
            <w:pPr>
              <w:pStyle w:val="Compact"/>
            </w:pPr>
            <w:r>
              <w:t xml:space="preserve">479</w:t>
            </w:r>
          </w:p>
        </w:tc>
        <w:tc>
          <w:tcPr/>
          <w:p>
            <w:pPr>
              <w:pStyle w:val="Compact"/>
            </w:pPr>
            <w:r>
              <w:t xml:space="preserve">200</w:t>
            </w:r>
          </w:p>
        </w:tc>
        <w:tc>
          <w:tcPr/>
          <w:p>
            <w:pPr>
              <w:pStyle w:val="Compact"/>
            </w:pPr>
            <w:r>
              <w:t xml:space="preserve">0.809</w:t>
            </w:r>
          </w:p>
        </w:tc>
        <w:tc>
          <w:tcPr/>
          <w:p>
            <w:pPr>
              <w:pStyle w:val="Compact"/>
            </w:pPr>
            <w:r>
              <w:t xml:space="preserve">0.827</w:t>
            </w:r>
          </w:p>
        </w:tc>
        <w:tc>
          <w:tcPr/>
          <w:p>
            <w:pPr>
              <w:pStyle w:val="Compact"/>
            </w:pPr>
            <w:r>
              <w:t xml:space="preserve">[0.790, 0.858]</w:t>
            </w:r>
          </w:p>
        </w:tc>
        <w:tc>
          <w:tcPr/>
          <w:p>
            <w:pPr>
              <w:pStyle w:val="Compact"/>
            </w:pPr>
          </w:p>
        </w:tc>
      </w:tr>
      <w:tr>
        <w:tc>
          <w:tcPr/>
          <w:p>
            <w:pPr>
              <w:pStyle w:val="Compact"/>
            </w:pPr>
            <w:r>
              <w:t xml:space="preserve">NET</w:t>
            </w:r>
          </w:p>
        </w:tc>
        <w:tc>
          <w:tcPr/>
          <w:p>
            <w:pPr>
              <w:pStyle w:val="Compact"/>
            </w:pPr>
            <w:r>
              <w:t xml:space="preserve">1,307</w:t>
            </w:r>
          </w:p>
        </w:tc>
        <w:tc>
          <w:tcPr/>
          <w:p>
            <w:pPr>
              <w:pStyle w:val="Compact"/>
            </w:pPr>
            <w:r>
              <w:t xml:space="preserve">265</w:t>
            </w:r>
          </w:p>
        </w:tc>
        <w:tc>
          <w:tcPr/>
          <w:p>
            <w:pPr>
              <w:pStyle w:val="Compact"/>
            </w:pPr>
            <w:r>
              <w:t xml:space="preserve">90</w:t>
            </w:r>
          </w:p>
        </w:tc>
        <w:tc>
          <w:tcPr/>
          <w:p>
            <w:pPr>
              <w:pStyle w:val="Compact"/>
            </w:pPr>
            <w:r>
              <w:t xml:space="preserve">0.646</w:t>
            </w:r>
          </w:p>
        </w:tc>
        <w:tc>
          <w:tcPr/>
          <w:p>
            <w:pPr>
              <w:pStyle w:val="Compact"/>
            </w:pPr>
            <w:r>
              <w:t xml:space="preserve">0.819</w:t>
            </w:r>
          </w:p>
        </w:tc>
        <w:tc>
          <w:tcPr/>
          <w:p>
            <w:pPr>
              <w:pStyle w:val="Compact"/>
            </w:pPr>
            <w:r>
              <w:t xml:space="preserve">[0.768, 0.861]</w:t>
            </w:r>
          </w:p>
        </w:tc>
        <w:tc>
          <w:tcPr/>
          <w:p>
            <w:pPr>
              <w:pStyle w:val="Compact"/>
            </w:pPr>
          </w:p>
        </w:tc>
      </w:tr>
      <w:tr>
        <w:tc>
          <w:tcPr/>
          <w:p>
            <w:pPr>
              <w:pStyle w:val="Compact"/>
            </w:pPr>
            <w:r>
              <w:t xml:space="preserve">Nav1_7</w:t>
            </w:r>
          </w:p>
        </w:tc>
        <w:tc>
          <w:tcPr/>
          <w:p>
            <w:pPr>
              <w:pStyle w:val="Compact"/>
            </w:pPr>
            <w:r>
              <w:t xml:space="preserve">2,250</w:t>
            </w:r>
          </w:p>
        </w:tc>
        <w:tc>
          <w:tcPr/>
          <w:p>
            <w:pPr>
              <w:pStyle w:val="Compact"/>
            </w:pPr>
            <w:r>
              <w:t xml:space="preserve">494</w:t>
            </w:r>
          </w:p>
        </w:tc>
        <w:tc>
          <w:tcPr/>
          <w:p>
            <w:pPr>
              <w:pStyle w:val="Compact"/>
            </w:pPr>
            <w:r>
              <w:t xml:space="preserve">179</w:t>
            </w:r>
          </w:p>
        </w:tc>
        <w:tc>
          <w:tcPr/>
          <w:p>
            <w:pPr>
              <w:pStyle w:val="Compact"/>
            </w:pPr>
            <w:r>
              <w:t xml:space="preserve">0.941</w:t>
            </w:r>
          </w:p>
        </w:tc>
        <w:tc>
          <w:tcPr/>
          <w:p>
            <w:pPr>
              <w:pStyle w:val="Compact"/>
            </w:pPr>
            <w:r>
              <w:t xml:space="preserve">0.818</w:t>
            </w:r>
          </w:p>
        </w:tc>
        <w:tc>
          <w:tcPr/>
          <w:p>
            <w:pPr>
              <w:pStyle w:val="Compact"/>
            </w:pPr>
            <w:r>
              <w:t xml:space="preserve">[0.781, 0.849]</w:t>
            </w:r>
          </w:p>
        </w:tc>
        <w:tc>
          <w:tcPr/>
          <w:p>
            <w:pPr>
              <w:pStyle w:val="Compact"/>
            </w:pPr>
          </w:p>
        </w:tc>
      </w:tr>
      <w:tr>
        <w:tc>
          <w:tcPr/>
          <w:p>
            <w:pPr>
              <w:pStyle w:val="Compact"/>
            </w:pPr>
            <w:r>
              <w:t xml:space="preserve">HT1A</w:t>
            </w:r>
          </w:p>
        </w:tc>
        <w:tc>
          <w:tcPr/>
          <w:p>
            <w:pPr>
              <w:pStyle w:val="Compact"/>
            </w:pPr>
            <w:r>
              <w:t xml:space="preserve">2,902</w:t>
            </w:r>
          </w:p>
        </w:tc>
        <w:tc>
          <w:tcPr/>
          <w:p>
            <w:pPr>
              <w:pStyle w:val="Compact"/>
            </w:pPr>
            <w:r>
              <w:t xml:space="preserve">801</w:t>
            </w:r>
          </w:p>
        </w:tc>
        <w:tc>
          <w:tcPr/>
          <w:p>
            <w:pPr>
              <w:pStyle w:val="Compact"/>
            </w:pPr>
            <w:r>
              <w:t xml:space="preserve">327</w:t>
            </w:r>
          </w:p>
        </w:tc>
        <w:tc>
          <w:tcPr/>
          <w:p>
            <w:pPr>
              <w:pStyle w:val="Compact"/>
            </w:pPr>
            <w:r>
              <w:t xml:space="preserve">0.980</w:t>
            </w:r>
          </w:p>
        </w:tc>
        <w:tc>
          <w:tcPr/>
          <w:p>
            <w:pPr>
              <w:pStyle w:val="Compact"/>
            </w:pPr>
            <w:r>
              <w:t xml:space="preserve">0.814</w:t>
            </w:r>
          </w:p>
        </w:tc>
        <w:tc>
          <w:tcPr/>
          <w:p>
            <w:pPr>
              <w:pStyle w:val="Compact"/>
            </w:pPr>
            <w:r>
              <w:t xml:space="preserve">[0.786, 0.839]</w:t>
            </w:r>
          </w:p>
        </w:tc>
        <w:tc>
          <w:tcPr/>
          <w:p>
            <w:pPr>
              <w:pStyle w:val="Compact"/>
            </w:pPr>
          </w:p>
        </w:tc>
      </w:tr>
      <w:tr>
        <w:tc>
          <w:tcPr/>
          <w:p>
            <w:pPr>
              <w:pStyle w:val="Compact"/>
            </w:pPr>
            <w:r>
              <w:t xml:space="preserve">P2X7</w:t>
            </w:r>
          </w:p>
        </w:tc>
        <w:tc>
          <w:tcPr/>
          <w:p>
            <w:pPr>
              <w:pStyle w:val="Compact"/>
            </w:pPr>
            <w:r>
              <w:t xml:space="preserve">2,432</w:t>
            </w:r>
          </w:p>
        </w:tc>
        <w:tc>
          <w:tcPr/>
          <w:p>
            <w:pPr>
              <w:pStyle w:val="Compact"/>
            </w:pPr>
            <w:r>
              <w:t xml:space="preserve">506</w:t>
            </w:r>
          </w:p>
        </w:tc>
        <w:tc>
          <w:tcPr/>
          <w:p>
            <w:pPr>
              <w:pStyle w:val="Compact"/>
            </w:pPr>
            <w:r>
              <w:t xml:space="preserve">139</w:t>
            </w:r>
          </w:p>
        </w:tc>
        <w:tc>
          <w:tcPr/>
          <w:p>
            <w:pPr>
              <w:pStyle w:val="Compact"/>
            </w:pPr>
            <w:r>
              <w:t xml:space="preserve">0.979</w:t>
            </w:r>
          </w:p>
        </w:tc>
        <w:tc>
          <w:tcPr/>
          <w:p>
            <w:pPr>
              <w:pStyle w:val="Compact"/>
            </w:pPr>
            <w:r>
              <w:t xml:space="preserve">0.800</w:t>
            </w:r>
          </w:p>
        </w:tc>
        <w:tc>
          <w:tcPr/>
          <w:p>
            <w:pPr>
              <w:pStyle w:val="Compact"/>
            </w:pPr>
            <w:r>
              <w:t xml:space="preserve">[0.763, 0.833]</w:t>
            </w:r>
          </w:p>
        </w:tc>
        <w:tc>
          <w:tcPr/>
          <w:p>
            <w:pPr>
              <w:pStyle w:val="Compact"/>
            </w:pPr>
          </w:p>
        </w:tc>
      </w:tr>
      <w:tr>
        <w:tc>
          <w:tcPr/>
          <w:p>
            <w:pPr>
              <w:pStyle w:val="Compact"/>
            </w:pPr>
            <w:r>
              <w:t xml:space="preserve">A2A</w:t>
            </w:r>
          </w:p>
        </w:tc>
        <w:tc>
          <w:tcPr/>
          <w:p>
            <w:pPr>
              <w:pStyle w:val="Compact"/>
            </w:pPr>
            <w:r>
              <w:t xml:space="preserve">3,428</w:t>
            </w:r>
          </w:p>
        </w:tc>
        <w:tc>
          <w:tcPr/>
          <w:p>
            <w:pPr>
              <w:pStyle w:val="Compact"/>
            </w:pPr>
            <w:r>
              <w:t xml:space="preserve">924</w:t>
            </w:r>
          </w:p>
        </w:tc>
        <w:tc>
          <w:tcPr/>
          <w:p>
            <w:pPr>
              <w:pStyle w:val="Compact"/>
            </w:pPr>
            <w:r>
              <w:t xml:space="preserve">364</w:t>
            </w:r>
          </w:p>
        </w:tc>
        <w:tc>
          <w:tcPr/>
          <w:p>
            <w:pPr>
              <w:pStyle w:val="Compact"/>
            </w:pPr>
            <w:r>
              <w:t xml:space="preserve">0.994</w:t>
            </w:r>
          </w:p>
        </w:tc>
        <w:tc>
          <w:tcPr/>
          <w:p>
            <w:pPr>
              <w:pStyle w:val="Compact"/>
            </w:pPr>
            <w:r>
              <w:t xml:space="preserve">0.777</w:t>
            </w:r>
          </w:p>
        </w:tc>
        <w:tc>
          <w:tcPr/>
          <w:p>
            <w:pPr>
              <w:pStyle w:val="Compact"/>
            </w:pPr>
            <w:r>
              <w:t xml:space="preserve">[0.749, 0.803]</w:t>
            </w:r>
          </w:p>
        </w:tc>
        <w:tc>
          <w:tcPr/>
          <w:p>
            <w:pPr>
              <w:pStyle w:val="Compact"/>
            </w:pPr>
          </w:p>
        </w:tc>
      </w:tr>
      <w:tr>
        <w:tc>
          <w:tcPr/>
          <w:p>
            <w:pPr>
              <w:pStyle w:val="Compact"/>
            </w:pPr>
            <w:r>
              <w:t xml:space="preserve">A1</w:t>
            </w:r>
          </w:p>
        </w:tc>
        <w:tc>
          <w:tcPr/>
          <w:p>
            <w:pPr>
              <w:pStyle w:val="Compact"/>
            </w:pPr>
            <w:r>
              <w:t xml:space="preserve">1,514</w:t>
            </w:r>
          </w:p>
        </w:tc>
        <w:tc>
          <w:tcPr/>
          <w:p>
            <w:pPr>
              <w:pStyle w:val="Compact"/>
            </w:pPr>
            <w:r>
              <w:t xml:space="preserve">429</w:t>
            </w:r>
          </w:p>
        </w:tc>
        <w:tc>
          <w:tcPr/>
          <w:p>
            <w:pPr>
              <w:pStyle w:val="Compact"/>
            </w:pPr>
            <w:r>
              <w:t xml:space="preserve">177</w:t>
            </w:r>
          </w:p>
        </w:tc>
        <w:tc>
          <w:tcPr/>
          <w:p>
            <w:pPr>
              <w:pStyle w:val="Compact"/>
            </w:pPr>
            <w:r>
              <w:t xml:space="preserve">0.972</w:t>
            </w:r>
          </w:p>
        </w:tc>
        <w:tc>
          <w:tcPr/>
          <w:p>
            <w:pPr>
              <w:pStyle w:val="Compact"/>
            </w:pPr>
            <w:r>
              <w:t xml:space="preserve">0.769</w:t>
            </w:r>
          </w:p>
        </w:tc>
        <w:tc>
          <w:tcPr/>
          <w:p>
            <w:pPr>
              <w:pStyle w:val="Compact"/>
            </w:pPr>
            <w:r>
              <w:t xml:space="preserve">[0.727, 0.807]</w:t>
            </w:r>
          </w:p>
        </w:tc>
        <w:tc>
          <w:tcPr/>
          <w:p>
            <w:pPr>
              <w:pStyle w:val="Compact"/>
            </w:pPr>
          </w:p>
        </w:tc>
      </w:tr>
      <w:tr>
        <w:tc>
          <w:tcPr/>
          <w:p>
            <w:pPr>
              <w:pStyle w:val="Compact"/>
            </w:pPr>
            <w:r>
              <w:t xml:space="preserve">a7nAChR</w:t>
            </w:r>
          </w:p>
        </w:tc>
        <w:tc>
          <w:tcPr/>
          <w:p>
            <w:pPr>
              <w:pStyle w:val="Compact"/>
            </w:pPr>
            <w:r>
              <w:t xml:space="preserve">251</w:t>
            </w:r>
          </w:p>
        </w:tc>
        <w:tc>
          <w:tcPr/>
          <w:p>
            <w:pPr>
              <w:pStyle w:val="Compact"/>
            </w:pPr>
            <w:r>
              <w:t xml:space="preserve">86</w:t>
            </w:r>
          </w:p>
        </w:tc>
        <w:tc>
          <w:tcPr/>
          <w:p>
            <w:pPr>
              <w:pStyle w:val="Compact"/>
            </w:pPr>
            <w:r>
              <w:t xml:space="preserve">35</w:t>
            </w:r>
          </w:p>
        </w:tc>
        <w:tc>
          <w:tcPr/>
          <w:p>
            <w:pPr>
              <w:pStyle w:val="Compact"/>
            </w:pPr>
            <w:r>
              <w:t xml:space="preserve">0.648</w:t>
            </w:r>
          </w:p>
        </w:tc>
        <w:tc>
          <w:tcPr/>
          <w:p>
            <w:pPr>
              <w:pStyle w:val="Compact"/>
            </w:pPr>
            <w:r>
              <w:t xml:space="preserve">0.767</w:t>
            </w:r>
          </w:p>
        </w:tc>
        <w:tc>
          <w:tcPr/>
          <w:p>
            <w:pPr>
              <w:pStyle w:val="Compact"/>
            </w:pPr>
            <w:r>
              <w:t xml:space="preserve">[0.668, 0.844]</w:t>
            </w:r>
          </w:p>
        </w:tc>
        <w:tc>
          <w:tcPr/>
          <w:p>
            <w:pPr>
              <w:pStyle w:val="Compact"/>
            </w:pPr>
          </w:p>
        </w:tc>
      </w:tr>
      <w:tr>
        <w:tc>
          <w:tcPr/>
          <w:p>
            <w:pPr>
              <w:pStyle w:val="Compact"/>
            </w:pPr>
            <w:r>
              <w:t xml:space="preserve">GABA_A</w:t>
            </w:r>
          </w:p>
        </w:tc>
        <w:tc>
          <w:tcPr/>
          <w:p>
            <w:pPr>
              <w:pStyle w:val="Compact"/>
            </w:pPr>
            <w:r>
              <w:t xml:space="preserve">184</w:t>
            </w:r>
          </w:p>
        </w:tc>
        <w:tc>
          <w:tcPr/>
          <w:p>
            <w:pPr>
              <w:pStyle w:val="Compact"/>
            </w:pPr>
            <w:r>
              <w:t xml:space="preserve">17</w:t>
            </w:r>
          </w:p>
        </w:tc>
        <w:tc>
          <w:tcPr/>
          <w:p>
            <w:pPr>
              <w:pStyle w:val="Compact"/>
            </w:pPr>
            <w:r>
              <w:t xml:space="preserve">16</w:t>
            </w:r>
          </w:p>
        </w:tc>
        <w:tc>
          <w:tcPr/>
          <w:p>
            <w:pPr>
              <w:pStyle w:val="Compact"/>
            </w:pPr>
            <w:r>
              <w:t xml:space="preserve">0.089</w:t>
            </w:r>
          </w:p>
        </w:tc>
        <w:tc>
          <w:tcPr/>
          <w:p>
            <w:pPr>
              <w:pStyle w:val="Compact"/>
            </w:pPr>
            <w:r>
              <w:t xml:space="preserve">0.765</w:t>
            </w:r>
          </w:p>
        </w:tc>
        <w:tc>
          <w:tcPr/>
          <w:p>
            <w:pPr>
              <w:pStyle w:val="Compact"/>
            </w:pPr>
            <w:r>
              <w:t xml:space="preserve">[0.527, 0.904]</w:t>
            </w:r>
          </w:p>
        </w:tc>
        <w:tc>
          <w:tcPr/>
          <w:p>
            <w:pPr>
              <w:pStyle w:val="Compact"/>
            </w:pPr>
          </w:p>
        </w:tc>
      </w:tr>
      <w:tr>
        <w:tc>
          <w:tcPr/>
          <w:p>
            <w:pPr>
              <w:pStyle w:val="Compact"/>
            </w:pPr>
            <w:r>
              <w:t xml:space="preserve">HT7</w:t>
            </w:r>
          </w:p>
        </w:tc>
        <w:tc>
          <w:tcPr/>
          <w:p>
            <w:pPr>
              <w:pStyle w:val="Compact"/>
            </w:pPr>
            <w:r>
              <w:t xml:space="preserve">1,166</w:t>
            </w:r>
          </w:p>
        </w:tc>
        <w:tc>
          <w:tcPr/>
          <w:p>
            <w:pPr>
              <w:pStyle w:val="Compact"/>
            </w:pPr>
            <w:r>
              <w:t xml:space="preserve">312</w:t>
            </w:r>
          </w:p>
        </w:tc>
        <w:tc>
          <w:tcPr/>
          <w:p>
            <w:pPr>
              <w:pStyle w:val="Compact"/>
            </w:pPr>
            <w:r>
              <w:t xml:space="preserve">133</w:t>
            </w:r>
          </w:p>
        </w:tc>
        <w:tc>
          <w:tcPr/>
          <w:p>
            <w:pPr>
              <w:pStyle w:val="Compact"/>
            </w:pPr>
            <w:r>
              <w:t xml:space="preserve">0.954</w:t>
            </w:r>
          </w:p>
        </w:tc>
        <w:tc>
          <w:tcPr/>
          <w:p>
            <w:pPr>
              <w:pStyle w:val="Compact"/>
            </w:pPr>
            <w:r>
              <w:t xml:space="preserve">0.721</w:t>
            </w:r>
          </w:p>
        </w:tc>
        <w:tc>
          <w:tcPr/>
          <w:p>
            <w:pPr>
              <w:pStyle w:val="Compact"/>
            </w:pPr>
            <w:r>
              <w:t xml:space="preserve">[0.669, 0.768]</w:t>
            </w:r>
          </w:p>
        </w:tc>
        <w:tc>
          <w:tcPr/>
          <w:p>
            <w:pPr>
              <w:pStyle w:val="Compact"/>
            </w:pPr>
          </w:p>
        </w:tc>
      </w:tr>
      <w:tr>
        <w:tc>
          <w:tcPr/>
          <w:p>
            <w:pPr>
              <w:pStyle w:val="Compact"/>
            </w:pPr>
            <w:r>
              <w:t xml:space="preserve">HDAC6</w:t>
            </w:r>
          </w:p>
        </w:tc>
        <w:tc>
          <w:tcPr/>
          <w:p>
            <w:pPr>
              <w:pStyle w:val="Compact"/>
            </w:pPr>
            <w:r>
              <w:t xml:space="preserve">2,960</w:t>
            </w:r>
          </w:p>
        </w:tc>
        <w:tc>
          <w:tcPr/>
          <w:p>
            <w:pPr>
              <w:pStyle w:val="Compact"/>
            </w:pPr>
            <w:r>
              <w:t xml:space="preserve">755</w:t>
            </w:r>
          </w:p>
        </w:tc>
        <w:tc>
          <w:tcPr/>
          <w:p>
            <w:pPr>
              <w:pStyle w:val="Compact"/>
            </w:pPr>
            <w:r>
              <w:t xml:space="preserve">335</w:t>
            </w:r>
          </w:p>
        </w:tc>
        <w:tc>
          <w:tcPr/>
          <w:p>
            <w:pPr>
              <w:pStyle w:val="Compact"/>
            </w:pPr>
            <w:r>
              <w:t xml:space="preserve">0.990</w:t>
            </w:r>
          </w:p>
        </w:tc>
        <w:tc>
          <w:tcPr/>
          <w:p>
            <w:pPr>
              <w:pStyle w:val="Compact"/>
            </w:pPr>
            <w:r>
              <w:t xml:space="preserve">0.699</w:t>
            </w:r>
          </w:p>
        </w:tc>
        <w:tc>
          <w:tcPr/>
          <w:p>
            <w:pPr>
              <w:pStyle w:val="Compact"/>
            </w:pPr>
            <w:r>
              <w:t xml:space="preserve">[0.666, 0.731]</w:t>
            </w:r>
          </w:p>
        </w:tc>
        <w:tc>
          <w:tcPr/>
          <w:p>
            <w:pPr>
              <w:pStyle w:val="Compact"/>
            </w:pPr>
          </w:p>
        </w:tc>
      </w:tr>
      <w:tr>
        <w:tc>
          <w:tcPr/>
          <w:p>
            <w:pPr>
              <w:pStyle w:val="Compact"/>
            </w:pPr>
            <w:r>
              <w:t xml:space="preserve">Nav1_5</w:t>
            </w:r>
          </w:p>
        </w:tc>
        <w:tc>
          <w:tcPr/>
          <w:p>
            <w:pPr>
              <w:pStyle w:val="Compact"/>
            </w:pPr>
            <w:r>
              <w:t xml:space="preserve">198</w:t>
            </w:r>
          </w:p>
        </w:tc>
        <w:tc>
          <w:tcPr/>
          <w:p>
            <w:pPr>
              <w:pStyle w:val="Compact"/>
            </w:pPr>
            <w:r>
              <w:t xml:space="preserve">44</w:t>
            </w:r>
          </w:p>
        </w:tc>
        <w:tc>
          <w:tcPr/>
          <w:p>
            <w:pPr>
              <w:pStyle w:val="Compact"/>
            </w:pPr>
            <w:r>
              <w:t xml:space="preserve">27</w:t>
            </w:r>
          </w:p>
        </w:tc>
        <w:tc>
          <w:tcPr/>
          <w:p>
            <w:pPr>
              <w:pStyle w:val="Compact"/>
            </w:pPr>
            <w:r>
              <w:t xml:space="preserve">0.197</w:t>
            </w:r>
          </w:p>
        </w:tc>
        <w:tc>
          <w:tcPr/>
          <w:p>
            <w:pPr>
              <w:pStyle w:val="Compact"/>
            </w:pPr>
            <w:r>
              <w:t xml:space="preserve">0.682</w:t>
            </w:r>
          </w:p>
        </w:tc>
        <w:tc>
          <w:tcPr/>
          <w:p>
            <w:pPr>
              <w:pStyle w:val="Compact"/>
            </w:pPr>
            <w:r>
              <w:t xml:space="preserve">[0.534, 0.800]</w:t>
            </w:r>
          </w:p>
        </w:tc>
        <w:tc>
          <w:tcPr/>
          <w:p>
            <w:pPr>
              <w:pStyle w:val="Compact"/>
            </w:pPr>
          </w:p>
        </w:tc>
      </w:tr>
      <w:tr>
        <w:tc>
          <w:tcPr/>
          <w:p>
            <w:pPr>
              <w:pStyle w:val="Compact"/>
            </w:pPr>
            <w:r>
              <w:t xml:space="preserve">Sigma1</w:t>
            </w:r>
          </w:p>
        </w:tc>
        <w:tc>
          <w:tcPr/>
          <w:p>
            <w:pPr>
              <w:pStyle w:val="Compact"/>
            </w:pPr>
            <w:r>
              <w:t xml:space="preserve">1,571</w:t>
            </w:r>
          </w:p>
        </w:tc>
        <w:tc>
          <w:tcPr/>
          <w:p>
            <w:pPr>
              <w:pStyle w:val="Compact"/>
            </w:pPr>
            <w:r>
              <w:t xml:space="preserve">357</w:t>
            </w:r>
          </w:p>
        </w:tc>
        <w:tc>
          <w:tcPr/>
          <w:p>
            <w:pPr>
              <w:pStyle w:val="Compact"/>
            </w:pPr>
            <w:r>
              <w:t xml:space="preserve">186</w:t>
            </w:r>
          </w:p>
        </w:tc>
        <w:tc>
          <w:tcPr/>
          <w:p>
            <w:pPr>
              <w:pStyle w:val="Compact"/>
            </w:pPr>
            <w:r>
              <w:t xml:space="preserve">0.961</w:t>
            </w:r>
          </w:p>
        </w:tc>
        <w:tc>
          <w:tcPr/>
          <w:p>
            <w:pPr>
              <w:pStyle w:val="Compact"/>
            </w:pPr>
            <w:r>
              <w:t xml:space="preserve">0.675</w:t>
            </w:r>
          </w:p>
        </w:tc>
        <w:tc>
          <w:tcPr/>
          <w:p>
            <w:pPr>
              <w:pStyle w:val="Compact"/>
            </w:pPr>
            <w:r>
              <w:t xml:space="preserve">[0.625, 0.722]</w:t>
            </w:r>
          </w:p>
        </w:tc>
        <w:tc>
          <w:tcPr/>
          <w:p>
            <w:pPr>
              <w:pStyle w:val="Compact"/>
            </w:pPr>
          </w:p>
        </w:tc>
      </w:tr>
      <w:tr>
        <w:tc>
          <w:tcPr/>
          <w:p>
            <w:pPr>
              <w:pStyle w:val="Compact"/>
            </w:pPr>
            <w:r>
              <w:t xml:space="preserve">GluN2B</w:t>
            </w:r>
          </w:p>
        </w:tc>
        <w:tc>
          <w:tcPr/>
          <w:p>
            <w:pPr>
              <w:pStyle w:val="Compact"/>
            </w:pPr>
            <w:r>
              <w:t xml:space="preserve">652</w:t>
            </w:r>
          </w:p>
        </w:tc>
        <w:tc>
          <w:tcPr/>
          <w:p>
            <w:pPr>
              <w:pStyle w:val="Compact"/>
            </w:pPr>
            <w:r>
              <w:t xml:space="preserve">252</w:t>
            </w:r>
          </w:p>
        </w:tc>
        <w:tc>
          <w:tcPr/>
          <w:p>
            <w:pPr>
              <w:pStyle w:val="Compact"/>
            </w:pPr>
            <w:r>
              <w:t xml:space="preserve">35</w:t>
            </w:r>
          </w:p>
        </w:tc>
        <w:tc>
          <w:tcPr/>
          <w:p>
            <w:pPr>
              <w:pStyle w:val="Compact"/>
            </w:pPr>
            <w:r>
              <w:t xml:space="preserve">0.999</w:t>
            </w:r>
          </w:p>
        </w:tc>
        <w:tc>
          <w:tcPr/>
          <w:p>
            <w:pPr>
              <w:pStyle w:val="Compact"/>
            </w:pPr>
            <w:r>
              <w:t xml:space="preserve">0.619</w:t>
            </w:r>
          </w:p>
        </w:tc>
        <w:tc>
          <w:tcPr/>
          <w:p>
            <w:pPr>
              <w:pStyle w:val="Compact"/>
            </w:pPr>
            <w:r>
              <w:t xml:space="preserve">[0.558, 0.677]</w:t>
            </w:r>
          </w:p>
        </w:tc>
        <w:tc>
          <w:tcPr/>
          <w:p>
            <w:pPr>
              <w:pStyle w:val="Compact"/>
            </w:pPr>
          </w:p>
        </w:tc>
      </w:tr>
      <w:tr>
        <w:tc>
          <w:tcPr/>
          <w:p>
            <w:pPr>
              <w:pStyle w:val="Compact"/>
            </w:pPr>
            <w:r>
              <w:t xml:space="preserve">HT2A</w:t>
            </w:r>
          </w:p>
        </w:tc>
        <w:tc>
          <w:tcPr/>
          <w:p>
            <w:pPr>
              <w:pStyle w:val="Compact"/>
            </w:pPr>
            <w:r>
              <w:t xml:space="preserve">3,161</w:t>
            </w:r>
          </w:p>
        </w:tc>
        <w:tc>
          <w:tcPr/>
          <w:p>
            <w:pPr>
              <w:pStyle w:val="Compact"/>
            </w:pPr>
            <w:r>
              <w:t xml:space="preserve">790</w:t>
            </w:r>
          </w:p>
        </w:tc>
        <w:tc>
          <w:tcPr/>
          <w:p>
            <w:pPr>
              <w:pStyle w:val="Compact"/>
            </w:pPr>
            <w:r>
              <w:t xml:space="preserve">317</w:t>
            </w:r>
          </w:p>
        </w:tc>
        <w:tc>
          <w:tcPr/>
          <w:p>
            <w:pPr>
              <w:pStyle w:val="Compact"/>
            </w:pPr>
            <w:r>
              <w:t xml:space="preserve">0.987</w:t>
            </w:r>
          </w:p>
        </w:tc>
        <w:tc>
          <w:tcPr/>
          <w:p>
            <w:pPr>
              <w:pStyle w:val="Compact"/>
            </w:pPr>
            <w:r>
              <w:t xml:space="preserve">0.618</w:t>
            </w:r>
          </w:p>
        </w:tc>
        <w:tc>
          <w:tcPr/>
          <w:p>
            <w:pPr>
              <w:pStyle w:val="Compact"/>
            </w:pPr>
            <w:r>
              <w:t xml:space="preserve">[0.583, 0.651]</w:t>
            </w:r>
          </w:p>
        </w:tc>
        <w:tc>
          <w:tcPr/>
          <w:p>
            <w:pPr>
              <w:pStyle w:val="Compact"/>
            </w:pPr>
          </w:p>
        </w:tc>
      </w:tr>
      <w:tr>
        <w:tc>
          <w:tcPr/>
          <w:p>
            <w:pPr>
              <w:pStyle w:val="Compact"/>
            </w:pPr>
            <w:r>
              <w:t xml:space="preserve">COX2</w:t>
            </w:r>
          </w:p>
        </w:tc>
        <w:tc>
          <w:tcPr/>
          <w:p>
            <w:pPr>
              <w:pStyle w:val="Compact"/>
            </w:pPr>
            <w:r>
              <w:t xml:space="preserve">918</w:t>
            </w:r>
          </w:p>
        </w:tc>
        <w:tc>
          <w:tcPr/>
          <w:p>
            <w:pPr>
              <w:pStyle w:val="Compact"/>
            </w:pPr>
            <w:r>
              <w:t xml:space="preserve">264</w:t>
            </w:r>
          </w:p>
        </w:tc>
        <w:tc>
          <w:tcPr/>
          <w:p>
            <w:pPr>
              <w:pStyle w:val="Compact"/>
            </w:pPr>
            <w:r>
              <w:t xml:space="preserve">67</w:t>
            </w:r>
          </w:p>
        </w:tc>
        <w:tc>
          <w:tcPr/>
          <w:p>
            <w:pPr>
              <w:pStyle w:val="Compact"/>
            </w:pPr>
            <w:r>
              <w:t xml:space="preserve">0.964</w:t>
            </w:r>
          </w:p>
        </w:tc>
        <w:tc>
          <w:tcPr/>
          <w:p>
            <w:pPr>
              <w:pStyle w:val="Compact"/>
            </w:pPr>
            <w:r>
              <w:t xml:space="preserve">0.587</w:t>
            </w:r>
          </w:p>
        </w:tc>
        <w:tc>
          <w:tcPr/>
          <w:p>
            <w:pPr>
              <w:pStyle w:val="Compact"/>
            </w:pPr>
            <w:r>
              <w:t xml:space="preserve">[0.527, 0.645]</w:t>
            </w:r>
          </w:p>
        </w:tc>
        <w:tc>
          <w:tcPr/>
          <w:p>
            <w:pPr>
              <w:pStyle w:val="Compact"/>
            </w:pPr>
          </w:p>
        </w:tc>
      </w:tr>
      <w:tr>
        <w:tc>
          <w:tcPr/>
          <w:p>
            <w:pPr>
              <w:pStyle w:val="Compact"/>
            </w:pPr>
            <w:r>
              <w:t xml:space="preserve">D2</w:t>
            </w:r>
          </w:p>
        </w:tc>
        <w:tc>
          <w:tcPr/>
          <w:p>
            <w:pPr>
              <w:pStyle w:val="Compact"/>
            </w:pPr>
            <w:r>
              <w:t xml:space="preserve">2,880</w:t>
            </w:r>
          </w:p>
        </w:tc>
        <w:tc>
          <w:tcPr/>
          <w:p>
            <w:pPr>
              <w:pStyle w:val="Compact"/>
            </w:pPr>
            <w:r>
              <w:t xml:space="preserve">796</w:t>
            </w:r>
          </w:p>
        </w:tc>
        <w:tc>
          <w:tcPr/>
          <w:p>
            <w:pPr>
              <w:pStyle w:val="Compact"/>
            </w:pPr>
            <w:r>
              <w:t xml:space="preserve">341</w:t>
            </w:r>
          </w:p>
        </w:tc>
        <w:tc>
          <w:tcPr/>
          <w:p>
            <w:pPr>
              <w:pStyle w:val="Compact"/>
            </w:pPr>
            <w:r>
              <w:t xml:space="preserve">0.989</w:t>
            </w:r>
          </w:p>
        </w:tc>
        <w:tc>
          <w:tcPr/>
          <w:p>
            <w:pPr>
              <w:pStyle w:val="Compact"/>
            </w:pPr>
            <w:r>
              <w:t xml:space="preserve">0.580</w:t>
            </w:r>
          </w:p>
        </w:tc>
        <w:tc>
          <w:tcPr/>
          <w:p>
            <w:pPr>
              <w:pStyle w:val="Compact"/>
            </w:pPr>
            <w:r>
              <w:t xml:space="preserve">[0.546, 0.614]</w:t>
            </w:r>
          </w:p>
        </w:tc>
        <w:tc>
          <w:tcPr/>
          <w:p>
            <w:pPr>
              <w:pStyle w:val="Compact"/>
            </w:pPr>
          </w:p>
        </w:tc>
      </w:tr>
      <w:tr>
        <w:tc>
          <w:tcPr/>
          <w:p>
            <w:pPr>
              <w:pStyle w:val="Compact"/>
            </w:pPr>
            <w:r>
              <w:t xml:space="preserve">SIRT1</w:t>
            </w:r>
          </w:p>
        </w:tc>
        <w:tc>
          <w:tcPr/>
          <w:p>
            <w:pPr>
              <w:pStyle w:val="Compact"/>
            </w:pPr>
            <w:r>
              <w:t xml:space="preserve">134</w:t>
            </w:r>
          </w:p>
        </w:tc>
        <w:tc>
          <w:tcPr/>
          <w:p>
            <w:pPr>
              <w:pStyle w:val="Compact"/>
            </w:pPr>
            <w:r>
              <w:t xml:space="preserve">28</w:t>
            </w:r>
          </w:p>
        </w:tc>
        <w:tc>
          <w:tcPr/>
          <w:p>
            <w:pPr>
              <w:pStyle w:val="Compact"/>
            </w:pPr>
            <w:r>
              <w:t xml:space="preserve">20</w:t>
            </w:r>
          </w:p>
        </w:tc>
        <w:tc>
          <w:tcPr/>
          <w:p>
            <w:pPr>
              <w:pStyle w:val="Compact"/>
            </w:pPr>
            <w:r>
              <w:t xml:space="preserve">0.529</w:t>
            </w:r>
          </w:p>
        </w:tc>
        <w:tc>
          <w:tcPr/>
          <w:p>
            <w:pPr>
              <w:pStyle w:val="Compact"/>
            </w:pPr>
            <w:r>
              <w:t xml:space="preserve">0.464</w:t>
            </w:r>
          </w:p>
        </w:tc>
        <w:tc>
          <w:tcPr/>
          <w:p>
            <w:pPr>
              <w:pStyle w:val="Compact"/>
            </w:pPr>
            <w:r>
              <w:t xml:space="preserve">[0.295, 0.642]</w:t>
            </w:r>
          </w:p>
        </w:tc>
        <w:tc>
          <w:tcPr/>
          <w:p>
            <w:pPr>
              <w:pStyle w:val="Compact"/>
            </w:pPr>
          </w:p>
        </w:tc>
      </w:tr>
      <w:tr>
        <w:tc>
          <w:tcPr/>
          <w:p>
            <w:pPr>
              <w:pStyle w:val="Compact"/>
            </w:pPr>
            <w:r>
              <w:t xml:space="preserve">mGluR5</w:t>
            </w:r>
          </w:p>
        </w:tc>
        <w:tc>
          <w:tcPr/>
          <w:p>
            <w:pPr>
              <w:pStyle w:val="Compact"/>
            </w:pPr>
            <w:r>
              <w:t xml:space="preserve">975</w:t>
            </w:r>
          </w:p>
        </w:tc>
        <w:tc>
          <w:tcPr/>
          <w:p>
            <w:pPr>
              <w:pStyle w:val="Compact"/>
            </w:pPr>
            <w:r>
              <w:t xml:space="preserve">225</w:t>
            </w:r>
          </w:p>
        </w:tc>
        <w:tc>
          <w:tcPr/>
          <w:p>
            <w:pPr>
              <w:pStyle w:val="Compact"/>
            </w:pPr>
            <w:r>
              <w:t xml:space="preserve">106</w:t>
            </w:r>
          </w:p>
        </w:tc>
        <w:tc>
          <w:tcPr/>
          <w:p>
            <w:pPr>
              <w:pStyle w:val="Compact"/>
            </w:pPr>
            <w:r>
              <w:t xml:space="preserve">0.995</w:t>
            </w:r>
          </w:p>
        </w:tc>
        <w:tc>
          <w:tcPr/>
          <w:p>
            <w:pPr>
              <w:pStyle w:val="Compact"/>
            </w:pPr>
            <w:r>
              <w:t xml:space="preserve">0.444</w:t>
            </w:r>
          </w:p>
        </w:tc>
        <w:tc>
          <w:tcPr/>
          <w:p>
            <w:pPr>
              <w:pStyle w:val="Compact"/>
            </w:pPr>
            <w:r>
              <w:t xml:space="preserve">[0.381, 0.510]</w:t>
            </w:r>
          </w:p>
        </w:tc>
        <w:tc>
          <w:tcPr/>
          <w:p>
            <w:pPr>
              <w:pStyle w:val="Compact"/>
            </w:pPr>
          </w:p>
        </w:tc>
      </w:tr>
      <w:tr>
        <w:tc>
          <w:tcPr/>
          <w:p>
            <w:pPr>
              <w:pStyle w:val="Compact"/>
            </w:pPr>
            <w:r>
              <w:t xml:space="preserve">MT1</w:t>
            </w:r>
          </w:p>
        </w:tc>
        <w:tc>
          <w:tcPr/>
          <w:p>
            <w:pPr>
              <w:pStyle w:val="Compact"/>
            </w:pPr>
            <w:r>
              <w:t xml:space="preserve">545</w:t>
            </w:r>
          </w:p>
        </w:tc>
        <w:tc>
          <w:tcPr/>
          <w:p>
            <w:pPr>
              <w:pStyle w:val="Compact"/>
            </w:pPr>
            <w:r>
              <w:t xml:space="preserve">152</w:t>
            </w:r>
          </w:p>
        </w:tc>
        <w:tc>
          <w:tcPr/>
          <w:p>
            <w:pPr>
              <w:pStyle w:val="Compact"/>
            </w:pPr>
            <w:r>
              <w:t xml:space="preserve">48</w:t>
            </w:r>
          </w:p>
        </w:tc>
        <w:tc>
          <w:tcPr/>
          <w:p>
            <w:pPr>
              <w:pStyle w:val="Compact"/>
            </w:pPr>
            <w:r>
              <w:t xml:space="preserve">0.996</w:t>
            </w:r>
          </w:p>
        </w:tc>
        <w:tc>
          <w:tcPr/>
          <w:p>
            <w:pPr>
              <w:pStyle w:val="Compact"/>
            </w:pPr>
            <w:r>
              <w:t xml:space="preserve">0.283</w:t>
            </w:r>
          </w:p>
        </w:tc>
        <w:tc>
          <w:tcPr/>
          <w:p>
            <w:pPr>
              <w:pStyle w:val="Compact"/>
            </w:pPr>
            <w:r>
              <w:t xml:space="preserve">[0.217, 0.359]</w:t>
            </w:r>
          </w:p>
        </w:tc>
        <w:tc>
          <w:tcPr/>
          <w:p>
            <w:pPr>
              <w:pStyle w:val="Compact"/>
            </w:pPr>
          </w:p>
        </w:tc>
      </w:tr>
      <w:tr>
        <w:tc>
          <w:tcPr/>
          <w:p>
            <w:pPr>
              <w:pStyle w:val="Compact"/>
            </w:pPr>
            <w:r>
              <w:t xml:space="preserve">KEAP1</w:t>
            </w:r>
          </w:p>
        </w:tc>
        <w:tc>
          <w:tcPr/>
          <w:p>
            <w:pPr>
              <w:pStyle w:val="Compact"/>
            </w:pPr>
            <w:r>
              <w:t xml:space="preserve">97</w:t>
            </w:r>
          </w:p>
        </w:tc>
        <w:tc>
          <w:tcPr/>
          <w:p>
            <w:pPr>
              <w:pStyle w:val="Compact"/>
            </w:pPr>
            <w:r>
              <w:t xml:space="preserve">25</w:t>
            </w:r>
          </w:p>
        </w:tc>
        <w:tc>
          <w:tcPr/>
          <w:p>
            <w:pPr>
              <w:pStyle w:val="Compact"/>
            </w:pPr>
            <w:r>
              <w:t xml:space="preserve">15</w:t>
            </w:r>
          </w:p>
        </w:tc>
        <w:tc>
          <w:tcPr/>
          <w:p>
            <w:pPr>
              <w:pStyle w:val="Compact"/>
            </w:pPr>
            <w:r>
              <w:t xml:space="preserve">0.978</w:t>
            </w:r>
          </w:p>
        </w:tc>
        <w:tc>
          <w:tcPr/>
          <w:p>
            <w:pPr>
              <w:pStyle w:val="Compact"/>
            </w:pPr>
            <w:r>
              <w:t xml:space="preserve">0.240</w:t>
            </w:r>
          </w:p>
        </w:tc>
        <w:tc>
          <w:tcPr/>
          <w:p>
            <w:pPr>
              <w:pStyle w:val="Compact"/>
            </w:pPr>
            <w:r>
              <w:t xml:space="preserve">[0.115, 0.434]</w:t>
            </w:r>
          </w:p>
        </w:tc>
        <w:tc>
          <w:tcPr/>
          <w:p>
            <w:pPr>
              <w:pStyle w:val="Compact"/>
            </w:pPr>
          </w:p>
        </w:tc>
      </w:tr>
      <w:tr>
        <w:tc>
          <w:tcPr/>
          <w:p>
            <w:pPr>
              <w:pStyle w:val="Compact"/>
            </w:pPr>
            <w:r>
              <w:t xml:space="preserve">GluA2</w:t>
            </w:r>
          </w:p>
        </w:tc>
        <w:tc>
          <w:tcPr/>
          <w:p>
            <w:pPr>
              <w:pStyle w:val="Compact"/>
            </w:pPr>
            <w:r>
              <w:t xml:space="preserve">74</w:t>
            </w:r>
          </w:p>
        </w:tc>
        <w:tc>
          <w:tcPr/>
          <w:p>
            <w:pPr>
              <w:pStyle w:val="Compact"/>
            </w:pPr>
            <w:r>
              <w:t xml:space="preserve">23</w:t>
            </w:r>
          </w:p>
        </w:tc>
        <w:tc>
          <w:tcPr/>
          <w:p>
            <w:pPr>
              <w:pStyle w:val="Compact"/>
            </w:pPr>
            <w:r>
              <w:t xml:space="preserve">9</w:t>
            </w:r>
          </w:p>
        </w:tc>
        <w:tc>
          <w:tcPr/>
          <w:p>
            <w:pPr>
              <w:pStyle w:val="Compact"/>
            </w:pPr>
            <w:r>
              <w:t xml:space="preserve">0.816</w:t>
            </w:r>
          </w:p>
        </w:tc>
        <w:tc>
          <w:tcPr/>
          <w:p>
            <w:pPr>
              <w:pStyle w:val="Compact"/>
            </w:pPr>
            <w:r>
              <w:t xml:space="preserve">0.217</w:t>
            </w:r>
          </w:p>
        </w:tc>
        <w:tc>
          <w:tcPr/>
          <w:p>
            <w:pPr>
              <w:pStyle w:val="Compact"/>
            </w:pPr>
            <w:r>
              <w:t xml:space="preserve">[0.097, 0.419]</w:t>
            </w:r>
          </w:p>
        </w:tc>
        <w:tc>
          <w:tcPr/>
          <w:p>
            <w:pPr>
              <w:pStyle w:val="Compact"/>
            </w:pPr>
          </w:p>
        </w:tc>
      </w:tr>
    </w:tbl>
    <w:p>
      <w:pPr>
        <w:pStyle w:val="BodyText"/>
      </w:pPr>
      <w:r>
        <w:t xml:space="preserve">Pooled recall 12,325/15,609 = 0.790; median per-target 0.807; 19 of 36 targets at or above 0.80.</w:t>
      </w:r>
    </w:p>
    <w:bookmarkEnd w:id="30"/>
    <w:bookmarkStart w:id="31" w:name="Xbb850a7cd237e8b3fcb8f302c6b0df7c099cc3a"/>
    <w:p>
      <w:pPr>
        <w:pStyle w:val="Heading2"/>
      </w:pPr>
      <w:r>
        <w:t xml:space="preserve">Table 7. Falsification analysis: each claim paired with a null model</w:t>
      </w:r>
    </w:p>
    <w:p>
      <w:pPr>
        <w:pStyle w:val="FirstParagraph"/>
      </w:pPr>
      <w:r>
        <w:t xml:space="preserve">Every hypothesis was stated so that it could fail. Where predictive power was at issue, scoring used scaffold hold-out models that never saw the compounds they scored. A refuted hypothesis is reported as prominently as a confirmed one; the purpose of the exercise was to find failures.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Verdict</w:t>
            </w:r>
          </w:p>
        </w:tc>
        <w:tc>
          <w:tcPr/>
          <w:p>
            <w:pPr>
              <w:pStyle w:val="Compact"/>
            </w:pPr>
            <w:r>
              <w:t xml:space="preserve">Evidence</w:t>
            </w:r>
          </w:p>
        </w:tc>
      </w:tr>
      <w:tr>
        <w:tc>
          <w:tcPr/>
          <w:p>
            <w:pPr>
              <w:pStyle w:val="Compact"/>
            </w:pPr>
            <w:r>
              <w:t xml:space="preserve">H1 the disease score is informative</w:t>
            </w:r>
          </w:p>
        </w:tc>
        <w:tc>
          <w:tcPr/>
          <w:p>
            <w:pPr>
              <w:pStyle w:val="Compact"/>
            </w:pPr>
            <w:r>
              <w:rPr>
                <w:b/>
                <w:bCs/>
              </w:rPr>
              <w:t xml:space="preserve">SUPPORTED</w:t>
            </w:r>
          </w:p>
        </w:tc>
        <w:tc>
          <w:tcPr/>
          <w:p>
            <w:pPr>
              <w:pStyle w:val="Compact"/>
            </w:pPr>
            <w:r>
              <w:t xml:space="preserve">top-3 accuracy 0.794 vs permutation null 0.207 (p=0.005) and frequency null 0.548</w:t>
            </w:r>
          </w:p>
        </w:tc>
      </w:tr>
      <w:tr>
        <w:tc>
          <w:tcPr/>
          <w:p>
            <w:pPr>
              <w:pStyle w:val="Compact"/>
            </w:pPr>
            <w:r>
              <w:t xml:space="preserve">H2 the curated edge weights add value</w:t>
            </w:r>
          </w:p>
        </w:tc>
        <w:tc>
          <w:tcPr/>
          <w:p>
            <w:pPr>
              <w:pStyle w:val="Compact"/>
            </w:pPr>
            <w:r>
              <w:rPr>
                <w:b/>
                <w:bCs/>
              </w:rPr>
              <w:t xml:space="preserve">REFUTED</w:t>
            </w:r>
          </w:p>
        </w:tc>
        <w:tc>
          <w:tcPr/>
          <w:p>
            <w:pPr>
              <w:pStyle w:val="Compact"/>
            </w:pPr>
            <w:r>
              <w:t xml:space="preserve">curated 0.7943, uniform 0.7935, permuted 0.7922</w:t>
            </w:r>
          </w:p>
        </w:tc>
      </w:tr>
      <w:tr>
        <w:tc>
          <w:tcPr/>
          <w:p>
            <w:pPr>
              <w:pStyle w:val="Compact"/>
            </w:pPr>
            <w:r>
              <w:t xml:space="preserve">H3 BBB gating discriminates between diseases</w:t>
            </w:r>
          </w:p>
        </w:tc>
        <w:tc>
          <w:tcPr/>
          <w:p>
            <w:pPr>
              <w:pStyle w:val="Compact"/>
            </w:pPr>
            <w:r>
              <w:rPr>
                <w:b/>
                <w:bCs/>
              </w:rPr>
              <w:t xml:space="preserve">REFUTED (by construction)</w:t>
            </w:r>
          </w:p>
        </w:tc>
        <w:tc>
          <w:tcPr/>
          <w:p>
            <w:pPr>
              <w:pStyle w:val="Compact"/>
            </w:pPr>
            <w:r>
              <w:t xml:space="preserve">the gate multiplies every disease equally and cannot change their order</w:t>
            </w:r>
          </w:p>
        </w:tc>
      </w:tr>
      <w:tr>
        <w:tc>
          <w:tcPr/>
          <w:p>
            <w:pPr>
              <w:pStyle w:val="Compact"/>
            </w:pPr>
            <w:r>
              <w:t xml:space="preserve">H4 specificity transfers to novel chemistry</w:t>
            </w:r>
          </w:p>
        </w:tc>
        <w:tc>
          <w:tcPr/>
          <w:p>
            <w:pPr>
              <w:pStyle w:val="Compact"/>
            </w:pPr>
            <w:r>
              <w:rPr>
                <w:b/>
                <w:bCs/>
              </w:rPr>
              <w:t xml:space="preserve">SUPPORTED</w:t>
            </w:r>
          </w:p>
        </w:tc>
        <w:tc>
          <w:tcPr/>
          <w:p>
            <w:pPr>
              <w:pStyle w:val="Compact"/>
            </w:pPr>
            <w:r>
              <w:t xml:space="preserve">false-positive rate 0.051 on 59 distant compounds against 0.125 measured on library chemistry</w:t>
            </w:r>
          </w:p>
        </w:tc>
      </w:tr>
      <w:tr>
        <w:tc>
          <w:tcPr/>
          <w:p>
            <w:pPr>
              <w:pStyle w:val="Compact"/>
            </w:pPr>
            <w:r>
              <w:t xml:space="preserve">H5 read-across beats a frequency baseline</w:t>
            </w:r>
          </w:p>
        </w:tc>
        <w:tc>
          <w:tcPr/>
          <w:p>
            <w:pPr>
              <w:pStyle w:val="Compact"/>
            </w:pPr>
            <w:r>
              <w:rPr>
                <w:b/>
                <w:bCs/>
              </w:rPr>
              <w:t xml:space="preserve">SUPPORTED</w:t>
            </w:r>
          </w:p>
        </w:tc>
        <w:tc>
          <w:tcPr/>
          <w:p>
            <w:pPr>
              <w:pStyle w:val="Compact"/>
            </w:pPr>
            <w:r>
              <w:t xml:space="preserve">recall 0.970 against 0.060</w:t>
            </w:r>
          </w:p>
        </w:tc>
      </w:tr>
      <w:tr>
        <w:tc>
          <w:tcPr/>
          <w:p>
            <w:pPr>
              <w:pStyle w:val="Compact"/>
            </w:pPr>
            <w:r>
              <w:t xml:space="preserve">H6 the disease scores match real clinical indications</w:t>
            </w:r>
          </w:p>
        </w:tc>
        <w:tc>
          <w:tcPr/>
          <w:p>
            <w:pPr>
              <w:pStyle w:val="Compact"/>
            </w:pPr>
            <w:r>
              <w:rPr>
                <w:b/>
                <w:bCs/>
              </w:rPr>
              <w:t xml:space="preserve">WEAKENED</w:t>
            </w:r>
          </w:p>
        </w:tc>
        <w:tc>
          <w:tcPr/>
          <w:p>
            <w:pPr>
              <w:pStyle w:val="Compact"/>
            </w:pPr>
            <w:r>
              <w:t xml:space="preserve">top-3 accuracy 0.352 on 162 drugs never seen in training, against permutation null 0.145 (p=0.001) and frequency null 0.654</w:t>
            </w:r>
          </w:p>
        </w:tc>
      </w:tr>
      <w:tr>
        <w:tc>
          <w:tcPr/>
          <w:p>
            <w:pPr>
              <w:pStyle w:val="Compact"/>
            </w:pPr>
            <w:r>
              <w:t xml:space="preserve">H7 some panel targets are non-discriminative and explain the silent antiepileptics</w:t>
            </w:r>
          </w:p>
        </w:tc>
        <w:tc>
          <w:tcPr/>
          <w:p>
            <w:pPr>
              <w:pStyle w:val="Compact"/>
            </w:pPr>
            <w:r>
              <w:rPr>
                <w:b/>
                <w:bCs/>
              </w:rPr>
              <w:t xml:space="preserve">REFUTED</w:t>
            </w:r>
          </w:p>
        </w:tc>
        <w:tc>
          <w:tcPr/>
          <w:p>
            <w:pPr>
              <w:pStyle w:val="Compact"/>
            </w:pPr>
            <w:r>
              <w:t xml:space="preserve">none of 40 targets ranks below AUROC 0.70; the cause is the operating point, with median deployed sensitivity 0.77 and 7 targets under 0.50</w:t>
            </w:r>
          </w:p>
        </w:tc>
      </w:tr>
      <w:tr>
        <w:tc>
          <w:tcPr/>
          <w:p>
            <w:pPr>
              <w:pStyle w:val="Compact"/>
            </w:pPr>
            <w:r>
              <w:t xml:space="preserve">H8 engaged targets are independent observations</w:t>
            </w:r>
          </w:p>
        </w:tc>
        <w:tc>
          <w:tcPr/>
          <w:p>
            <w:pPr>
              <w:pStyle w:val="Compact"/>
            </w:pPr>
            <w:r>
              <w:rPr>
                <w:b/>
                <w:bCs/>
              </w:rPr>
              <w:t xml:space="preserve">REFUTED</w:t>
            </w:r>
          </w:p>
        </w:tc>
        <w:tc>
          <w:tcPr/>
          <w:p>
            <w:pPr>
              <w:pStyle w:val="Compact"/>
            </w:pPr>
            <w:r>
              <w:t xml:space="preserve">34 targets fire across approved drugs but span only 13 independent directions; 6 homologous pairs correlate above 0.5</w:t>
            </w:r>
          </w:p>
        </w:tc>
      </w:tr>
    </w:tbl>
    <w:bookmarkEnd w:id="31"/>
    <w:bookmarkStart w:id="32" w:name="Xb37c82045d53d631fe9ed7d1b97b89e47020e2f"/>
    <w:p>
      <w:pPr>
        <w:pStyle w:val="Heading2"/>
      </w:pPr>
      <w:r>
        <w:t xml:space="preserve">Table 8. Recovery of approved clinical indications, by condition</w:t>
      </w:r>
    </w:p>
    <w:p>
      <w:pPr>
        <w:pStyle w:val="FirstParagraph"/>
      </w:pPr>
      <w:r>
        <w:t xml:space="preserve">Ground truth is ChEMBL’s drug_indication table restricted to phase 4, mapped to the panel through a keyword list fixed before any prediction was computed.</w:t>
      </w:r>
      <w:r>
        <w:t xml:space="preserve"> </w:t>
      </w:r>
      <w:r>
        <w:t xml:space="preserve">‘Ranking only’</w:t>
      </w:r>
      <w:r>
        <w:t xml:space="preserve"> </w:t>
      </w:r>
      <w:r>
        <w:t xml:space="preserve">removes the reporting threshold, separating the ability to rank conditions from the decision to stay silent.</w:t>
      </w:r>
      <w:r>
        <w:t xml:space="preserve"> </w:t>
      </w:r>
      <w:r>
        <w:t xml:space="preserve">‘Silent’</w:t>
      </w:r>
      <w:r>
        <w:t xml:space="preserve"> </w:t>
      </w:r>
      <w:r>
        <w:t xml:space="preserve">counts drugs for which no condition reached the reporting threshold.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Indication</w:t>
            </w:r>
          </w:p>
        </w:tc>
        <w:tc>
          <w:tcPr/>
          <w:p>
            <w:pPr>
              <w:pStyle w:val="Compact"/>
            </w:pPr>
            <w:r>
              <w:t xml:space="preserve">Drugs</w:t>
            </w:r>
          </w:p>
        </w:tc>
        <w:tc>
          <w:tcPr/>
          <w:p>
            <w:pPr>
              <w:pStyle w:val="Compact"/>
            </w:pPr>
            <w:r>
              <w:t xml:space="preserve">Recovered in top 3</w:t>
            </w:r>
          </w:p>
        </w:tc>
        <w:tc>
          <w:tcPr/>
          <w:p>
            <w:pPr>
              <w:pStyle w:val="Compact"/>
            </w:pPr>
            <w:r>
              <w:t xml:space="preserve">Ranking only</w:t>
            </w:r>
          </w:p>
        </w:tc>
        <w:tc>
          <w:tcPr/>
          <w:p>
            <w:pPr>
              <w:pStyle w:val="Compact"/>
            </w:pPr>
            <w:r>
              <w:t xml:space="preserve">Silent</w:t>
            </w:r>
          </w:p>
        </w:tc>
      </w:tr>
      <w:tr>
        <w:tc>
          <w:tcPr/>
          <w:p>
            <w:pPr>
              <w:pStyle w:val="Compact"/>
            </w:pPr>
            <w:r>
              <w:t xml:space="preserve">Alzheimer’s disease</w:t>
            </w:r>
          </w:p>
        </w:tc>
        <w:tc>
          <w:tcPr/>
          <w:p>
            <w:pPr>
              <w:pStyle w:val="Compact"/>
            </w:pPr>
            <w:r>
              <w:t xml:space="preserve">10</w:t>
            </w:r>
          </w:p>
        </w:tc>
        <w:tc>
          <w:tcPr/>
          <w:p>
            <w:pPr>
              <w:pStyle w:val="Compact"/>
            </w:pPr>
            <w:r>
              <w:t xml:space="preserve">0.200</w:t>
            </w:r>
          </w:p>
        </w:tc>
        <w:tc>
          <w:tcPr/>
          <w:p>
            <w:pPr>
              <w:pStyle w:val="Compact"/>
            </w:pPr>
            <w:r>
              <w:t xml:space="preserve">0.800</w:t>
            </w:r>
          </w:p>
        </w:tc>
        <w:tc>
          <w:tcPr/>
          <w:p>
            <w:pPr>
              <w:pStyle w:val="Compact"/>
            </w:pPr>
            <w:r>
              <w:t xml:space="preserve">5</w:t>
            </w:r>
          </w:p>
        </w:tc>
      </w:tr>
      <w:tr>
        <w:tc>
          <w:tcPr/>
          <w:p>
            <w:pPr>
              <w:pStyle w:val="Compact"/>
            </w:pPr>
            <w:r>
              <w:t xml:space="preserve">Parkinson’s disease</w:t>
            </w:r>
          </w:p>
        </w:tc>
        <w:tc>
          <w:tcPr/>
          <w:p>
            <w:pPr>
              <w:pStyle w:val="Compact"/>
            </w:pPr>
            <w:r>
              <w:t xml:space="preserve">39</w:t>
            </w:r>
          </w:p>
        </w:tc>
        <w:tc>
          <w:tcPr/>
          <w:p>
            <w:pPr>
              <w:pStyle w:val="Compact"/>
            </w:pPr>
            <w:r>
              <w:t xml:space="preserve">0.154</w:t>
            </w:r>
          </w:p>
        </w:tc>
        <w:tc>
          <w:tcPr/>
          <w:p>
            <w:pPr>
              <w:pStyle w:val="Compact"/>
            </w:pPr>
            <w:r>
              <w:t xml:space="preserve">0.538</w:t>
            </w:r>
          </w:p>
        </w:tc>
        <w:tc>
          <w:tcPr/>
          <w:p>
            <w:pPr>
              <w:pStyle w:val="Compact"/>
            </w:pPr>
            <w:r>
              <w:t xml:space="preserve">16</w:t>
            </w:r>
          </w:p>
        </w:tc>
      </w:tr>
      <w:tr>
        <w:tc>
          <w:tcPr/>
          <w:p>
            <w:pPr>
              <w:pStyle w:val="Compact"/>
            </w:pPr>
            <w:r>
              <w:t xml:space="preserve">Depression / anxiety</w:t>
            </w:r>
          </w:p>
        </w:tc>
        <w:tc>
          <w:tcPr/>
          <w:p>
            <w:pPr>
              <w:pStyle w:val="Compact"/>
            </w:pPr>
            <w:r>
              <w:t xml:space="preserve">113</w:t>
            </w:r>
          </w:p>
        </w:tc>
        <w:tc>
          <w:tcPr/>
          <w:p>
            <w:pPr>
              <w:pStyle w:val="Compact"/>
            </w:pPr>
            <w:r>
              <w:t xml:space="preserve">0.611</w:t>
            </w:r>
          </w:p>
        </w:tc>
        <w:tc>
          <w:tcPr/>
          <w:p>
            <w:pPr>
              <w:pStyle w:val="Compact"/>
            </w:pPr>
            <w:r>
              <w:t xml:space="preserve">0.779</w:t>
            </w:r>
          </w:p>
        </w:tc>
        <w:tc>
          <w:tcPr/>
          <w:p>
            <w:pPr>
              <w:pStyle w:val="Compact"/>
            </w:pPr>
            <w:r>
              <w:t xml:space="preserve">30</w:t>
            </w:r>
          </w:p>
        </w:tc>
      </w:tr>
      <w:tr>
        <w:tc>
          <w:tcPr/>
          <w:p>
            <w:pPr>
              <w:pStyle w:val="Compact"/>
            </w:pPr>
            <w:r>
              <w:t xml:space="preserve">Psychosis / schizophrenia</w:t>
            </w:r>
          </w:p>
        </w:tc>
        <w:tc>
          <w:tcPr/>
          <w:p>
            <w:pPr>
              <w:pStyle w:val="Compact"/>
            </w:pPr>
            <w:r>
              <w:t xml:space="preserve">73</w:t>
            </w:r>
          </w:p>
        </w:tc>
        <w:tc>
          <w:tcPr/>
          <w:p>
            <w:pPr>
              <w:pStyle w:val="Compact"/>
            </w:pPr>
            <w:r>
              <w:t xml:space="preserve">0.644</w:t>
            </w:r>
          </w:p>
        </w:tc>
        <w:tc>
          <w:tcPr/>
          <w:p>
            <w:pPr>
              <w:pStyle w:val="Compact"/>
            </w:pPr>
            <w:r>
              <w:t xml:space="preserve">0.740</w:t>
            </w:r>
          </w:p>
        </w:tc>
        <w:tc>
          <w:tcPr/>
          <w:p>
            <w:pPr>
              <w:pStyle w:val="Compact"/>
            </w:pPr>
            <w:r>
              <w:t xml:space="preserve">14</w:t>
            </w:r>
          </w:p>
        </w:tc>
      </w:tr>
      <w:tr>
        <w:tc>
          <w:tcPr/>
          <w:p>
            <w:pPr>
              <w:pStyle w:val="Compact"/>
            </w:pPr>
            <w:r>
              <w:t xml:space="preserve">Addiction</w:t>
            </w:r>
          </w:p>
        </w:tc>
        <w:tc>
          <w:tcPr/>
          <w:p>
            <w:pPr>
              <w:pStyle w:val="Compact"/>
            </w:pPr>
            <w:r>
              <w:t xml:space="preserve">17</w:t>
            </w:r>
          </w:p>
        </w:tc>
        <w:tc>
          <w:tcPr/>
          <w:p>
            <w:pPr>
              <w:pStyle w:val="Compact"/>
            </w:pPr>
            <w:r>
              <w:t xml:space="preserve">0.529</w:t>
            </w:r>
          </w:p>
        </w:tc>
        <w:tc>
          <w:tcPr/>
          <w:p>
            <w:pPr>
              <w:pStyle w:val="Compact"/>
            </w:pPr>
            <w:r>
              <w:t xml:space="preserve">0.588</w:t>
            </w:r>
          </w:p>
        </w:tc>
        <w:tc>
          <w:tcPr/>
          <w:p>
            <w:pPr>
              <w:pStyle w:val="Compact"/>
            </w:pPr>
            <w:r>
              <w:t xml:space="preserve">5</w:t>
            </w:r>
          </w:p>
        </w:tc>
      </w:tr>
      <w:tr>
        <w:tc>
          <w:tcPr/>
          <w:p>
            <w:pPr>
              <w:pStyle w:val="Compact"/>
            </w:pPr>
            <w:r>
              <w:t xml:space="preserve">ADHD</w:t>
            </w:r>
          </w:p>
        </w:tc>
        <w:tc>
          <w:tcPr/>
          <w:p>
            <w:pPr>
              <w:pStyle w:val="Compact"/>
            </w:pPr>
            <w:r>
              <w:t xml:space="preserve">31</w:t>
            </w:r>
          </w:p>
        </w:tc>
        <w:tc>
          <w:tcPr/>
          <w:p>
            <w:pPr>
              <w:pStyle w:val="Compact"/>
            </w:pPr>
            <w:r>
              <w:t xml:space="preserve">0.226</w:t>
            </w:r>
          </w:p>
        </w:tc>
        <w:tc>
          <w:tcPr/>
          <w:p>
            <w:pPr>
              <w:pStyle w:val="Compact"/>
            </w:pPr>
            <w:r>
              <w:t xml:space="preserve">0.258</w:t>
            </w:r>
          </w:p>
        </w:tc>
        <w:tc>
          <w:tcPr/>
          <w:p>
            <w:pPr>
              <w:pStyle w:val="Compact"/>
            </w:pPr>
            <w:r>
              <w:t xml:space="preserve">16</w:t>
            </w:r>
          </w:p>
        </w:tc>
      </w:tr>
      <w:tr>
        <w:tc>
          <w:tcPr/>
          <w:p>
            <w:pPr>
              <w:pStyle w:val="Compact"/>
            </w:pPr>
            <w:r>
              <w:t xml:space="preserve">Chronic pain</w:t>
            </w:r>
          </w:p>
        </w:tc>
        <w:tc>
          <w:tcPr/>
          <w:p>
            <w:pPr>
              <w:pStyle w:val="Compact"/>
            </w:pPr>
            <w:r>
              <w:t xml:space="preserve">144</w:t>
            </w:r>
          </w:p>
        </w:tc>
        <w:tc>
          <w:tcPr/>
          <w:p>
            <w:pPr>
              <w:pStyle w:val="Compact"/>
            </w:pPr>
            <w:r>
              <w:t xml:space="preserve">0.229</w:t>
            </w:r>
          </w:p>
        </w:tc>
        <w:tc>
          <w:tcPr/>
          <w:p>
            <w:pPr>
              <w:pStyle w:val="Compact"/>
            </w:pPr>
            <w:r>
              <w:t xml:space="preserve">0.229</w:t>
            </w:r>
          </w:p>
        </w:tc>
        <w:tc>
          <w:tcPr/>
          <w:p>
            <w:pPr>
              <w:pStyle w:val="Compact"/>
            </w:pPr>
            <w:r>
              <w:t xml:space="preserve">86</w:t>
            </w:r>
          </w:p>
        </w:tc>
      </w:tr>
      <w:tr>
        <w:tc>
          <w:tcPr/>
          <w:p>
            <w:pPr>
              <w:pStyle w:val="Compact"/>
            </w:pPr>
            <w:r>
              <w:t xml:space="preserve">Sleep / wakefulness</w:t>
            </w:r>
          </w:p>
        </w:tc>
        <w:tc>
          <w:tcPr/>
          <w:p>
            <w:pPr>
              <w:pStyle w:val="Compact"/>
            </w:pPr>
            <w:r>
              <w:t xml:space="preserve">27</w:t>
            </w:r>
          </w:p>
        </w:tc>
        <w:tc>
          <w:tcPr/>
          <w:p>
            <w:pPr>
              <w:pStyle w:val="Compact"/>
            </w:pPr>
            <w:r>
              <w:t xml:space="preserve">0.296</w:t>
            </w:r>
          </w:p>
        </w:tc>
        <w:tc>
          <w:tcPr/>
          <w:p>
            <w:pPr>
              <w:pStyle w:val="Compact"/>
            </w:pPr>
            <w:r>
              <w:t xml:space="preserve">0.296</w:t>
            </w:r>
          </w:p>
        </w:tc>
        <w:tc>
          <w:tcPr/>
          <w:p>
            <w:pPr>
              <w:pStyle w:val="Compact"/>
            </w:pPr>
            <w:r>
              <w:t xml:space="preserve">11</w:t>
            </w:r>
          </w:p>
        </w:tc>
      </w:tr>
      <w:tr>
        <w:tc>
          <w:tcPr/>
          <w:p>
            <w:pPr>
              <w:pStyle w:val="Compact"/>
            </w:pPr>
            <w:r>
              <w:t xml:space="preserve">Epilepsy</w:t>
            </w:r>
          </w:p>
        </w:tc>
        <w:tc>
          <w:tcPr/>
          <w:p>
            <w:pPr>
              <w:pStyle w:val="Compact"/>
            </w:pPr>
            <w:r>
              <w:t xml:space="preserve">58</w:t>
            </w:r>
          </w:p>
        </w:tc>
        <w:tc>
          <w:tcPr/>
          <w:p>
            <w:pPr>
              <w:pStyle w:val="Compact"/>
            </w:pPr>
            <w:r>
              <w:t xml:space="preserve">0.103</w:t>
            </w:r>
          </w:p>
        </w:tc>
        <w:tc>
          <w:tcPr/>
          <w:p>
            <w:pPr>
              <w:pStyle w:val="Compact"/>
            </w:pPr>
            <w:r>
              <w:t xml:space="preserve">0.224</w:t>
            </w:r>
          </w:p>
        </w:tc>
        <w:tc>
          <w:tcPr/>
          <w:p>
            <w:pPr>
              <w:pStyle w:val="Compact"/>
            </w:pPr>
            <w:r>
              <w:t xml:space="preserve">47</w:t>
            </w:r>
          </w:p>
        </w:tc>
      </w:tr>
    </w:tbl>
    <w:bookmarkEnd w:id="32"/>
    <w:bookmarkStart w:id="41" w:name="X44135fa92cdf5aef476a95c5ae602a20b32b2b0"/>
    <w:p>
      <w:pPr>
        <w:pStyle w:val="Heading2"/>
      </w:pPr>
      <w:r>
        <w:t xml:space="preserve">Table 9. Targeted expansion: candidates, audit and outcome</w:t>
      </w:r>
    </w:p>
    <w:p>
      <w:pPr>
        <w:pStyle w:val="FirstParagraph"/>
      </w:pPr>
      <w:r>
        <w:t xml:space="preserve">Candidates were selected because the clinical-indication test identified epilepsy and chronic pain as the conditions served worst, and a systematic ChEMBL query found these mechanisms clear both a volume bar of 800 measured activities and a source-diversity bar. Each was then audited on its own fetched data before training, and again on deployed specificity afterwards.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Candidate</w:t>
            </w:r>
          </w:p>
        </w:tc>
        <w:tc>
          <w:tcPr/>
          <w:p>
            <w:pPr>
              <w:pStyle w:val="Compact"/>
            </w:pPr>
            <w:r>
              <w:t xml:space="preserve">Actives</w:t>
            </w:r>
          </w:p>
        </w:tc>
        <w:tc>
          <w:tcPr/>
          <w:p>
            <w:pPr>
              <w:pStyle w:val="Compact"/>
            </w:pPr>
            <w:r>
              <w:t xml:space="preserve">Scaffolds</w:t>
            </w:r>
          </w:p>
        </w:tc>
        <w:tc>
          <w:tcPr/>
          <w:p>
            <w:pPr>
              <w:pStyle w:val="Compact"/>
            </w:pPr>
            <w:r>
              <w:t xml:space="preserve">Measured inactives</w:t>
            </w:r>
          </w:p>
        </w:tc>
        <w:tc>
          <w:tcPr/>
          <w:p>
            <w:pPr>
              <w:pStyle w:val="Compact"/>
            </w:pPr>
            <w:r>
              <w:t xml:space="preserve">AUROC vs inactives</w:t>
            </w:r>
          </w:p>
        </w:tc>
        <w:tc>
          <w:tcPr/>
          <w:p>
            <w:pPr>
              <w:pStyle w:val="Compact"/>
            </w:pPr>
            <w:r>
              <w:t xml:space="preserve">Sensitivity</w:t>
            </w:r>
          </w:p>
        </w:tc>
        <w:tc>
          <w:tcPr/>
          <w:p>
            <w:pPr>
              <w:pStyle w:val="Compact"/>
            </w:pPr>
            <w:r>
              <w:t xml:space="preserve">Outcome</w:t>
            </w:r>
          </w:p>
        </w:tc>
        <w:tc>
          <w:tcPr/>
          <w:p>
            <w:pPr>
              <w:pStyle w:val="Compact"/>
            </w:pPr>
            <w:r>
              <w:t xml:space="preserve">Reason if rejected</w:t>
            </w:r>
          </w:p>
        </w:tc>
      </w:tr>
      <w:tr>
        <w:tc>
          <w:tcPr/>
          <w:p>
            <w:pPr>
              <w:pStyle w:val="Compact"/>
            </w:pPr>
            <w:r>
              <w:t xml:space="preserve">a4b2nAChR</w:t>
            </w:r>
          </w:p>
        </w:tc>
        <w:tc>
          <w:tcPr/>
          <w:p>
            <w:pPr>
              <w:pStyle w:val="Compact"/>
            </w:pPr>
            <w:r>
              <w:t xml:space="preserve">796</w:t>
            </w:r>
          </w:p>
        </w:tc>
        <w:tc>
          <w:tcPr/>
          <w:p>
            <w:pPr>
              <w:pStyle w:val="Compact"/>
            </w:pPr>
            <w:r>
              <w:t xml:space="preserve">278</w:t>
            </w:r>
          </w:p>
        </w:tc>
        <w:tc>
          <w:tcPr/>
          <w:p>
            <w:pPr>
              <w:pStyle w:val="Compact"/>
            </w:pPr>
            <w:r>
              <w:t xml:space="preserve">146</w:t>
            </w:r>
          </w:p>
        </w:tc>
        <w:tc>
          <w:tcPr/>
          <w:p>
            <w:pPr>
              <w:pStyle w:val="Compact"/>
            </w:pPr>
            <w:r>
              <w:t xml:space="preserve">0.954</w:t>
            </w:r>
          </w:p>
        </w:tc>
        <w:tc>
          <w:tcPr/>
          <w:p>
            <w:pPr>
              <w:pStyle w:val="Compact"/>
            </w:pPr>
            <w:r>
              <w:t xml:space="preserve">0.849</w:t>
            </w:r>
          </w:p>
        </w:tc>
        <w:tc>
          <w:tcPr/>
          <w:p>
            <w:pPr>
              <w:pStyle w:val="Compact"/>
            </w:pPr>
            <w:r>
              <w:t xml:space="preserve">deployed</w:t>
            </w:r>
          </w:p>
        </w:tc>
        <w:tc>
          <w:tcPr/>
          <w:p>
            <w:pPr>
              <w:pStyle w:val="Compact"/>
            </w:pPr>
          </w:p>
        </w:tc>
      </w:tr>
      <w:tr>
        <w:tc>
          <w:tcPr/>
          <w:p>
            <w:pPr>
              <w:pStyle w:val="Compact"/>
            </w:pPr>
            <w:r>
              <w:t xml:space="preserve">a3b4nAChR</w:t>
            </w:r>
          </w:p>
        </w:tc>
        <w:tc>
          <w:tcPr/>
          <w:p>
            <w:pPr>
              <w:pStyle w:val="Compact"/>
            </w:pPr>
            <w:r>
              <w:t xml:space="preserve">398</w:t>
            </w:r>
          </w:p>
        </w:tc>
        <w:tc>
          <w:tcPr/>
          <w:p>
            <w:pPr>
              <w:pStyle w:val="Compact"/>
            </w:pPr>
            <w:r>
              <w:t xml:space="preserve">153</w:t>
            </w:r>
          </w:p>
        </w:tc>
        <w:tc>
          <w:tcPr/>
          <w:p>
            <w:pPr>
              <w:pStyle w:val="Compact"/>
            </w:pPr>
            <w:r>
              <w:t xml:space="preserve">187</w:t>
            </w:r>
          </w:p>
        </w:tc>
        <w:tc>
          <w:tcPr/>
          <w:p>
            <w:pPr>
              <w:pStyle w:val="Compact"/>
            </w:pPr>
            <w:r>
              <w:t xml:space="preserve">0.992</w:t>
            </w:r>
          </w:p>
        </w:tc>
        <w:tc>
          <w:tcPr/>
          <w:p>
            <w:pPr>
              <w:pStyle w:val="Compact"/>
            </w:pPr>
            <w:r>
              <w:t xml:space="preserve">0.975</w:t>
            </w:r>
          </w:p>
        </w:tc>
        <w:tc>
          <w:tcPr/>
          <w:p>
            <w:pPr>
              <w:pStyle w:val="Compact"/>
            </w:pPr>
            <w:r>
              <w:t xml:space="preserve">deployed</w:t>
            </w:r>
          </w:p>
        </w:tc>
        <w:tc>
          <w:tcPr/>
          <w:p>
            <w:pPr>
              <w:pStyle w:val="Compact"/>
            </w:pPr>
          </w:p>
        </w:tc>
      </w:tr>
      <w:tr>
        <w:tc>
          <w:tcPr/>
          <w:p>
            <w:pPr>
              <w:pStyle w:val="Compact"/>
            </w:pPr>
            <w:r>
              <w:t xml:space="preserve">Nav1_6</w:t>
            </w:r>
          </w:p>
        </w:tc>
        <w:tc>
          <w:tcPr/>
          <w:p>
            <w:pPr>
              <w:pStyle w:val="Compact"/>
            </w:pPr>
            <w:r>
              <w:t xml:space="preserve">681</w:t>
            </w:r>
          </w:p>
        </w:tc>
        <w:tc>
          <w:tcPr/>
          <w:p>
            <w:pPr>
              <w:pStyle w:val="Compact"/>
            </w:pPr>
            <w:r>
              <w:t xml:space="preserve">187</w:t>
            </w:r>
          </w:p>
        </w:tc>
        <w:tc>
          <w:tcPr/>
          <w:p>
            <w:pPr>
              <w:pStyle w:val="Compact"/>
            </w:pPr>
            <w:r>
              <w:t xml:space="preserve">45</w:t>
            </w:r>
          </w:p>
        </w:tc>
        <w:tc>
          <w:tcPr/>
          <w:p>
            <w:pPr>
              <w:pStyle w:val="Compact"/>
            </w:pPr>
            <w:r>
              <w:t xml:space="preserve">0.879</w:t>
            </w:r>
          </w:p>
        </w:tc>
        <w:tc>
          <w:tcPr/>
          <w:p>
            <w:pPr>
              <w:pStyle w:val="Compact"/>
            </w:pPr>
            <w:r>
              <w:t xml:space="preserve">0.591</w:t>
            </w:r>
          </w:p>
        </w:tc>
        <w:tc>
          <w:tcPr/>
          <w:p>
            <w:pPr>
              <w:pStyle w:val="Compact"/>
            </w:pPr>
            <w:r>
              <w:t xml:space="preserve">deployed</w:t>
            </w:r>
          </w:p>
        </w:tc>
        <w:tc>
          <w:tcPr/>
          <w:p>
            <w:pPr>
              <w:pStyle w:val="Compact"/>
            </w:pPr>
          </w:p>
        </w:tc>
      </w:tr>
      <w:tr>
        <w:tc>
          <w:tcPr/>
          <w:p>
            <w:pPr>
              <w:pStyle w:val="Compact"/>
            </w:pPr>
            <w:r>
              <w:t xml:space="preserve">Nav1_8</w:t>
            </w:r>
          </w:p>
        </w:tc>
        <w:tc>
          <w:tcPr/>
          <w:p>
            <w:pPr>
              <w:pStyle w:val="Compact"/>
            </w:pPr>
            <w:r>
              <w:t xml:space="preserve">501</w:t>
            </w:r>
          </w:p>
        </w:tc>
        <w:tc>
          <w:tcPr/>
          <w:p>
            <w:pPr>
              <w:pStyle w:val="Compact"/>
            </w:pPr>
            <w:r>
              <w:t xml:space="preserve">163</w:t>
            </w:r>
          </w:p>
        </w:tc>
        <w:tc>
          <w:tcPr/>
          <w:p>
            <w:pPr>
              <w:pStyle w:val="Compact"/>
            </w:pPr>
            <w:r>
              <w:t xml:space="preserve">39</w:t>
            </w:r>
          </w:p>
        </w:tc>
        <w:tc>
          <w:tcPr/>
          <w:p>
            <w:pPr>
              <w:pStyle w:val="Compact"/>
            </w:pPr>
            <w:r>
              <w:t xml:space="preserve">0.955</w:t>
            </w:r>
          </w:p>
        </w:tc>
        <w:tc>
          <w:tcPr/>
          <w:p>
            <w:pPr>
              <w:pStyle w:val="Compact"/>
            </w:pPr>
            <w:r>
              <w:t xml:space="preserve">0.901</w:t>
            </w:r>
          </w:p>
        </w:tc>
        <w:tc>
          <w:tcPr/>
          <w:p>
            <w:pPr>
              <w:pStyle w:val="Compact"/>
            </w:pPr>
            <w:r>
              <w:t xml:space="preserve">deployed</w:t>
            </w:r>
          </w:p>
        </w:tc>
        <w:tc>
          <w:tcPr/>
          <w:p>
            <w:pPr>
              <w:pStyle w:val="Compact"/>
            </w:pPr>
          </w:p>
        </w:tc>
      </w:tr>
      <w:tr>
        <w:tc>
          <w:tcPr/>
          <w:p>
            <w:pPr>
              <w:pStyle w:val="Compact"/>
            </w:pPr>
            <w:r>
              <w:t xml:space="preserve">Cav3_2</w:t>
            </w:r>
          </w:p>
        </w:tc>
        <w:tc>
          <w:tcPr/>
          <w:p>
            <w:pPr>
              <w:pStyle w:val="Compact"/>
            </w:pPr>
            <w:r>
              <w:t xml:space="preserve">633</w:t>
            </w:r>
          </w:p>
        </w:tc>
        <w:tc>
          <w:tcPr/>
          <w:p>
            <w:pPr>
              <w:pStyle w:val="Compact"/>
            </w:pPr>
            <w:r>
              <w:t xml:space="preserve">201</w:t>
            </w:r>
          </w:p>
        </w:tc>
        <w:tc>
          <w:tcPr/>
          <w:p>
            <w:pPr>
              <w:pStyle w:val="Compact"/>
            </w:pPr>
            <w:r>
              <w:t xml:space="preserve">33</w:t>
            </w:r>
          </w:p>
        </w:tc>
        <w:tc>
          <w:tcPr/>
          <w:p>
            <w:pPr>
              <w:pStyle w:val="Compact"/>
            </w:pPr>
            <w:r>
              <w:t xml:space="preserve">1.000</w:t>
            </w:r>
          </w:p>
        </w:tc>
        <w:tc>
          <w:tcPr/>
          <w:p>
            <w:pPr>
              <w:pStyle w:val="Compact"/>
            </w:pPr>
            <w:r>
              <w:t xml:space="preserve">0.997</w:t>
            </w:r>
          </w:p>
        </w:tc>
        <w:tc>
          <w:tcPr/>
          <w:p>
            <w:pPr>
              <w:pStyle w:val="Compact"/>
            </w:pPr>
            <w:r>
              <w:t xml:space="preserve">withdrawn after training</w:t>
            </w:r>
          </w:p>
        </w:tc>
        <w:tc>
          <w:tcPr/>
          <w:p>
            <w:pPr>
              <w:pStyle w:val="Compact"/>
            </w:pPr>
            <w:r>
              <w:t xml:space="preserve">active band compressed near zero, calibrated threshold 0.065, atenolol scores 0.084</w:t>
            </w:r>
          </w:p>
        </w:tc>
      </w:tr>
      <w:tr>
        <w:tc>
          <w:tcPr/>
          <w:p>
            <w:pPr>
              <w:pStyle w:val="Compact"/>
            </w:pPr>
            <w:r>
              <w:t xml:space="preserve">GABAA_a5</w:t>
            </w:r>
          </w:p>
        </w:tc>
        <w:tc>
          <w:tcPr/>
          <w:p>
            <w:pPr>
              <w:pStyle w:val="Compact"/>
            </w:pPr>
            <w:r>
              <w:t xml:space="preserve">672</w:t>
            </w:r>
          </w:p>
        </w:tc>
        <w:tc>
          <w:tcPr/>
          <w:p>
            <w:pPr>
              <w:pStyle w:val="Compact"/>
            </w:pPr>
            <w:r>
              <w:t xml:space="preserve">284</w:t>
            </w:r>
          </w:p>
        </w:tc>
        <w:tc>
          <w:tcPr/>
          <w:p>
            <w:pPr>
              <w:pStyle w:val="Compact"/>
            </w:pPr>
            <w:r>
              <w:t xml:space="preserve">4</w:t>
            </w:r>
          </w:p>
        </w:tc>
        <w:tc>
          <w:tcPr/>
          <w:p>
            <w:pPr>
              <w:pStyle w:val="Compact"/>
            </w:pPr>
            <w:r>
              <w:t xml:space="preserve">n/a</w:t>
            </w:r>
          </w:p>
        </w:tc>
        <w:tc>
          <w:tcPr/>
          <w:p>
            <w:pPr>
              <w:pStyle w:val="Compact"/>
            </w:pPr>
            <w:r>
              <w:t xml:space="preserve">n/a</w:t>
            </w:r>
          </w:p>
        </w:tc>
        <w:tc>
          <w:tcPr/>
          <w:p>
            <w:pPr>
              <w:pStyle w:val="Compact"/>
            </w:pPr>
            <w:r>
              <w:t xml:space="preserve">not trained</w:t>
            </w:r>
          </w:p>
        </w:tc>
        <w:tc>
          <w:tcPr/>
          <w:p>
            <w:pPr>
              <w:pStyle w:val="Compact"/>
            </w:pPr>
            <w:r>
              <w:t xml:space="preserve">only 4 measured inactives, cannot set a threshold honestly</w:t>
            </w:r>
          </w:p>
        </w:tc>
      </w:tr>
    </w:tbl>
    <w:bookmarkStart w:id="33" w:name="X9027440be274316944cc57f1af493358284f194"/>
    <w:p>
      <w:pPr>
        <w:pStyle w:val="Heading3"/>
      </w:pPr>
      <w:r>
        <w:t xml:space="preserve">Prospective validation: sensitivity under a scaffold hold-out</w:t>
      </w:r>
    </w:p>
    <w:p>
      <w:pPr>
        <w:pStyle w:val="FirstParagraph"/>
      </w:pPr>
      <w:r>
        <w:t xml:space="preserve">Cross-validated performance answers how well a model interpolates within the chemistry it has seen.</w:t>
      </w:r>
      <w:r>
        <w:t xml:space="preserve"> </w:t>
      </w:r>
      <w:r>
        <w:t xml:space="preserve">The question that matters for a triage tool is how it behaves on a chemical series it has never</w:t>
      </w:r>
      <w:r>
        <w:t xml:space="preserve"> </w:t>
      </w:r>
      <w:r>
        <w:t xml:space="preserve">seen. We therefore withheld 20% of Bemis-Murcko scaffolds for each target, retrained all 39</w:t>
      </w:r>
      <w:r>
        <w:t xml:space="preserve"> </w:t>
      </w:r>
      <w:r>
        <w:t xml:space="preserve">trainable binder models on the remaining scaffolds, and recalibrated each decision threshold using</w:t>
      </w:r>
      <w:r>
        <w:t xml:space="preserve"> </w:t>
      </w:r>
      <w:r>
        <w:t xml:space="preserve">only held-out negatives and an independent background sample, so no held-out compound influenced</w:t>
      </w:r>
      <w:r>
        <w:t xml:space="preserve"> </w:t>
      </w:r>
      <w:r>
        <w:t xml:space="preserve">either the model or the threshold that scores it. The evaluation set comprises</w:t>
      </w:r>
      <w:r>
        <w:t xml:space="preserve"> </w:t>
      </w:r>
      <w:r>
        <w:rPr>
          <w:b/>
          <w:bCs/>
        </w:rPr>
        <w:t xml:space="preserve">16,874 held-out</w:t>
      </w:r>
      <w:r>
        <w:rPr>
          <w:b/>
          <w:bCs/>
        </w:rPr>
        <w:t xml:space="preserve"> </w:t>
      </w:r>
      <w:r>
        <w:rPr>
          <w:b/>
          <w:bCs/>
        </w:rPr>
        <w:t xml:space="preserve">compounds across 6,435 withheld scaffolds</w:t>
      </w:r>
      <w:r>
        <w:t xml:space="preserve">.</w:t>
      </w:r>
    </w:p>
    <w:p>
      <w:pPr>
        <w:pStyle w:val="BodyText"/>
      </w:pPr>
      <w:r>
        <w:t xml:space="preserve">Pooled recall is</w:t>
      </w:r>
      <w:r>
        <w:t xml:space="preserve"> </w:t>
      </w:r>
      <w:r>
        <w:rPr>
          <w:b/>
          <w:bCs/>
        </w:rPr>
        <w:t xml:space="preserve">0.790 (95% CI 0.783 to 0.796)</w:t>
      </w:r>
      <w:r>
        <w:t xml:space="preserve">; the median per-target recall is 0.807 and 19 of</w:t>
      </w:r>
      <w:r>
        <w:t xml:space="preserve"> </w:t>
      </w:r>
      <w:r>
        <w:t xml:space="preserve">36 targets reach 0.80 or better (Figure 8, Table 6). Recall varies substantially and informatively</w:t>
      </w:r>
      <w:r>
        <w:t xml:space="preserve"> </w:t>
      </w:r>
      <w:r>
        <w:t xml:space="preserve">across the panel: mTOR (0.977), histamine H3 (0.926), PDE4B (0.923) and the dopamine transporter</w:t>
      </w:r>
      <w:r>
        <w:t xml:space="preserve"> </w:t>
      </w:r>
      <w:r>
        <w:t xml:space="preserve">(0.903) generalise well to unseen scaffolds, whereas five targets fall below 0.50 (SIRT1, mGluR5,</w:t>
      </w:r>
      <w:r>
        <w:t xml:space="preserve"> </w:t>
      </w:r>
      <w:r>
        <w:t xml:space="preserve">melatonin MT1, KEAP1 and AMPA GluA2), all of them endpoints with small measured-active sets.</w:t>
      </w:r>
    </w:p>
    <w:p>
      <w:pPr>
        <w:pStyle w:val="BodyText"/>
      </w:pPr>
      <w:r>
        <w:t xml:space="preserve">Three targets, orexin OX2, LRRK2 and NLRP3, produced thresholds that collapsed to the permitted</w:t>
      </w:r>
      <w:r>
        <w:t xml:space="preserve"> </w:t>
      </w:r>
      <w:r>
        <w:t xml:space="preserve">floor, meaning the model could not separate its actives from background chemistry at any cut. Their</w:t>
      </w:r>
      <w:r>
        <w:t xml:space="preserve"> </w:t>
      </w:r>
      <w:r>
        <w:t xml:space="preserve">nominally high recall is an artefact of a threshold near zero rather than evidence of</w:t>
      </w:r>
      <w:r>
        <w:t xml:space="preserve"> </w:t>
      </w:r>
      <w:r>
        <w:t xml:space="preserve">discrimination, and they are excluded from the pooled estimate and flagged in Table 6 rather than</w:t>
      </w:r>
      <w:r>
        <w:t xml:space="preserve"> </w:t>
      </w:r>
      <w:r>
        <w:t xml:space="preserve">being allowed to flatter the headline figure.</w:t>
      </w:r>
    </w:p>
    <w:bookmarkEnd w:id="33"/>
    <w:bookmarkStart w:id="34" w:name="X91dce0deeb887e10b19280bac3f91491ebe5e3c"/>
    <w:p>
      <w:pPr>
        <w:pStyle w:val="Heading3"/>
      </w:pPr>
      <w:r>
        <w:t xml:space="preserve">Prospective validation: specificity on 1000 non-CNS compounds</w:t>
      </w:r>
    </w:p>
    <w:p>
      <w:pPr>
        <w:pStyle w:val="FirstParagraph"/>
      </w:pPr>
      <w:r>
        <w:t xml:space="preserve">A tool that fires indiscriminately can achieve high recall while being useless, so specificity was</w:t>
      </w:r>
      <w:r>
        <w:t xml:space="preserve"> </w:t>
      </w:r>
      <w:r>
        <w:t xml:space="preserve">measured on a scale sufficient to bound it. We sampled 1000 compounds from the measured library that</w:t>
      </w:r>
      <w:r>
        <w:t xml:space="preserve"> </w:t>
      </w:r>
      <w:r>
        <w:t xml:space="preserve">carry no recorded activity at any modelled target, and scored them through the deployed pipeline.</w:t>
      </w:r>
      <w:r>
        <w:t xml:space="preserve"> </w:t>
      </w:r>
      <w:r>
        <w:rPr>
          <w:b/>
          <w:bCs/>
        </w:rPr>
        <w:t xml:space="preserve">875 of 1000 returned no actionable disease signal, a specificity of 0.875 (95% CI 0.853 to 0.894)</w:t>
      </w:r>
      <w:r>
        <w:t xml:space="preserve"> </w:t>
      </w:r>
      <w:r>
        <w:t xml:space="preserve">and a false-positive rate of 12.5% (Figure 9). An independently drawn replicate sample gave 12.3%,</w:t>
      </w:r>
      <w:r>
        <w:t xml:space="preserve"> </w:t>
      </w:r>
      <w:r>
        <w:t xml:space="preserve">so the estimate is stable. False positives concentrate in the neurodegenerative classes, with median</w:t>
      </w:r>
      <w:r>
        <w:t xml:space="preserve"> </w:t>
      </w:r>
      <w:r>
        <w:t xml:space="preserve">scores of 0.35 to 0.40, only just above the 0.30 actionable threshold, and 80 of the 125 fired on a</w:t>
      </w:r>
      <w:r>
        <w:t xml:space="preserve"> </w:t>
      </w:r>
      <w:r>
        <w:t xml:space="preserve">single condition rather than producing a diffuse profile.</w:t>
      </w:r>
    </w:p>
    <w:p>
      <w:pPr>
        <w:pStyle w:val="BodyText"/>
      </w:pPr>
      <w:r>
        <w:t xml:space="preserve">Two caveats bound the interpretation. These compounds are presumed inactive because no activity is</w:t>
      </w:r>
      <w:r>
        <w:t xml:space="preserve"> </w:t>
      </w:r>
      <w:r>
        <w:t xml:space="preserve">recorded, not proven inactive by measurement, so 0.875 is a lower bound on the true specificity.</w:t>
      </w:r>
      <w:r>
        <w:t xml:space="preserve"> </w:t>
      </w:r>
      <w:r>
        <w:t xml:space="preserve">Second, all sampled compounds fall inside the applicability domain because they are drawn from the</w:t>
      </w:r>
      <w:r>
        <w:t xml:space="preserve"> </w:t>
      </w:r>
      <w:r>
        <w:t xml:space="preserve">training library, so this test does not probe specificity on distant chemistry.</w:t>
      </w:r>
    </w:p>
    <w:p>
      <w:pPr>
        <w:pStyle w:val="BodyText"/>
      </w:pPr>
      <w:r>
        <w:t xml:space="preserve">Taken together the two tests place the deployed operating point at a sensitivity of 0.790 and a</w:t>
      </w:r>
      <w:r>
        <w:t xml:space="preserve"> </w:t>
      </w:r>
      <w:r>
        <w:t xml:space="preserve">specificity of 0.875, a balanced accuracy of 0.832 (Figure 10).</w:t>
      </w:r>
    </w:p>
    <w:bookmarkEnd w:id="34"/>
    <w:bookmarkStart w:id="35" w:name="validation-on-reference-compounds"/>
    <w:p>
      <w:pPr>
        <w:pStyle w:val="Heading3"/>
      </w:pPr>
      <w:r>
        <w:t xml:space="preserve">Validation on reference compounds</w:t>
      </w:r>
    </w:p>
    <w:p>
      <w:pPr>
        <w:pStyle w:val="FirstParagraph"/>
      </w:pPr>
      <w:r>
        <w:t xml:space="preserve">Across a panel of well-characterised CNS drugs the top predicted condition matched the known</w:t>
      </w:r>
      <w:r>
        <w:t xml:space="preserve"> </w:t>
      </w:r>
      <w:r>
        <w:t xml:space="preserve">indication for donepezil (Alzheimer’s disease), selegiline (Parkinson’s disease), fluoxetine</w:t>
      </w:r>
      <w:r>
        <w:t xml:space="preserve"> </w:t>
      </w:r>
      <w:r>
        <w:t xml:space="preserve">(depression), haloperidol (psychosis), morphine (chronic pain), methylphenidate (addiction and</w:t>
      </w:r>
      <w:r>
        <w:t xml:space="preserve"> </w:t>
      </w:r>
      <w:r>
        <w:t xml:space="preserve">attention deficit) and resveratrol (neuroprotection). Two acetylcholinesterase inhibitors of atypical</w:t>
      </w:r>
      <w:r>
        <w:t xml:space="preserve"> </w:t>
      </w:r>
      <w:r>
        <w:t xml:space="preserve">chemotype, rivastigmine and galantamine, were under-called to low magnitude rather than mis-assigned,</w:t>
      </w:r>
      <w:r>
        <w:t xml:space="preserve"> </w:t>
      </w:r>
      <w:r>
        <w:t xml:space="preserve">and were correctly flagged as low-confidence by the applicability-domain layer, which illustrates the</w:t>
      </w:r>
      <w:r>
        <w:t xml:space="preserve"> </w:t>
      </w:r>
      <w:r>
        <w:t xml:space="preserve">value of reporting uncertainty alongside every prediction. The decoy-aware receptor models recover</w:t>
      </w:r>
      <w:r>
        <w:t xml:space="preserve"> </w:t>
      </w:r>
      <w:r>
        <w:t xml:space="preserve">expected selectivity, for example haloperidol as a D2 and 5-HT2A binder and fluoxetine as a selective</w:t>
      </w:r>
      <w:r>
        <w:t xml:space="preserve"> </w:t>
      </w:r>
      <w:r>
        <w:t xml:space="preserve">serotonin-transporter binder, while non-CNS controls return no distinctive engagement.</w:t>
      </w:r>
    </w:p>
    <w:bookmarkEnd w:id="35"/>
    <w:bookmarkStart w:id="36" w:name="falsification-analysis"/>
    <w:p>
      <w:pPr>
        <w:pStyle w:val="Heading3"/>
      </w:pPr>
      <w:r>
        <w:t xml:space="preserve">Falsification analysis</w:t>
      </w:r>
    </w:p>
    <w:p>
      <w:pPr>
        <w:pStyle w:val="FirstParagraph"/>
      </w:pPr>
      <w:r>
        <w:t xml:space="preserve">Every result above was produced by investigators who wanted the tool to work. To counter that, each</w:t>
      </w:r>
      <w:r>
        <w:t xml:space="preserve"> </w:t>
      </w:r>
      <w:r>
        <w:t xml:space="preserve">central claim was restated so that it could fail and paired with a null model able to produce the</w:t>
      </w:r>
      <w:r>
        <w:t xml:space="preserve"> </w:t>
      </w:r>
      <w:r>
        <w:t xml:space="preserve">same apparent success by accident. Where predictive power was at issue, scoring used scaffold</w:t>
      </w:r>
      <w:r>
        <w:t xml:space="preserve"> </w:t>
      </w:r>
      <w:r>
        <w:t xml:space="preserve">hold-out models that never saw the compounds they scored. The analysis is versioned separately from</w:t>
      </w:r>
      <w:r>
        <w:t xml:space="preserve"> </w:t>
      </w:r>
      <w:r>
        <w:t xml:space="preserve">the validation results so that a refutation can never be mistaken for a confirmation (Table 7).</w:t>
      </w:r>
    </w:p>
    <w:p>
      <w:pPr>
        <w:pStyle w:val="BodyText"/>
      </w:pPr>
      <w:r>
        <w:rPr>
          <w:b/>
          <w:bCs/>
        </w:rPr>
        <w:t xml:space="preserve">The disease layer carries information.</w:t>
      </w:r>
      <w:r>
        <w:t xml:space="preserve"> </w:t>
      </w:r>
      <w:r>
        <w:t xml:space="preserve">Across held-out compounds the correct condition appears in</w:t>
      </w:r>
      <w:r>
        <w:t xml:space="preserve"> </w:t>
      </w:r>
      <w:r>
        <w:t xml:space="preserve">the top three predictions for 79.4% of cases, against 20.7% for a null that shuffles which disease</w:t>
      </w:r>
      <w:r>
        <w:t xml:space="preserve"> </w:t>
      </w:r>
      <w:r>
        <w:t xml:space="preserve">each target maps to (p = 0.005) and 54.8% for always answering with the three commonest conditions.</w:t>
      </w:r>
    </w:p>
    <w:p>
      <w:pPr>
        <w:pStyle w:val="BodyText"/>
      </w:pPr>
      <w:r>
        <w:rPr>
          <w:b/>
          <w:bCs/>
        </w:rPr>
        <w:t xml:space="preserve">The curated edge weights do not.</w:t>
      </w:r>
      <w:r>
        <w:t xml:space="preserve"> </w:t>
      </w:r>
      <w:r>
        <w:t xml:space="preserve">Recomputing the same predictions with uniform weights gives</w:t>
      </w:r>
      <w:r>
        <w:t xml:space="preserve"> </w:t>
      </w:r>
      <w:r>
        <w:t xml:space="preserve">0.7935 and with weights randomly permuted across edges 0.7922, against 0.7943 for the curated values,</w:t>
      </w:r>
      <w:r>
        <w:t xml:space="preserve"> </w:t>
      </w:r>
      <w:r>
        <w:t xml:space="preserve">a spread of 0.002. The information lies in which target connects to which condition, not in how</w:t>
      </w:r>
      <w:r>
        <w:t xml:space="preserve"> </w:t>
      </w:r>
      <w:r>
        <w:t xml:space="preserve">strongly. The weights are therefore described in this manuscript as a mechanistic prior and as graph</w:t>
      </w:r>
      <w:r>
        <w:t xml:space="preserve"> </w:t>
      </w:r>
      <w:r>
        <w:t xml:space="preserve">structure, not as tuned parameters, and the graph would be no less accurate without them.</w:t>
      </w:r>
    </w:p>
    <w:p>
      <w:pPr>
        <w:pStyle w:val="BodyText"/>
      </w:pPr>
      <w:r>
        <w:rPr>
          <w:b/>
          <w:bCs/>
        </w:rPr>
        <w:t xml:space="preserve">Blood-brain-barrier gating is a filter, not a discriminator.</w:t>
      </w:r>
      <w:r>
        <w:t xml:space="preserve"> </w:t>
      </w:r>
      <w:r>
        <w:t xml:space="preserve">The gate multiplies every condition</w:t>
      </w:r>
      <w:r>
        <w:t xml:space="preserve"> </w:t>
      </w:r>
      <w:r>
        <w:t xml:space="preserve">by the same probability and therefore cannot change which condition ranks first. It determines</w:t>
      </w:r>
      <w:r>
        <w:t xml:space="preserve"> </w:t>
      </w:r>
      <w:r>
        <w:t xml:space="preserve">whether anything is reported at all. Earlier wording implying that it sharpens the disease call</w:t>
      </w:r>
      <w:r>
        <w:t xml:space="preserve"> </w:t>
      </w:r>
      <w:r>
        <w:t xml:space="preserve">overstated its role and has been corrected throughout.</w:t>
      </w:r>
    </w:p>
    <w:p>
      <w:pPr>
        <w:pStyle w:val="BodyText"/>
      </w:pPr>
      <w:r>
        <w:rPr>
          <w:b/>
          <w:bCs/>
        </w:rPr>
        <w:t xml:space="preserve">Specificity transfers to distant chemistry.</w:t>
      </w:r>
      <w:r>
        <w:t xml:space="preserve"> </w:t>
      </w:r>
      <w:r>
        <w:t xml:space="preserve">On compounds drawn by random PubChem identifier,</w:t>
      </w:r>
      <w:r>
        <w:t xml:space="preserve"> </w:t>
      </w:r>
      <w:r>
        <w:t xml:space="preserve">independent of every set used to build the tool, the false-positive rate is 0.051 among those most</w:t>
      </w:r>
      <w:r>
        <w:t xml:space="preserve"> </w:t>
      </w:r>
      <w:r>
        <w:t xml:space="preserve">distant from training chemistry, against 0.125 measured on library compounds. The suspicion that the</w:t>
      </w:r>
      <w:r>
        <w:t xml:space="preserve"> </w:t>
      </w:r>
      <w:r>
        <w:t xml:space="preserve">headline specificity was an artefact of range restriction is refuted.</w:t>
      </w:r>
    </w:p>
    <w:p>
      <w:pPr>
        <w:pStyle w:val="BodyText"/>
      </w:pPr>
      <w:r>
        <w:rPr>
          <w:b/>
          <w:bCs/>
        </w:rPr>
        <w:t xml:space="preserve">Read-across is validated only in its intended regime.</w:t>
      </w:r>
      <w:r>
        <w:t xml:space="preserve"> </w:t>
      </w:r>
      <w:r>
        <w:t xml:space="preserve">It recovers the true target for 97.0% of</w:t>
      </w:r>
      <w:r>
        <w:t xml:space="preserve"> </w:t>
      </w:r>
      <w:r>
        <w:t xml:space="preserve">held-out compounds against 6.0% for a frequency baseline, with the query and any identical structure</w:t>
      </w:r>
      <w:r>
        <w:t xml:space="preserve"> </w:t>
      </w:r>
      <w:r>
        <w:t xml:space="preserve">excluded. This does not show that read-across works for a target class the index does not contain,</w:t>
      </w:r>
      <w:r>
        <w:t xml:space="preserve"> </w:t>
      </w:r>
      <w:r>
        <w:t xml:space="preserve">and the figure is not quoted as if it did.</w:t>
      </w:r>
    </w:p>
    <w:bookmarkEnd w:id="36"/>
    <w:bookmarkStart w:id="37" w:name="validation-against-clinical-indications"/>
    <w:p>
      <w:pPr>
        <w:pStyle w:val="Heading3"/>
      </w:pPr>
      <w:r>
        <w:t xml:space="preserve">Validation against clinical indications</w:t>
      </w:r>
    </w:p>
    <w:p>
      <w:pPr>
        <w:pStyle w:val="FirstParagraph"/>
      </w:pPr>
      <w:r>
        <w:t xml:space="preserve">The preceding test asks whether the disease layer recovers the condition a compound’s target maps to</w:t>
      </w:r>
      <w:r>
        <w:t xml:space="preserve"> </w:t>
      </w:r>
      <w:r>
        <w:t xml:space="preserve">under this project’s own map, which establishes internal consistency rather than external truth. A</w:t>
      </w:r>
      <w:r>
        <w:t xml:space="preserve"> </w:t>
      </w:r>
      <w:r>
        <w:t xml:space="preserve">stronger test uses ChEMBL’s drug_indication table restricted to phase 4, mapped to the panel through</w:t>
      </w:r>
      <w:r>
        <w:t xml:space="preserve"> </w:t>
      </w:r>
      <w:r>
        <w:t xml:space="preserve">a keyword list fixed before any prediction was computed and deliberately narrow, so that an unmatched</w:t>
      </w:r>
      <w:r>
        <w:t xml:space="preserve"> </w:t>
      </w:r>
      <w:r>
        <w:t xml:space="preserve">heading is discarded rather than coerced. Auditing that mapping rather than trusting it caught</w:t>
      </w:r>
      <w:r>
        <w:t xml:space="preserve"> </w:t>
      </w:r>
      <w:r>
        <w:t xml:space="preserve">Wolff-Parkinson-White syndrome, a cardiac condition, matching the substring</w:t>
      </w:r>
      <w:r>
        <w:t xml:space="preserve"> </w:t>
      </w:r>
      <w:r>
        <w:t xml:space="preserve">“parkinson”</w:t>
      </w:r>
      <w:r>
        <w:t xml:space="preserve">; it was</w:t>
      </w:r>
      <w:r>
        <w:t xml:space="preserve"> </w:t>
      </w:r>
      <w:r>
        <w:t xml:space="preserve">excluded.</w:t>
      </w:r>
    </w:p>
    <w:p>
      <w:pPr>
        <w:pStyle w:val="BodyText"/>
      </w:pPr>
      <w:r>
        <w:t xml:space="preserve">On 467 drugs the top-3 accuracy is 0.379. On the 162 whose exact structure appears nowhere in the</w:t>
      </w:r>
      <w:r>
        <w:t xml:space="preserve"> </w:t>
      </w:r>
      <w:r>
        <w:t xml:space="preserve">training chemistry it is 0.352, statistically indistinguishable from the 0.387 achieved on structures</w:t>
      </w:r>
      <w:r>
        <w:t xml:space="preserve"> </w:t>
      </w:r>
      <w:r>
        <w:t xml:space="preserve">the models have seen, which establishes that the result is prediction rather than memorisation. Both</w:t>
      </w:r>
      <w:r>
        <w:t xml:space="preserve"> </w:t>
      </w:r>
      <w:r>
        <w:t xml:space="preserve">exceed a permutation null of 0.145 decisively (p = 0.001). Neither exceeds a frequency null of 0.654,</w:t>
      </w:r>
      <w:r>
        <w:t xml:space="preserve"> </w:t>
      </w:r>
      <w:r>
        <w:t xml:space="preserve">because chronic pain, depression and psychosis account for most approved central-nervous-system</w:t>
      </w:r>
      <w:r>
        <w:t xml:space="preserve"> </w:t>
      </w:r>
      <w:r>
        <w:t xml:space="preserve">indications and a constant answer naming those three is right about two-thirds of the time. That</w:t>
      </w:r>
      <w:r>
        <w:t xml:space="preserve"> </w:t>
      </w:r>
      <w:r>
        <w:t xml:space="preserve">constant answer carries no information about any individual compound, but it is a real bar and the</w:t>
      </w:r>
      <w:r>
        <w:t xml:space="preserve"> </w:t>
      </w:r>
      <w:r>
        <w:t xml:space="preserve">tool does not clear it on this metric. Removing the reporting threshold and judging the ranking alone</w:t>
      </w:r>
      <w:r>
        <w:t xml:space="preserve"> </w:t>
      </w:r>
      <w:r>
        <w:t xml:space="preserve">raises accuracy to 0.490, which locates much of the gap in the decision to stay silent rather than in</w:t>
      </w:r>
      <w:r>
        <w:t xml:space="preserve"> </w:t>
      </w:r>
      <w:r>
        <w:t xml:space="preserve">the ranking itself. Per-indication recovery is reported in full (Table 8) because the aggregate</w:t>
      </w:r>
      <w:r>
        <w:t xml:space="preserve"> </w:t>
      </w:r>
      <w:r>
        <w:t xml:space="preserve">conceals a wide spread, from 0.644 for psychosis to 0.103 for epilepsy.</w:t>
      </w:r>
    </w:p>
    <w:bookmarkEnd w:id="37"/>
    <w:bookmarkStart w:id="38" w:name="X34715ae1b4c1228dc33d52a94dc00f7d217f596"/>
    <w:p>
      <w:pPr>
        <w:pStyle w:val="Heading3"/>
      </w:pPr>
      <w:r>
        <w:t xml:space="preserve">Deployed specificity and the withdrawal of an endpoint</w:t>
      </w:r>
    </w:p>
    <w:p>
      <w:pPr>
        <w:pStyle w:val="FirstParagraph"/>
      </w:pPr>
      <w:r>
        <w:t xml:space="preserve">Two gaps in the evidence above motivated a further test. The background-specificity calibration bounds</w:t>
      </w:r>
      <w:r>
        <w:t xml:space="preserve"> </w:t>
      </w:r>
      <w:r>
        <w:t xml:space="preserve">the false-positive rate on a random sample of the measured training library, which is drug-like</w:t>
      </w:r>
      <w:r>
        <w:t xml:space="preserve"> </w:t>
      </w:r>
      <w:r>
        <w:t xml:space="preserve">medicinal chemistry and therefore a weak negative set; a model can pass it and still fire on a sugar.</w:t>
      </w:r>
      <w:r>
        <w:t xml:space="preserve"> </w:t>
      </w:r>
      <w:r>
        <w:t xml:space="preserve">The scaffold hold-out analysis used genuinely random structures but scored the hold-out twins rather</w:t>
      </w:r>
      <w:r>
        <w:t xml:space="preserve"> </w:t>
      </w:r>
      <w:r>
        <w:t xml:space="preserve">than the models the server delivers. Every deployed binder model was therefore scored at its deployed</w:t>
      </w:r>
      <w:r>
        <w:t xml:space="preserve"> </w:t>
      </w:r>
      <w:r>
        <w:t xml:space="preserve">threshold against 600 random PubChem structures and against molecules no central-nervous-system</w:t>
      </w:r>
      <w:r>
        <w:t xml:space="preserve"> </w:t>
      </w:r>
      <w:r>
        <w:t xml:space="preserve">target plausibly binds.</w:t>
      </w:r>
    </w:p>
    <w:p>
      <w:pPr>
        <w:pStyle w:val="BodyText"/>
      </w:pPr>
      <w:r>
        <w:t xml:space="preserve">The median false-positive rate across the deployed panel is 0.0017. Four endpoints failed. Nav1.1</w:t>
      </w:r>
      <w:r>
        <w:t xml:space="preserve"> </w:t>
      </w:r>
      <w:r>
        <w:t xml:space="preserve">assigned binder probabilities of 0.806 to glucose, 0.809 to urea, 0.802 to acetate and 0.816 to</w:t>
      </w:r>
      <w:r>
        <w:t xml:space="preserve"> </w:t>
      </w:r>
      <w:r>
        <w:t xml:space="preserve">glycine against a threshold of 0.796, at an overall false-positive rate of 0.098 on random chemistry.</w:t>
      </w:r>
      <w:r>
        <w:t xml:space="preserve"> </w:t>
      </w:r>
      <w:r>
        <w:t xml:space="preserve">The failure is not one of calibration: every trivial control lies within a band of 0.015, and the</w:t>
      </w:r>
      <w:r>
        <w:t xml:space="preserve"> </w:t>
      </w:r>
      <w:r>
        <w:t xml:space="preserve">threshold that would restore 5% specificity still calls glycine a binder. This compressed-probability</w:t>
      </w:r>
      <w:r>
        <w:t xml:space="preserve"> </w:t>
      </w:r>
      <w:r>
        <w:t xml:space="preserve">pathology also explains that endpoint’s deployed sensitivity of 0.32 and its provenance, 78% of</w:t>
      </w:r>
      <w:r>
        <w:t xml:space="preserve"> </w:t>
      </w:r>
      <w:r>
        <w:t xml:space="preserve">measurements from a single assay. Nav1.1 was withdrawn from the panel. Cav3.2 was rejected before</w:t>
      </w:r>
      <w:r>
        <w:t xml:space="preserve"> </w:t>
      </w:r>
      <w:r>
        <w:t xml:space="preserve">deployment for the same pathology inverted, its calibrated threshold falling to 0.065 while atenolol</w:t>
      </w:r>
      <w:r>
        <w:t xml:space="preserve"> </w:t>
      </w:r>
      <w:r>
        <w:t xml:space="preserve">scored 0.084. SIRT1 and alpha3beta4 were re-thresholded at negligible cost to sensitivity. After</w:t>
      </w:r>
      <w:r>
        <w:t xml:space="preserve"> </w:t>
      </w:r>
      <w:r>
        <w:t xml:space="preserve">these decisions every deployed endpoint holds below 5% on random chemistry and none fires on a</w:t>
      </w:r>
      <w:r>
        <w:t xml:space="preserve"> </w:t>
      </w:r>
      <w:r>
        <w:t xml:space="preserve">trivial molecule.</w:t>
      </w:r>
    </w:p>
    <w:bookmarkEnd w:id="38"/>
    <w:bookmarkStart w:id="39" w:name="X7c33d6add72f0d989c9714e22141c8d0c51ebcb"/>
    <w:p>
      <w:pPr>
        <w:pStyle w:val="Heading3"/>
      </w:pPr>
      <w:r>
        <w:t xml:space="preserve">Targeted expansion, and a limit that more targets cannot remove</w:t>
      </w:r>
    </w:p>
    <w:p>
      <w:pPr>
        <w:pStyle w:val="FirstParagraph"/>
      </w:pPr>
      <w:r>
        <w:t xml:space="preserve">Because the clinical-indication test identified epilepsy and chronic pain as the conditions served</w:t>
      </w:r>
      <w:r>
        <w:t xml:space="preserve"> </w:t>
      </w:r>
      <w:r>
        <w:t xml:space="preserve">worst, ChEMBL was queried systematically for the mechanisms those conditions require. Six cleared</w:t>
      </w:r>
      <w:r>
        <w:t xml:space="preserve"> </w:t>
      </w:r>
      <w:r>
        <w:t xml:space="preserve">both a volume bar of 800 measured activities and a source-diversity bar; four survived audit and</w:t>
      </w:r>
      <w:r>
        <w:t xml:space="preserve"> </w:t>
      </w:r>
      <w:r>
        <w:t xml:space="preserve">training and are deployed: alpha4beta2 and alpha3beta4 nicotinic receptors, Nav1.6 and Nav1.8</w:t>
      </w:r>
      <w:r>
        <w:t xml:space="preserve"> </w:t>
      </w:r>
      <w:r>
        <w:t xml:space="preserve">(Table 9). Nicotine and varenicline, previously invisible to the tool, now register their known</w:t>
      </w:r>
      <w:r>
        <w:t xml:space="preserve"> </w:t>
      </w:r>
      <w:r>
        <w:t xml:space="preserve">nicotinic engagement, and recovery of approved indications for addiction rose from 0.412 to 0.529.</w:t>
      </w:r>
    </w:p>
    <w:p>
      <w:pPr>
        <w:pStyle w:val="BodyText"/>
      </w:pPr>
      <w:r>
        <w:t xml:space="preserve">Epilepsy did not improve, and the reason is instructive. In ChEMBL’s own measurements carbamazepine</w:t>
      </w:r>
      <w:r>
        <w:t xml:space="preserve"> </w:t>
      </w:r>
      <w:r>
        <w:t xml:space="preserve">scores pChEMBL 4.49 at Nav1.7 and lamotrigine 4.77, both labelled inactive; mexiletine reaches 4.93</w:t>
      </w:r>
      <w:r>
        <w:t xml:space="preserve"> </w:t>
      </w:r>
      <w:r>
        <w:t xml:space="preserve">and lacosamide 6.74, below the binder threshold of 7. The classic antiepileptic drugs are not</w:t>
      </w:r>
      <w:r>
        <w:t xml:space="preserve"> </w:t>
      </w:r>
      <w:r>
        <w:t xml:space="preserve">high-affinity sodium-channel ligands; they are use-dependent, state-dependent blockers acting at tens</w:t>
      </w:r>
      <w:r>
        <w:t xml:space="preserve"> </w:t>
      </w:r>
      <w:r>
        <w:t xml:space="preserve">of micromolar. Silence on carbamazepine is therefore the correct response to the measured data, and</w:t>
      </w:r>
      <w:r>
        <w:t xml:space="preserve"> </w:t>
      </w:r>
      <w:r>
        <w:t xml:space="preserve">no binding-affinity endpoint will recognise that pharmacological class. The epilepsy gap is a</w:t>
      </w:r>
      <w:r>
        <w:t xml:space="preserve"> </w:t>
      </w:r>
      <w:r>
        <w:t xml:space="preserve">mismatch between what the panel measures and how a class of drugs works, not a missing target, and it</w:t>
      </w:r>
      <w:r>
        <w:t xml:space="preserve"> </w:t>
      </w:r>
      <w:r>
        <w:t xml:space="preserve">is reported as such rather than as a coverage deficiency that further expansion would close.</w:t>
      </w:r>
    </w:p>
    <w:p>
      <w:pPr>
        <w:pStyle w:val="BodyText"/>
      </w:pPr>
      <w:r>
        <w:t xml:space="preserve">A related caution emerged from calibrating the new endpoints. Nav1.6 ranks its held-out actives</w:t>
      </w:r>
      <w:r>
        <w:t xml:space="preserve"> </w:t>
      </w:r>
      <w:r>
        <w:t xml:space="preserve">against random chemistry at an AUROC of 0.997 with a false-positive rate of 0.000, which appears to</w:t>
      </w:r>
      <w:r>
        <w:t xml:space="preserve"> </w:t>
      </w:r>
      <w:r>
        <w:t xml:space="preserve">license relaxing its threshold of 0.9605 and would raise sensitivity from 0.591 to 0.989. Tested</w:t>
      </w:r>
      <w:r>
        <w:t xml:space="preserve"> </w:t>
      </w:r>
      <w:r>
        <w:t xml:space="preserve">against hard negatives the proposal fails: compounds assayed against Nav1.6 and found inactive carry</w:t>
      </w:r>
      <w:r>
        <w:t xml:space="preserve"> </w:t>
      </w:r>
      <w:r>
        <w:t xml:space="preserve">a median probability of 0.532 and a 90th percentile of 0.951, overlapping a binder distribution whose</w:t>
      </w:r>
      <w:r>
        <w:t xml:space="preserve"> </w:t>
      </w:r>
      <w:r>
        <w:t xml:space="preserve">10th percentile is 0.907, and the relaxed threshold would call 73% of tested-inactive compounds</w:t>
      </w:r>
      <w:r>
        <w:t xml:space="preserve"> </w:t>
      </w:r>
      <w:r>
        <w:t xml:space="preserve">binders. A low false-positive rate on unrelated chemistry does not license a lower threshold, and</w:t>
      </w:r>
      <w:r>
        <w:t xml:space="preserve"> </w:t>
      </w:r>
      <w:r>
        <w:t xml:space="preserve">discrimination against random chemistry can be near-perfect while discrimination against the chemistry</w:t>
      </w:r>
      <w:r>
        <w:t xml:space="preserve"> </w:t>
      </w:r>
      <w:r>
        <w:t xml:space="preserve">that matters is poor. The dual constraint, measured inactives and background together, performs work</w:t>
      </w:r>
      <w:r>
        <w:t xml:space="preserve"> </w:t>
      </w:r>
      <w:r>
        <w:t xml:space="preserve">that neither term performs alone.</w:t>
      </w:r>
    </w:p>
    <w:bookmarkEnd w:id="39"/>
    <w:bookmarkStart w:id="40" w:name="X3c36f6fb1f532564cf71caf6752c60e3011071f"/>
    <w:p>
      <w:pPr>
        <w:pStyle w:val="Heading3"/>
      </w:pPr>
      <w:r>
        <w:t xml:space="preserve">Panel redundancy: how many independent mechanisms does an engaged compound show?</w:t>
      </w:r>
    </w:p>
    <w:p>
      <w:pPr>
        <w:pStyle w:val="FirstParagraph"/>
      </w:pPr>
      <w:r>
        <w:t xml:space="preserve">A panel that reports the number of engaged targets invites the reading that three engaged targets are</w:t>
      </w:r>
      <w:r>
        <w:t xml:space="preserve"> </w:t>
      </w:r>
      <w:r>
        <w:t xml:space="preserve">three independent pieces of evidence. For homologous proteins that reading is wrong, and the</w:t>
      </w:r>
      <w:r>
        <w:t xml:space="preserve"> </w:t>
      </w:r>
      <w:r>
        <w:t xml:space="preserve">magnitude of the error was measured rather than assumed. Across 400 approved drugs, dopamine D2 and</w:t>
      </w:r>
      <w:r>
        <w:t xml:space="preserve"> </w:t>
      </w:r>
      <w:r>
        <w:t xml:space="preserve">D3 fire together with a phi correlation of 0.813, and D3 fires for 78% of compounds engaging D2; the</w:t>
      </w:r>
      <w:r>
        <w:t xml:space="preserve"> </w:t>
      </w:r>
      <w:r>
        <w:t xml:space="preserve">mu and kappa opioid receptors correlate at 0.791, 5-HT2A and 5-HT7 at 0.699, and the dopamine and</w:t>
      </w:r>
      <w:r>
        <w:t xml:space="preserve"> </w:t>
      </w:r>
      <w:r>
        <w:t xml:space="preserve">noradrenaline transporters at 0.642, with the noradrenaline transporter firing for 84% of compounds</w:t>
      </w:r>
      <w:r>
        <w:t xml:space="preserve"> </w:t>
      </w:r>
      <w:r>
        <w:t xml:space="preserve">engaging the dopamine transporter. Of 49 targets, 34 fire at least once on that set, but a</w:t>
      </w:r>
      <w:r>
        <w:t xml:space="preserve"> </w:t>
      </w:r>
      <w:r>
        <w:t xml:space="preserve">correlation analysis of the firing pattern resolves only 13 independent directions. A raw count</w:t>
      </w:r>
      <w:r>
        <w:t xml:space="preserve"> </w:t>
      </w:r>
      <w:r>
        <w:t xml:space="preserve">therefore overstates the evidence by roughly a factor of two and a half.</w:t>
      </w:r>
    </w:p>
    <w:p>
      <w:pPr>
        <w:pStyle w:val="BodyText"/>
      </w:pPr>
      <w:r>
        <w:t xml:space="preserve">Co-firing is not itself an error. A genuinely promiscuous ligand should engage both members of a</w:t>
      </w:r>
      <w:r>
        <w:t xml:space="preserve"> </w:t>
      </w:r>
      <w:r>
        <w:t xml:space="preserve">homologous pair, and that is a true fact about the compound. Presenting it as corroboration is the</w:t>
      </w:r>
      <w:r>
        <w:t xml:space="preserve"> </w:t>
      </w:r>
      <w:r>
        <w:t xml:space="preserve">error. The server therefore groups engaged targets into six homology families, reports the number of</w:t>
      </w:r>
      <w:r>
        <w:t xml:space="preserve"> </w:t>
      </w:r>
      <w:r>
        <w:t xml:space="preserve">independent mechanisms alongside the number of targets, and states the measured correlation wherever</w:t>
      </w:r>
      <w:r>
        <w:t xml:space="preserve"> </w:t>
      </w:r>
      <w:r>
        <w:t xml:space="preserve">two members of a family both fire. Haloperidol, for example, is reported as five engaged targets but</w:t>
      </w:r>
      <w:r>
        <w:t xml:space="preserve"> </w:t>
      </w:r>
      <w:r>
        <w:t xml:space="preserve">approximately three independent mechanisms, with dopamine D2 and D3 and the two serotonin receptors</w:t>
      </w:r>
      <w:r>
        <w:t xml:space="preserve"> </w:t>
      </w:r>
      <w:r>
        <w:t xml:space="preserve">each labelled with their correlation. The correction propagates to the batch table and to both</w:t>
      </w:r>
      <w:r>
        <w:t xml:space="preserve"> </w:t>
      </w:r>
      <w:r>
        <w:t xml:space="preserve">machine-readable exports, so a stored result cannot be read as better corroborated than it is. The</w:t>
      </w:r>
      <w:r>
        <w:t xml:space="preserve"> </w:t>
      </w:r>
      <w:r>
        <w:t xml:space="preserve">nicotinic endpoints added in the targeted expansion are the least correlated family measured, at</w:t>
      </w:r>
      <w:r>
        <w:t xml:space="preserve"> </w:t>
      </w:r>
      <w:r>
        <w:t xml:space="preserve">0.35, so that expansion contributed more independent information than the panel average.</w:t>
      </w:r>
    </w:p>
    <w:p>
      <w:pPr>
        <w:pStyle w:val="BodyText"/>
      </w:pPr>
      <w:r>
        <w:t xml:space="preserve">The same analysis corrected an error in its own first formulation, which is recorded because it</w:t>
      </w:r>
      <w:r>
        <w:t xml:space="preserve"> </w:t>
      </w:r>
      <w:r>
        <w:t xml:space="preserve">bears on how such rates should be reported. Defining engagement as any positive target signal gave an</w:t>
      </w:r>
      <w:r>
        <w:t xml:space="preserve"> </w:t>
      </w:r>
      <w:r>
        <w:t xml:space="preserve">apparent rate of 60% of random compounds engaging at least one target. That figure is an artefact of</w:t>
      </w:r>
      <w:r>
        <w:t xml:space="preserve"> </w:t>
      </w:r>
      <w:r>
        <w:t xml:space="preserve">the definition rather than a property of the server: the six base-rate-enrichment endpoints return a</w:t>
      </w:r>
      <w:r>
        <w:t xml:space="preserve"> </w:t>
      </w:r>
      <w:r>
        <w:t xml:space="preserve">positive signal whenever the predicted probability merely exceeds the training base rate, which</w:t>
      </w:r>
      <w:r>
        <w:t xml:space="preserve"> </w:t>
      </w:r>
      <w:r>
        <w:t xml:space="preserve">occurs for about 12% of random compounds at each endpoint, whereas the 43 binder endpoints require a</w:t>
      </w:r>
      <w:r>
        <w:t xml:space="preserve"> </w:t>
      </w:r>
      <w:r>
        <w:t xml:space="preserve">calibrated threshold to be crossed and fire for about 0.6%. Pooling the two counts an ordinary</w:t>
      </w:r>
      <w:r>
        <w:t xml:space="preserve"> </w:t>
      </w:r>
      <w:r>
        <w:t xml:space="preserve">above-average probability as an event. The quantity that reaches the user is whether any condition</w:t>
      </w:r>
      <w:r>
        <w:t xml:space="preserve"> </w:t>
      </w:r>
      <w:r>
        <w:t xml:space="preserve">crosses the reporting threshold, which occurs for 11.5% of 600 random structures, against 55.0% of</w:t>
      </w:r>
      <w:r>
        <w:t xml:space="preserve"> </w:t>
      </w:r>
      <w:r>
        <w:t xml:space="preserve">approved drugs. That rate sits close to the 12.5% measured on library compounds and above the 5.1%</w:t>
      </w:r>
      <w:r>
        <w:t xml:space="preserve"> </w:t>
      </w:r>
      <w:r>
        <w:t xml:space="preserve">measured on chemistry most distant from training, as expected for a sample drawn without regard to</w:t>
      </w:r>
      <w:r>
        <w:t xml:space="preserve"> </w:t>
      </w:r>
      <w:r>
        <w:t xml:space="preserve">similarity. Correlation among the endpoints slightly reduces rather than inflates the aggregate: at</w:t>
      </w:r>
      <w:r>
        <w:t xml:space="preserve"> </w:t>
      </w:r>
      <w:r>
        <w:t xml:space="preserve">least one binder endpoint fires for 22.2% of random structures, against 23.9% for a hypothetical</w:t>
      </w:r>
      <w:r>
        <w:t xml:space="preserve"> </w:t>
      </w:r>
      <w:r>
        <w:t xml:space="preserve">panel with the same per-endpoint rates firing independently.</w:t>
      </w:r>
    </w:p>
    <w:bookmarkEnd w:id="40"/>
    <w:bookmarkEnd w:id="41"/>
    <w:bookmarkStart w:id="42" w:name="the-brainsafe-ai-server"/>
    <w:p>
      <w:pPr>
        <w:pStyle w:val="Heading2"/>
      </w:pPr>
      <w:r>
        <w:t xml:space="preserve">The BrainSafe AI server</w:t>
      </w:r>
    </w:p>
    <w:p>
      <w:pPr>
        <w:pStyle w:val="FirstParagraph"/>
      </w:pPr>
      <w:r>
        <w:rPr>
          <w:b/>
          <w:bCs/>
        </w:rPr>
        <w:t xml:space="preserve">Input.</w:t>
      </w:r>
      <w:r>
        <w:t xml:space="preserve"> </w:t>
      </w:r>
      <w:r>
        <w:t xml:space="preserve">The user types a compound name or pastes a SMILES string. Names are resolved through</w:t>
      </w:r>
      <w:r>
        <w:t xml:space="preserve"> </w:t>
      </w:r>
      <w:r>
        <w:t xml:space="preserve">PubChem; structures are standardised with RDKit (salt stripping, largest-fragment selection).</w:t>
      </w:r>
    </w:p>
    <w:p>
      <w:pPr>
        <w:pStyle w:val="BodyText"/>
      </w:pPr>
      <w:r>
        <w:rPr>
          <w:b/>
          <w:bCs/>
        </w:rPr>
        <w:t xml:space="preserve">Output.</w:t>
      </w:r>
      <w:r>
        <w:t xml:space="preserve"> </w:t>
      </w:r>
      <w:r>
        <w:t xml:space="preserve">Results are laid out as a single scrollable report (Figure 2): a summary card with the</w:t>
      </w:r>
      <w:r>
        <w:t xml:space="preserve"> </w:t>
      </w:r>
      <w:r>
        <w:t xml:space="preserve">rendered structure, the free-brain-exposure verdict and headline metrics; the mechanistic map</w:t>
      </w:r>
      <w:r>
        <w:t xml:space="preserve"> </w:t>
      </w:r>
      <w:r>
        <w:t xml:space="preserve">(Figure 3); a brain-relevance panel giving the exposure-scaled score for each condition with its driving</w:t>
      </w:r>
      <w:r>
        <w:t xml:space="preserve"> </w:t>
      </w:r>
      <w:r>
        <w:t xml:space="preserve">mechanism; a target-engagement table reporting each calibrated probability, its base rate and a</w:t>
      </w:r>
      <w:r>
        <w:t xml:space="preserve"> </w:t>
      </w:r>
      <w:r>
        <w:t xml:space="preserve">base-rate-aware call; a receptor-binding table; an ADME table; a physicochemical profile; and an</w:t>
      </w:r>
      <w:r>
        <w:t xml:space="preserve"> </w:t>
      </w:r>
      <w:r>
        <w:t xml:space="preserve">applicability and confidence card giving global and per-endpoint domain flags with the nearest</w:t>
      </w:r>
      <w:r>
        <w:t xml:space="preserve"> </w:t>
      </w:r>
      <w:r>
        <w:t xml:space="preserve">measured analogue. An About tab documents the methods, the model-selection and validation results,</w:t>
      </w:r>
      <w:r>
        <w:t xml:space="preserve"> </w:t>
      </w:r>
      <w:r>
        <w:t xml:space="preserve">and an explicit coverage panel stating which mechanisms and diseases the tool can and cannot yet</w:t>
      </w:r>
      <w:r>
        <w:t xml:space="preserve"> </w:t>
      </w:r>
      <w:r>
        <w:t xml:space="preserve">assess, so a null result is read as an honest unknown rather than as inactivity. A target-engagement</w:t>
      </w:r>
      <w:r>
        <w:t xml:space="preserve"> </w:t>
      </w:r>
      <w:r>
        <w:t xml:space="preserve">profile plots every modelled mechanism against its own reporting threshold; because each endpoint</w:t>
      </w:r>
      <w:r>
        <w:t xml:space="preserve"> </w:t>
      </w:r>
      <w:r>
        <w:t xml:space="preserve">carries a different base rate and a different cut, raw probabilities are not comparable between</w:t>
      </w:r>
      <w:r>
        <w:t xml:space="preserve"> </w:t>
      </w:r>
      <w:r>
        <w:t xml:space="preserve">endpoints, and what is plotted is the distance above each threshold, which is the quantity the</w:t>
      </w:r>
      <w:r>
        <w:t xml:space="preserve"> </w:t>
      </w:r>
      <w:r>
        <w:t xml:space="preserve">disease layer consumes. Sub-threshold targets are shown as a percentage of their own cut, so a</w:t>
      </w:r>
      <w:r>
        <w:t xml:space="preserve"> </w:t>
      </w:r>
      <w:r>
        <w:t xml:space="preserve">compound that engages nothing still yields an interpretable figure rather than an empty panel.</w:t>
      </w:r>
    </w:p>
    <w:p>
      <w:pPr>
        <w:pStyle w:val="BodyText"/>
      </w:pPr>
      <w:r>
        <w:t xml:space="preserve">Where the server reports nothing, it states the two reasons a null result can arise: the compound may</w:t>
      </w:r>
      <w:r>
        <w:t xml:space="preserve"> </w:t>
      </w:r>
      <w:r>
        <w:t xml:space="preserve">act through a mechanism outside the panel, or through a modelled target but below its reporting</w:t>
      </w:r>
      <w:r>
        <w:t xml:space="preserve"> </w:t>
      </w:r>
      <w:r>
        <w:t xml:space="preserve">threshold. The second is quantified for the user, since thresholds are set for precision, holding the</w:t>
      </w:r>
      <w:r>
        <w:t xml:space="preserve"> </w:t>
      </w:r>
      <w:r>
        <w:t xml:space="preserve">false-positive rate near 0.2% on random chemistry, and the measured cost is a median sensitivity of</w:t>
      </w:r>
      <w:r>
        <w:t xml:space="preserve"> </w:t>
      </w:r>
      <w:r>
        <w:t xml:space="preserve">0.77 falling to 0.26 at the strictest endpoints. Silence is not evidence of inactivity and the</w:t>
      </w:r>
      <w:r>
        <w:t xml:space="preserve"> </w:t>
      </w:r>
      <w:r>
        <w:t xml:space="preserve">interface says so with the number attached.</w:t>
      </w:r>
    </w:p>
    <w:p>
      <w:pPr>
        <w:pStyle w:val="BodyText"/>
      </w:pPr>
      <w:r>
        <w:rPr>
          <w:b/>
          <w:bCs/>
        </w:rPr>
        <w:t xml:space="preserve">Export.</w:t>
      </w:r>
      <w:r>
        <w:t xml:space="preserve"> </w:t>
      </w:r>
      <w:r>
        <w:t xml:space="preserve">Every result is downloadable in four forms generated from a single tidy table, so that</w:t>
      </w:r>
      <w:r>
        <w:t xml:space="preserve"> </w:t>
      </w:r>
      <w:r>
        <w:t xml:space="preserve">they cannot disagree with the screen or with each other: a data table with units and training context</w:t>
      </w:r>
      <w:r>
        <w:t xml:space="preserve"> </w:t>
      </w:r>
      <w:r>
        <w:t xml:space="preserve">for every endpoint; a self-contained report that inlines its figures, structure image and styling and</w:t>
      </w:r>
      <w:r>
        <w:t xml:space="preserve"> </w:t>
      </w:r>
      <w:r>
        <w:t xml:space="preserve">therefore opens offline and prints to a portable document; a structured record carrying thresholds,</w:t>
      </w:r>
      <w:r>
        <w:t xml:space="preserve"> </w:t>
      </w:r>
      <w:r>
        <w:t xml:space="preserve">screening mode, provenance and the caveats that must travel with the numbers; and the mechanistic map</w:t>
      </w:r>
      <w:r>
        <w:t xml:space="preserve"> </w:t>
      </w:r>
      <w:r>
        <w:t xml:space="preserve">as a vector figure for direct use in a manuscript.</w:t>
      </w:r>
    </w:p>
    <w:p>
      <w:pPr>
        <w:pStyle w:val="BodyText"/>
      </w:pPr>
      <w:r>
        <w:rPr>
          <w:b/>
          <w:bCs/>
        </w:rPr>
        <w:t xml:space="preserve">Batch screening.</w:t>
      </w:r>
      <w:r>
        <w:t xml:space="preserve"> </w:t>
      </w:r>
      <w:r>
        <w:t xml:space="preserve">Up to 300 compounds may be pasted or uploaded as delimited or plain text and are</w:t>
      </w:r>
      <w:r>
        <w:t xml:space="preserve"> </w:t>
      </w:r>
      <w:r>
        <w:t xml:space="preserve">returned as one row each, giving exposure, engaged mechanisms, reported conditions and</w:t>
      </w:r>
      <w:r>
        <w:t xml:space="preserve"> </w:t>
      </w:r>
      <w:r>
        <w:t xml:space="preserve">applicability-domain status, with the whole table downloadable. This is the mode intended for</w:t>
      </w:r>
      <w:r>
        <w:t xml:space="preserve"> </w:t>
      </w:r>
      <w:r>
        <w:t xml:space="preserve">prioritising a library before laboratory work is committed.</w:t>
      </w:r>
    </w:p>
    <w:p>
      <w:pPr>
        <w:pStyle w:val="BodyText"/>
      </w:pPr>
      <w:r>
        <w:rPr>
          <w:b/>
          <w:bCs/>
        </w:rPr>
        <w:t xml:space="preserve">Deployment.</w:t>
      </w:r>
      <w:r>
        <w:t xml:space="preserve"> </w:t>
      </w:r>
      <w:r>
        <w:t xml:space="preserve">The server is distributed as a container image running as an unprivileged process</w:t>
      </w:r>
      <w:r>
        <w:t xml:space="preserve"> </w:t>
      </w:r>
      <w:r>
        <w:t xml:space="preserve">with a health endpoint for orchestration. A pre-flight script verifies that every declared dependency</w:t>
      </w:r>
      <w:r>
        <w:t xml:space="preserve"> </w:t>
      </w:r>
      <w:r>
        <w:t xml:space="preserve">resolves at its pinned version, that all model artefacts load, that the knowledge graph is internally</w:t>
      </w:r>
      <w:r>
        <w:t xml:space="preserve"> </w:t>
      </w:r>
      <w:r>
        <w:t xml:space="preserve">consistent, that chemically unrelated compounds yield distinct and directionally correct profiles,</w:t>
      </w:r>
      <w:r>
        <w:t xml:space="preserve"> </w:t>
      </w:r>
      <w:r>
        <w:t xml:space="preserve">and that every export format is well formed and self-contained; it exits non-zero on any failure and</w:t>
      </w:r>
      <w:r>
        <w:t xml:space="preserve"> </w:t>
      </w:r>
      <w:r>
        <w:t xml:space="preserve">is intended to gate a release.</w:t>
      </w:r>
    </w:p>
    <w:bookmarkEnd w:id="42"/>
    <w:bookmarkStart w:id="43" w:name="discussion"/>
    <w:p>
      <w:pPr>
        <w:pStyle w:val="Heading2"/>
      </w:pPr>
      <w:r>
        <w:t xml:space="preserve">Discussion</w:t>
      </w:r>
    </w:p>
    <w:p>
      <w:pPr>
        <w:pStyle w:val="FirstParagraph"/>
      </w:pPr>
      <w:r>
        <w:t xml:space="preserve">BrainSafe AI combines BBB penetration, a broad measured-data target panel, free-brain exposure and</w:t>
      </w:r>
      <w:r>
        <w:t xml:space="preserve"> </w:t>
      </w:r>
      <w:r>
        <w:t xml:space="preserve">safety into a single calibrated, applicability-aware and mechanistically interpretable readout for</w:t>
      </w:r>
      <w:r>
        <w:t xml:space="preserve"> </w:t>
      </w:r>
      <w:r>
        <w:t xml:space="preserve">arbitrary structures. Its central design choice is honesty about uncertainty: enrichment over base rate</w:t>
      </w:r>
      <w:r>
        <w:t xml:space="preserve"> </w:t>
      </w:r>
      <w:r>
        <w:t xml:space="preserve">rather than raw probability, per-endpoint applicability domains, an explicit coverage statement, and a</w:t>
      </w:r>
      <w:r>
        <w:t xml:space="preserve"> </w:t>
      </w:r>
      <w:r>
        <w:t xml:space="preserve">variance decomposition that quantifies how far each endpoint depends on chemotype.</w:t>
      </w:r>
    </w:p>
    <w:p>
      <w:pPr>
        <w:pStyle w:val="BodyText"/>
      </w:pPr>
      <w:r>
        <w:t xml:space="preserve">The limitations are inherited from the training data and are stated plainly. The most important concerns</w:t>
      </w:r>
      <w:r>
        <w:t xml:space="preserve"> </w:t>
      </w:r>
      <w:r>
        <w:t xml:space="preserve">prospective use. Scaffold-grouped cross-validation gives a mean classifier AUROC of 0.919, but on</w:t>
      </w:r>
      <w:r>
        <w:t xml:space="preserve"> </w:t>
      </w:r>
      <w:r>
        <w:t xml:space="preserve">compounds published after the training cutoff the aggregate falls to 0.752. The analysis above shows</w:t>
      </w:r>
      <w:r>
        <w:t xml:space="preserve"> </w:t>
      </w:r>
      <w:r>
        <w:t xml:space="preserve">that this aggregate conceals two regimes: inside the applicability domain the classifiers retain 0.827</w:t>
      </w:r>
      <w:r>
        <w:t xml:space="preserve"> </w:t>
      </w:r>
      <w:r>
        <w:t xml:space="preserve">AUROC and the potency models a rank correlation of 0.56, while outside it performance is close to</w:t>
      </w:r>
      <w:r>
        <w:t xml:space="preserve"> </w:t>
      </w:r>
      <w:r>
        <w:t xml:space="preserve">chance. The practical consequence is that BrainSafe AI should be read as a reliable triage instrument</w:t>
      </w:r>
      <w:r>
        <w:t xml:space="preserve"> </w:t>
      </w:r>
      <w:r>
        <w:t xml:space="preserve">for chemistry related to measured data, and as a hypothesis generator only for novel chemotypes; the</w:t>
      </w:r>
      <w:r>
        <w:t xml:space="preserve"> </w:t>
      </w:r>
      <w:r>
        <w:t xml:space="preserve">server states which case applies for every query. Quantitative potency values remain weak priors rather</w:t>
      </w:r>
      <w:r>
        <w:t xml:space="preserve"> </w:t>
      </w:r>
      <w:r>
        <w:t xml:space="preserve">than affinity predictions, which is why the deployed receptor models are binder classifiers and the</w:t>
      </w:r>
      <w:r>
        <w:t xml:space="preserve"> </w:t>
      </w:r>
      <w:r>
        <w:t xml:space="preserve">interface shows a predicted pKi only for compounds already classified as binders. The antioxidant</w:t>
      </w:r>
      <w:r>
        <w:t xml:space="preserve"> </w:t>
      </w:r>
      <w:r>
        <w:t xml:space="preserve">regression that drives the neuroprotection axis has an in-domain prospective rank correlation of 0.59</w:t>
      </w:r>
      <w:r>
        <w:t xml:space="preserve"> </w:t>
      </w:r>
      <w:r>
        <w:t xml:space="preserve">but essentially no out-of-domain signal, so that axis is a qualitative flag outside the domain.</w:t>
      </w:r>
    </w:p>
    <w:p>
      <w:pPr>
        <w:pStyle w:val="BodyText"/>
      </w:pPr>
      <w:r>
        <w:t xml:space="preserve">Target coverage, though broad, is finite, and the boundaries have been measured rather than assumed.</w:t>
      </w:r>
      <w:r>
        <w:t xml:space="preserve"> </w:t>
      </w:r>
      <w:r>
        <w:t xml:space="preserve">A systematic query of ChEMBL for the mechanisms the panel omits found that the reasons differ in kind</w:t>
      </w:r>
      <w:r>
        <w:t xml:space="preserve"> </w:t>
      </w:r>
      <w:r>
        <w:t xml:space="preserve">and that only one of them is a matter of quantity. Some targets have too few measured ligands for any</w:t>
      </w:r>
      <w:r>
        <w:t xml:space="preserve"> </w:t>
      </w:r>
      <w:r>
        <w:t xml:space="preserve">model: kainate receptors (244, 139 and 34 activities for GluK1, GluK2 and GluK3), the vesicular</w:t>
      </w:r>
      <w:r>
        <w:t xml:space="preserve"> </w:t>
      </w:r>
      <w:r>
        <w:t xml:space="preserve">monoamine transporter VMAT2 (149), SOD1 (29), TDP-43 (9), and C9orf72, which has no ChEMBL target</w:t>
      </w:r>
      <w:r>
        <w:t xml:space="preserve"> </w:t>
      </w:r>
      <w:r>
        <w:t xml:space="preserve">record at all. Some have volume without diversity, which is a more insidious failure: tau carries</w:t>
      </w:r>
      <w:r>
        <w:t xml:space="preserve"> </w:t>
      </w:r>
      <w:r>
        <w:t xml:space="preserve">95,345 potency values, more than any deployed endpoint, but a 1,000-activity sample draws on a single</w:t>
      </w:r>
      <w:r>
        <w:t xml:space="preserve"> </w:t>
      </w:r>
      <w:r>
        <w:t xml:space="preserve">document and 86% of it is one thioflavin-S displacement campaign, so a scaffold-split model would</w:t>
      </w:r>
      <w:r>
        <w:t xml:space="preserve"> </w:t>
      </w:r>
      <w:r>
        <w:t xml:space="preserve">learn that screening library rather than the protein; huntingtin is worse at 98% from one assay.</w:t>
      </w:r>
      <w:r>
        <w:t xml:space="preserve"> </w:t>
      </w:r>
      <w:r>
        <w:t xml:space="preserve">Some are obscured by target annotation rather than by data: ChEMBL assigns activity to the protein</w:t>
      </w:r>
      <w:r>
        <w:t xml:space="preserve"> </w:t>
      </w:r>
      <w:r>
        <w:t xml:space="preserve">rather than to the binding site, so the phencyclidine channel site used by ketamine and the GluN2B</w:t>
      </w:r>
      <w:r>
        <w:t xml:space="preserve"> </w:t>
      </w:r>
      <w:r>
        <w:t xml:space="preserve">allosteric site used by ifenprodil are pooled despite having unrelated structure-activity</w:t>
      </w:r>
      <w:r>
        <w:t xml:space="preserve"> </w:t>
      </w:r>
      <w:r>
        <w:t xml:space="preserve">relationships, which is why the latter is modelled and the former is not. Finally, some conditions are</w:t>
      </w:r>
      <w:r>
        <w:t xml:space="preserve"> </w:t>
      </w:r>
      <w:r>
        <w:t xml:space="preserve">not targets at all. Migraine and multiple sclerosis are reachable through defined mechanisms not yet</w:t>
      </w:r>
      <w:r>
        <w:t xml:space="preserve"> </w:t>
      </w:r>
      <w:r>
        <w:t xml:space="preserve">included (the calcitonin-gene-related-peptide receptor, 1,578 activities, and dihydroorotate</w:t>
      </w:r>
      <w:r>
        <w:t xml:space="preserve"> </w:t>
      </w:r>
      <w:r>
        <w:t xml:space="preserve">dehydrogenase, 2,558), whereas stroke and cerebral ischaemia offer no comparable small-molecule</w:t>
      </w:r>
      <w:r>
        <w:t xml:space="preserve"> </w:t>
      </w:r>
      <w:r>
        <w:t xml:space="preserve">target set, consistent with four decades of failed neuroprotection trials.</w:t>
      </w:r>
    </w:p>
    <w:p>
      <w:pPr>
        <w:pStyle w:val="BodyText"/>
      </w:pPr>
      <w:r>
        <w:t xml:space="preserve">Expanding the panel is not costless, which bears on how these gaps should be closed. Each added</w:t>
      </w:r>
      <w:r>
        <w:t xml:space="preserve"> </w:t>
      </w:r>
      <w:r>
        <w:t xml:space="preserve">endpoint is a further opportunity to fire spuriously, so the probability that a compound engaging</w:t>
      </w:r>
      <w:r>
        <w:t xml:space="preserve"> </w:t>
      </w:r>
      <w:r>
        <w:t xml:space="preserve">nothing nevertheless receives a reported finding rises with panel size; it stands at 11.5% on random</w:t>
      </w:r>
      <w:r>
        <w:t xml:space="preserve"> </w:t>
      </w:r>
      <w:r>
        <w:t xml:space="preserve">chemistry. Added endpoints also overlap: 34 of 49 targets fire at least once across approved drugs</w:t>
      </w:r>
      <w:r>
        <w:t xml:space="preserve"> </w:t>
      </w:r>
      <w:r>
        <w:t xml:space="preserve">but span only 13 independent directions. Coverage should therefore be extended where a measured</w:t>
      </w:r>
      <w:r>
        <w:t xml:space="preserve"> </w:t>
      </w:r>
      <w:r>
        <w:t xml:space="preserve">weakness demands it, as was done here for addiction, rather than pursued for completeness, and</w:t>
      </w:r>
      <w:r>
        <w:t xml:space="preserve"> </w:t>
      </w:r>
      <w:r>
        <w:t xml:space="preserve">preference given to mechanisms that are not homologous to those already present.</w:t>
      </w:r>
    </w:p>
    <w:p>
      <w:pPr>
        <w:pStyle w:val="BodyText"/>
      </w:pPr>
      <w:r>
        <w:t xml:space="preserve">An operational consequence follows for the coverage statement itself. The list of what the server can</w:t>
      </w:r>
      <w:r>
        <w:t xml:space="preserve"> </w:t>
      </w:r>
      <w:r>
        <w:t xml:space="preserve">and cannot assess is read as an audit, and an audit that is wrong about its own models is worse than</w:t>
      </w:r>
      <w:r>
        <w:t xml:space="preserve"> </w:t>
      </w:r>
      <w:r>
        <w:t xml:space="preserve">none. A hand-maintained version of that list drifted: it advertised an endpoint that had been</w:t>
      </w:r>
      <w:r>
        <w:t xml:space="preserve"> </w:t>
      </w:r>
      <w:r>
        <w:t xml:space="preserve">withdrawn, denied two families that had been added, and quoted sensitivities of 0.54 and 0.58 for</w:t>
      </w:r>
      <w:r>
        <w:t xml:space="preserve"> </w:t>
      </w:r>
      <w:r>
        <w:t xml:space="preserve">endpoints whose deployed values were 0.774 and 0.660. The modelled list and every sensitivity figure</w:t>
      </w:r>
      <w:r>
        <w:t xml:space="preserve"> </w:t>
      </w:r>
      <w:r>
        <w:t xml:space="preserve">are now generated from the deployed model registry when the page loads, and a pre-flight check</w:t>
      </w:r>
      <w:r>
        <w:t xml:space="preserve"> </w:t>
      </w:r>
      <w:r>
        <w:t xml:space="preserve">asserts that no deployed endpoint is missing from the list, that no withdrawn endpoint is advertised,</w:t>
      </w:r>
      <w:r>
        <w:t xml:space="preserve"> </w:t>
      </w:r>
      <w:r>
        <w:t xml:space="preserve">that no mechanism declared absent is in fact deployed, and that every quoted sensitivity equals the</w:t>
      </w:r>
      <w:r>
        <w:t xml:space="preserve"> </w:t>
      </w:r>
      <w:r>
        <w:t xml:space="preserve">deployed value.</w:t>
      </w:r>
    </w:p>
    <w:p>
      <w:pPr>
        <w:pStyle w:val="BodyText"/>
      </w:pPr>
      <w:r>
        <w:t xml:space="preserve">Two ADME endpoints, hepatocyte clearance and plasma protein binding, are weak under the scaffold</w:t>
      </w:r>
      <w:r>
        <w:t xml:space="preserve"> </w:t>
      </w:r>
      <w:r>
        <w:t xml:space="preserve">split and are reported as such. Decoy-based validation gives an optimistic bound because decoys are</w:t>
      </w:r>
      <w:r>
        <w:t xml:space="preserve"> </w:t>
      </w:r>
      <w:r>
        <w:t xml:space="preserve">presumed rather than measured inactives, which is why the near-miss figure and the background</w:t>
      </w:r>
      <w:r>
        <w:t xml:space="preserve"> </w:t>
      </w:r>
      <w:r>
        <w:t xml:space="preserve">false-positive rate are reported together, and why deployed specificity is additionally measured on</w:t>
      </w:r>
      <w:r>
        <w:t xml:space="preserve"> </w:t>
      </w:r>
      <w:r>
        <w:t xml:space="preserve">random chemistry and on molecules nothing should bind. The target-to-disease weights in the knowledge</w:t>
      </w:r>
      <w:r>
        <w:t xml:space="preserve"> </w:t>
      </w:r>
      <w:r>
        <w:t xml:space="preserve">graph are expert-curated rather than learned; the falsification analysis shows they carry no</w:t>
      </w:r>
      <w:r>
        <w:t xml:space="preserve"> </w:t>
      </w:r>
      <w:r>
        <w:t xml:space="preserve">measurable predictive content beyond the graph topology, and they are retained as a mechanistic prior</w:t>
      </w:r>
      <w:r>
        <w:t xml:space="preserve"> </w:t>
      </w:r>
      <w:r>
        <w:t xml:space="preserve">and versioned in the repository so that they can be inspected and revised. Predictions concern</w:t>
      </w:r>
      <w:r>
        <w:t xml:space="preserve"> </w:t>
      </w:r>
      <w:r>
        <w:t xml:space="preserve">molecular target engagement and physicochemical properties, not clinical efficacy, and do not</w:t>
      </w:r>
      <w:r>
        <w:t xml:space="preserve"> </w:t>
      </w:r>
      <w:r>
        <w:t xml:space="preserve">distinguish agonism from antagonism. The tool is intended for research prioritisation and hypothesis</w:t>
      </w:r>
      <w:r>
        <w:t xml:space="preserve"> </w:t>
      </w:r>
      <w:r>
        <w:t xml:space="preserve">generation and is not for medical, diagnostic or treatment decisions.</w:t>
      </w:r>
    </w:p>
    <w:p>
      <w:pPr>
        <w:pStyle w:val="BodyText"/>
      </w:pPr>
      <w:r>
        <w:t xml:space="preserve">One limitation deserves separate statement because it is not a coverage gap and cannot be closed by</w:t>
      </w:r>
      <w:r>
        <w:t xml:space="preserve"> </w:t>
      </w:r>
      <w:r>
        <w:t xml:space="preserve">adding targets. The panel defines engagement as high-affinity binding, and an entire pharmacological</w:t>
      </w:r>
      <w:r>
        <w:t xml:space="preserve"> </w:t>
      </w:r>
      <w:r>
        <w:t xml:space="preserve">class works otherwise. Use-dependent, state-dependent channel blockers act at concentrations one to</w:t>
      </w:r>
      <w:r>
        <w:t xml:space="preserve"> </w:t>
      </w:r>
      <w:r>
        <w:t xml:space="preserve">two orders of magnitude weaker than the binder threshold, and ChEMBL’s own measurements label the</w:t>
      </w:r>
      <w:r>
        <w:t xml:space="preserve"> </w:t>
      </w:r>
      <w:r>
        <w:t xml:space="preserve">classic antiepileptic drugs inactive at the sodium channels through which they are understood to act.</w:t>
      </w:r>
      <w:r>
        <w:t xml:space="preserve"> </w:t>
      </w:r>
      <w:r>
        <w:t xml:space="preserve">The server is therefore silent on carbamazepine, phenytoin and lamotrigine, and that silence is</w:t>
      </w:r>
      <w:r>
        <w:t xml:space="preserve"> </w:t>
      </w:r>
      <w:r>
        <w:t xml:space="preserve">correct with respect to the measured data while being unhelpful with respect to the clinical</w:t>
      </w:r>
      <w:r>
        <w:t xml:space="preserve"> </w:t>
      </w:r>
      <w:r>
        <w:t xml:space="preserve">question. Extending the tool to such mechanisms would require a different class of endpoint, modelling</w:t>
      </w:r>
      <w:r>
        <w:t xml:space="preserve"> </w:t>
      </w:r>
      <w:r>
        <w:t xml:space="preserve">use-dependent block or a phenotypic outcome, not a further binding target.</w:t>
      </w:r>
    </w:p>
    <w:bookmarkEnd w:id="43"/>
    <w:bookmarkStart w:id="44" w:name="data-availability"/>
    <w:p>
      <w:pPr>
        <w:pStyle w:val="Heading2"/>
      </w:pPr>
      <w:r>
        <w:t xml:space="preserve">Data availability</w:t>
      </w:r>
    </w:p>
    <w:p>
      <w:pPr>
        <w:pStyle w:val="FirstParagraph"/>
      </w:pPr>
      <w:r>
        <w:t xml:space="preserve">All code, trained models, the curated knowledge graph, per-fold validation artifacts and the scripts</w:t>
      </w:r>
      <w:r>
        <w:t xml:space="preserve"> </w:t>
      </w:r>
      <w:r>
        <w:t xml:space="preserve">that regenerate every table and figure in this manuscript are available at</w:t>
      </w:r>
      <w:r>
        <w:t xml:space="preserve"> </w:t>
      </w:r>
      <w:r>
        <w:t xml:space="preserve">https://github.com/krishna-g-999/brainsafe-ai under [license]. The server is freely accessible at</w:t>
      </w:r>
      <w:r>
        <w:t xml:space="preserve"> </w:t>
      </w:r>
      <w:r>
        <w:t xml:space="preserve">[URL] with no login requirement.</w:t>
      </w:r>
    </w:p>
    <w:bookmarkEnd w:id="44"/>
    <w:bookmarkStart w:id="45" w:name="funding"/>
    <w:p>
      <w:pPr>
        <w:pStyle w:val="Heading2"/>
      </w:pPr>
      <w:r>
        <w:t xml:space="preserve">Funding</w:t>
      </w:r>
    </w:p>
    <w:p>
      <w:pPr>
        <w:pStyle w:val="FirstParagraph"/>
      </w:pPr>
      <w:r>
        <w:t xml:space="preserve">[To be completed.]</w:t>
      </w:r>
    </w:p>
    <w:bookmarkEnd w:id="45"/>
    <w:bookmarkStart w:id="73" w:name="figure-legends"/>
    <w:p>
      <w:pPr>
        <w:pStyle w:val="Heading2"/>
      </w:pPr>
      <w:r>
        <w:t xml:space="preserve">Figure legends</w:t>
      </w:r>
    </w:p>
    <w:p>
      <w:pPr>
        <w:pStyle w:val="CaptionedFigure"/>
      </w:pPr>
      <w:r>
        <w:drawing>
          <wp:inline>
            <wp:extent cx="5334000" cy="4665359"/>
            <wp:effectExtent b="0" l="0" r="0" t="0"/>
            <wp:docPr descr="Figure 1" title="" id="47" name="Picture"/>
            <a:graphic>
              <a:graphicData uri="http://schemas.openxmlformats.org/drawingml/2006/picture">
                <pic:pic>
                  <pic:nvPicPr>
                    <pic:cNvPr descr="figures/Figure1_endpoint_rationale.png" id="48" name="Picture"/>
                    <pic:cNvPicPr>
                      <a:picLocks noChangeArrowheads="1" noChangeAspect="1"/>
                    </pic:cNvPicPr>
                  </pic:nvPicPr>
                  <pic:blipFill>
                    <a:blip r:embed="rId46"/>
                    <a:stretch>
                      <a:fillRect/>
                    </a:stretch>
                  </pic:blipFill>
                  <pic:spPr bwMode="auto">
                    <a:xfrm>
                      <a:off x="0" y="0"/>
                      <a:ext cx="5334000" cy="466535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Endpoint selection rationale. Left, the four sequential questions a CNS candidate must</w:t>
      </w:r>
      <w:r>
        <w:t xml:space="preserve"> </w:t>
      </w:r>
      <w:r>
        <w:t xml:space="preserve">satisfy and the endpoints modelled in each layer, with measured compound counts. Right, the eleven</w:t>
      </w:r>
      <w:r>
        <w:t xml:space="preserve"> </w:t>
      </w:r>
      <w:r>
        <w:t xml:space="preserve">conditions the panel informs, the targets that drive each, and the mechanisms not yet modelled.</w:t>
      </w:r>
    </w:p>
    <w:p>
      <w:pPr>
        <w:pStyle w:val="BodyText"/>
      </w:pPr>
      <w:r>
        <w:rPr>
          <w:b/>
          <w:bCs/>
        </w:rPr>
        <w:t xml:space="preserve">Figure 2.</w:t>
      </w:r>
      <w:r>
        <w:t xml:space="preserve"> </w:t>
      </w:r>
      <w:r>
        <w:t xml:space="preserve">The BrainSafe AI report for a query compound (screenshot to be inserted): summary card,</w:t>
      </w:r>
      <w:r>
        <w:t xml:space="preserve"> </w:t>
      </w:r>
      <w:r>
        <w:t xml:space="preserve">mechanistic map, brain-relevance panel, target and receptor tables, ADME panel, and the applicability</w:t>
      </w:r>
      <w:r>
        <w:t xml:space="preserve"> </w:t>
      </w:r>
      <w:r>
        <w:t xml:space="preserve">and confidence card.</w:t>
      </w:r>
    </w:p>
    <w:p>
      <w:pPr>
        <w:pStyle w:val="CaptionedFigure"/>
      </w:pPr>
      <w:r>
        <w:drawing>
          <wp:inline>
            <wp:extent cx="5334000" cy="3743587"/>
            <wp:effectExtent b="0" l="0" r="0" t="0"/>
            <wp:docPr descr="Figure 3" title="" id="50" name="Picture"/>
            <a:graphic>
              <a:graphicData uri="http://schemas.openxmlformats.org/drawingml/2006/picture">
                <pic:pic>
                  <pic:nvPicPr>
                    <pic:cNvPr descr="figures/Figure2_mechanism.png" id="51" name="Picture"/>
                    <pic:cNvPicPr>
                      <a:picLocks noChangeArrowheads="1" noChangeAspect="1"/>
                    </pic:cNvPicPr>
                  </pic:nvPicPr>
                  <pic:blipFill>
                    <a:blip r:embed="rId49"/>
                    <a:stretch>
                      <a:fillRect/>
                    </a:stretch>
                  </pic:blipFill>
                  <pic:spPr bwMode="auto">
                    <a:xfrm>
                      <a:off x="0" y="0"/>
                      <a:ext cx="5334000" cy="3743587"/>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The mechanistic map, shown for haloperidol. A four-tier diagram (compound, target,</w:t>
      </w:r>
      <w:r>
        <w:t xml:space="preserve"> </w:t>
      </w:r>
      <w:r>
        <w:t xml:space="preserve">pathway, disease) in which only engaged targets are drawn, connector weight encodes engagement</w:t>
      </w:r>
      <w:r>
        <w:t xml:space="preserve"> </w:t>
      </w:r>
      <w:r>
        <w:t xml:space="preserve">strength, node order is arranged to minimise crossings, and pathways are anchored to KEGG and Reactome</w:t>
      </w:r>
      <w:r>
        <w:t xml:space="preserve"> </w:t>
      </w:r>
      <w:r>
        <w:t xml:space="preserve">identifiers.</w:t>
      </w:r>
    </w:p>
    <w:p>
      <w:pPr>
        <w:pStyle w:val="CaptionedFigure"/>
      </w:pPr>
      <w:r>
        <w:drawing>
          <wp:inline>
            <wp:extent cx="5334000" cy="2051538"/>
            <wp:effectExtent b="0" l="0" r="0" t="0"/>
            <wp:docPr descr="Figure 4" title="" id="53" name="Picture"/>
            <a:graphic>
              <a:graphicData uri="http://schemas.openxmlformats.org/drawingml/2006/picture">
                <pic:pic>
                  <pic:nvPicPr>
                    <pic:cNvPr descr="figures/Figure3_model_selection.png" id="54" name="Picture"/>
                    <pic:cNvPicPr>
                      <a:picLocks noChangeArrowheads="1" noChangeAspect="1"/>
                    </pic:cNvPicPr>
                  </pic:nvPicPr>
                  <pic:blipFill>
                    <a:blip r:embed="rId52"/>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Model selection. (a) Mean scaffold-split AUROC across the classifier panel for the five</w:t>
      </w:r>
      <w:r>
        <w:t xml:space="preserve"> </w:t>
      </w:r>
      <w:r>
        <w:t xml:space="preserve">model families compared: logistic regression, k-nearest-neighbour read-across, histogram gradient</w:t>
      </w:r>
      <w:r>
        <w:t xml:space="preserve"> </w:t>
      </w:r>
      <w:r>
        <w:t xml:space="preserve">boosting, XGBoost, and the deployed random forest (gold). (b) Held-out comparison of a graph</w:t>
      </w:r>
      <w:r>
        <w:t xml:space="preserve"> </w:t>
      </w:r>
      <w:r>
        <w:t xml:space="preserve">isomorphism network against the random forest per endpoint.</w:t>
      </w:r>
    </w:p>
    <w:p>
      <w:pPr>
        <w:pStyle w:val="CaptionedFigure"/>
      </w:pPr>
      <w:r>
        <w:drawing>
          <wp:inline>
            <wp:extent cx="5334000" cy="3932477"/>
            <wp:effectExtent b="0" l="0" r="0" t="0"/>
            <wp:docPr descr="Figure 5" title="" id="56" name="Picture"/>
            <a:graphic>
              <a:graphicData uri="http://schemas.openxmlformats.org/drawingml/2006/picture">
                <pic:pic>
                  <pic:nvPicPr>
                    <pic:cNvPr descr="figures/Figure5_cv_design_and_errorbars.png" id="57" name="Picture"/>
                    <pic:cNvPicPr>
                      <a:picLocks noChangeArrowheads="1" noChangeAspect="1"/>
                    </pic:cNvPicPr>
                  </pic:nvPicPr>
                  <pic:blipFill>
                    <a:blip r:embed="rId55"/>
                    <a:stretch>
                      <a:fillRect/>
                    </a:stretch>
                  </pic:blipFill>
                  <pic:spPr bwMode="auto">
                    <a:xfrm>
                      <a:off x="0" y="0"/>
                      <a:ext cx="5334000" cy="3932477"/>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Cross-validation design and the origin of the error bars. (a) Random 10-fold: every fold</w:t>
      </w:r>
      <w:r>
        <w:t xml:space="preserve"> </w:t>
      </w:r>
      <w:r>
        <w:t xml:space="preserve">contains all chemical series, so test compounds have close training analogues. (b) Scaffold-grouped</w:t>
      </w:r>
      <w:r>
        <w:t xml:space="preserve"> </w:t>
      </w:r>
      <w:r>
        <w:t xml:space="preserve">10-fold: each fold holds out whole chemical series, so test compounds are unseen chemotypes.</w:t>
      </w:r>
      <w:r>
        <w:t xml:space="preserve"> </w:t>
      </w:r>
      <w:r>
        <w:t xml:space="preserve">(c) Decomposition of the between-fold standard deviation into sampling noise and genuine chemotype</w:t>
      </w:r>
      <w:r>
        <w:t xml:space="preserve"> </w:t>
      </w:r>
      <w:r>
        <w:t xml:space="preserve">heterogeneity for each endpoint (left bar of each pair, random split; right bar, scaffold split).</w:t>
      </w:r>
      <w:r>
        <w:t xml:space="preserve"> </w:t>
      </w:r>
      <w:r>
        <w:t xml:space="preserve">Percentages give the heterogeneity share of the scaffold variance.</w:t>
      </w:r>
    </w:p>
    <w:p>
      <w:pPr>
        <w:pStyle w:val="CaptionedFigure"/>
      </w:pPr>
      <w:r>
        <w:drawing>
          <wp:inline>
            <wp:extent cx="5334000" cy="2072013"/>
            <wp:effectExtent b="0" l="0" r="0" t="0"/>
            <wp:docPr descr="Figure 6" title="" id="59" name="Picture"/>
            <a:graphic>
              <a:graphicData uri="http://schemas.openxmlformats.org/drawingml/2006/picture">
                <pic:pic>
                  <pic:nvPicPr>
                    <pic:cNvPr descr="figures/Figure6_all_endpoints.png" id="60" name="Picture"/>
                    <pic:cNvPicPr>
                      <a:picLocks noChangeArrowheads="1" noChangeAspect="1"/>
                    </pic:cNvPicPr>
                  </pic:nvPicPr>
                  <pic:blipFill>
                    <a:blip r:embed="rId58"/>
                    <a:stretch>
                      <a:fillRect/>
                    </a:stretch>
                  </pic:blipFill>
                  <pic:spPr bwMode="auto">
                    <a:xfrm>
                      <a:off x="0" y="0"/>
                      <a:ext cx="5334000" cy="2072013"/>
                    </a:xfrm>
                    <a:prstGeom prst="rect">
                      <a:avLst/>
                    </a:prstGeom>
                    <a:noFill/>
                    <a:ln w="9525">
                      <a:noFill/>
                      <a:headEnd/>
                      <a:tailEnd/>
                    </a:ln>
                  </pic:spPr>
                </pic:pic>
              </a:graphicData>
            </a:graphic>
          </wp:inline>
        </w:drawing>
      </w:r>
    </w:p>
    <w:p>
      <w:pPr>
        <w:pStyle w:val="ImageCaption"/>
      </w:pPr>
      <w:r>
        <w:t xml:space="preserve">Figure 6</w:t>
      </w:r>
    </w:p>
    <w:p>
      <w:pPr>
        <w:pStyle w:val="CaptionedFigure"/>
      </w:pPr>
      <w:r>
        <w:drawing>
          <wp:inline>
            <wp:extent cx="5334000" cy="1709000"/>
            <wp:effectExtent b="0" l="0" r="0" t="0"/>
            <wp:docPr descr="Figure 7" title="" id="62" name="Picture"/>
            <a:graphic>
              <a:graphicData uri="http://schemas.openxmlformats.org/drawingml/2006/picture">
                <pic:pic>
                  <pic:nvPicPr>
                    <pic:cNvPr descr="figures/Figure7_temporal_by_domain.png" id="63" name="Picture"/>
                    <pic:cNvPicPr>
                      <a:picLocks noChangeArrowheads="1" noChangeAspect="1"/>
                    </pic:cNvPicPr>
                  </pic:nvPicPr>
                  <pic:blipFill>
                    <a:blip r:embed="rId61"/>
                    <a:stretch>
                      <a:fillRect/>
                    </a:stretch>
                  </pic:blipFill>
                  <pic:spPr bwMode="auto">
                    <a:xfrm>
                      <a:off x="0" y="0"/>
                      <a:ext cx="5334000" cy="1709000"/>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Prospective performance is governed by the applicability domain. Models are trained on</w:t>
      </w:r>
      <w:r>
        <w:t xml:space="preserve"> </w:t>
      </w:r>
      <w:r>
        <w:t xml:space="preserve">compounds published before a cutoff year and tested on those published after it, with the future</w:t>
      </w:r>
      <w:r>
        <w:t xml:space="preserve"> </w:t>
      </w:r>
      <w:r>
        <w:t xml:space="preserve">compounds stratified by maximum Tanimoto similarity to the training set. (a) Classifier AUROC per</w:t>
      </w:r>
      <w:r>
        <w:t xml:space="preserve"> </w:t>
      </w:r>
      <w:r>
        <w:t xml:space="preserve">endpoint. (b) Rank correlation for the potency and antioxidant models, the decision-relevant metric for</w:t>
      </w:r>
      <w:r>
        <w:t xml:space="preserve"> </w:t>
      </w:r>
      <w:r>
        <w:t xml:space="preserve">triage. (c) Summary across endpoints: predictive power is retained inside the domain and lost outside</w:t>
      </w:r>
      <w:r>
        <w:t xml:space="preserve"> </w:t>
      </w:r>
      <w:r>
        <w:t xml:space="preserve">it. The server reports which regime each query falls into.</w:t>
      </w:r>
    </w:p>
    <w:p>
      <w:pPr>
        <w:pStyle w:val="BodyText"/>
      </w:pPr>
      <w:r>
        <w:rPr>
          <w:b/>
          <w:bCs/>
        </w:rPr>
        <w:t xml:space="preserve">Figure 6.</w:t>
      </w:r>
      <w:r>
        <w:t xml:space="preserve"> </w:t>
      </w:r>
      <w:r>
        <w:t xml:space="preserve">Complete per-endpoint performance. (a) Target classifiers under both cross-validation</w:t>
      </w:r>
      <w:r>
        <w:t xml:space="preserve"> </w:t>
      </w:r>
      <w:r>
        <w:t xml:space="preserve">regimes (bars, mean; whiskers, standard deviation across the ten folds). (b) Decoy-aware binder</w:t>
      </w:r>
      <w:r>
        <w:t xml:space="preserve"> </w:t>
      </w:r>
      <w:r>
        <w:t xml:space="preserve">classifiers evaluated against near-miss decoys. (c) ADME regression endpoints under the scaffold split;</w:t>
      </w:r>
      <w:r>
        <w:t xml:space="preserve"> </w:t>
      </w:r>
      <w:r>
        <w:t xml:space="preserve">the dotted line marks R2 = 0.3, below which an endpoint is reported as weak.</w:t>
      </w:r>
    </w:p>
    <w:p>
      <w:pPr>
        <w:pStyle w:val="CaptionedFigure"/>
      </w:pPr>
      <w:r>
        <w:drawing>
          <wp:inline>
            <wp:extent cx="5334000" cy="2574354"/>
            <wp:effectExtent b="0" l="0" r="0" t="0"/>
            <wp:docPr descr="Figure 8" title="" id="65" name="Picture"/>
            <a:graphic>
              <a:graphicData uri="http://schemas.openxmlformats.org/drawingml/2006/picture">
                <pic:pic>
                  <pic:nvPicPr>
                    <pic:cNvPr descr="figures/Figure8_scaffold_holdout.png" id="66" name="Picture"/>
                    <pic:cNvPicPr>
                      <a:picLocks noChangeArrowheads="1" noChangeAspect="1"/>
                    </pic:cNvPicPr>
                  </pic:nvPicPr>
                  <pic:blipFill>
                    <a:blip r:embed="rId64"/>
                    <a:stretch>
                      <a:fillRect/>
                    </a:stretch>
                  </pic:blipFill>
                  <pic:spPr bwMode="auto">
                    <a:xfrm>
                      <a:off x="0" y="0"/>
                      <a:ext cx="5334000" cy="2574354"/>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Prospective sensitivity under a scaffold hold-out. Twenty per cent of Bemis-Murcko</w:t>
      </w:r>
      <w:r>
        <w:t xml:space="preserve"> </w:t>
      </w:r>
      <w:r>
        <w:t xml:space="preserve">scaffolds were withheld per target and all 39 trainable binder models retrained on the remainder, so</w:t>
      </w:r>
      <w:r>
        <w:t xml:space="preserve"> </w:t>
      </w:r>
      <w:r>
        <w:t xml:space="preserve">no held-out compound shares a scaffold with anything its model saw. (a) Recall per target with 95%</w:t>
      </w:r>
      <w:r>
        <w:t xml:space="preserve"> </w:t>
      </w:r>
      <w:r>
        <w:t xml:space="preserve">Wilson intervals, coloured green at 0.80 or above, amber between 0.50 and 0.80, red below 0.50; the</w:t>
      </w:r>
      <w:r>
        <w:t xml:space="preserve"> </w:t>
      </w:r>
      <w:r>
        <w:t xml:space="preserve">dashed line is the pooled estimate. (b) Distribution across targets. Three targets whose thresholds</w:t>
      </w:r>
      <w:r>
        <w:t xml:space="preserve"> </w:t>
      </w:r>
      <w:r>
        <w:t xml:space="preserve">collapsed to the floor are excluded.</w:t>
      </w:r>
    </w:p>
    <w:p>
      <w:pPr>
        <w:pStyle w:val="CaptionedFigure"/>
      </w:pPr>
      <w:r>
        <w:drawing>
          <wp:inline>
            <wp:extent cx="5334000" cy="1648961"/>
            <wp:effectExtent b="0" l="0" r="0" t="0"/>
            <wp:docPr descr="Figure 9" title="" id="68" name="Picture"/>
            <a:graphic>
              <a:graphicData uri="http://schemas.openxmlformats.org/drawingml/2006/picture">
                <pic:pic>
                  <pic:nvPicPr>
                    <pic:cNvPr descr="figures/Figure9_specificity.png" id="69" name="Picture"/>
                    <pic:cNvPicPr>
                      <a:picLocks noChangeArrowheads="1" noChangeAspect="1"/>
                    </pic:cNvPicPr>
                  </pic:nvPicPr>
                  <pic:blipFill>
                    <a:blip r:embed="rId67"/>
                    <a:stretch>
                      <a:fillRect/>
                    </a:stretch>
                  </pic:blipFill>
                  <pic:spPr bwMode="auto">
                    <a:xfrm>
                      <a:off x="0" y="0"/>
                      <a:ext cx="5334000" cy="1648961"/>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Specificity on 1000 compounds with no recorded activity at any modelled target. (a)</w:t>
      </w:r>
      <w:r>
        <w:t xml:space="preserve"> </w:t>
      </w:r>
      <w:r>
        <w:t xml:space="preserve">Distribution of the highest disease score, with the 0.30 actionable threshold marked. (b) Proportion</w:t>
      </w:r>
      <w:r>
        <w:t xml:space="preserve"> </w:t>
      </w:r>
      <w:r>
        <w:t xml:space="preserve">silent against proportion firing, with the 95% Wilson interval. (c) Conditions to which the false</w:t>
      </w:r>
      <w:r>
        <w:t xml:space="preserve"> </w:t>
      </w:r>
      <w:r>
        <w:t xml:space="preserve">positives are assigned.</w:t>
      </w:r>
    </w:p>
    <w:p>
      <w:pPr>
        <w:pStyle w:val="CaptionedFigure"/>
      </w:pPr>
      <w:r>
        <w:drawing>
          <wp:inline>
            <wp:extent cx="5334000" cy="2056122"/>
            <wp:effectExtent b="0" l="0" r="0" t="0"/>
            <wp:docPr descr="Figure 10" title="" id="71" name="Picture"/>
            <a:graphic>
              <a:graphicData uri="http://schemas.openxmlformats.org/drawingml/2006/picture">
                <pic:pic>
                  <pic:nvPicPr>
                    <pic:cNvPr descr="figures/Figure10_performance.png" id="72" name="Picture"/>
                    <pic:cNvPicPr>
                      <a:picLocks noChangeArrowheads="1" noChangeAspect="1"/>
                    </pic:cNvPicPr>
                  </pic:nvPicPr>
                  <pic:blipFill>
                    <a:blip r:embed="rId70"/>
                    <a:stretch>
                      <a:fillRect/>
                    </a:stretch>
                  </pic:blipFill>
                  <pic:spPr bwMode="auto">
                    <a:xfrm>
                      <a:off x="0" y="0"/>
                      <a:ext cx="5334000" cy="2056122"/>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(a) The deployed operating point, sensitivity from the scaffold hold-out against</w:t>
      </w:r>
      <w:r>
        <w:t xml:space="preserve"> </w:t>
      </w:r>
      <w:r>
        <w:t xml:space="preserve">specificity from the non-CNS set, with 95% intervals on both axes. (b) Distribution of AUROC against</w:t>
      </w:r>
      <w:r>
        <w:t xml:space="preserve"> </w:t>
      </w:r>
      <w:r>
        <w:t xml:space="preserve">held-out measured inactives across the binder panel.</w:t>
      </w:r>
    </w:p>
    <w:bookmarkEnd w:id="73"/>
    <w:bookmarkStart w:id="74" w:name="references"/>
    <w:p>
      <w:pPr>
        <w:pStyle w:val="Heading2"/>
      </w:pPr>
      <w:r>
        <w:t xml:space="preserve">References</w:t>
      </w:r>
    </w:p>
    <w:p>
      <w:pPr>
        <w:pStyle w:val="FirstParagraph"/>
      </w:pPr>
      <w:r>
        <w:t xml:space="preserve">[To be completed. Anchor citations: ChEMBL; BindingDB; B3DB; RDKit; Therapeutics Data Commons;</w:t>
      </w:r>
      <w:r>
        <w:t xml:space="preserve"> </w:t>
      </w:r>
      <w:r>
        <w:t xml:space="preserve">KEGG; Reactome; IUPHAR/BPS Guide to Pharmacology; scikit-learn; Streamlit; Bemis and Murcko scaffolds;</w:t>
      </w:r>
      <w:r>
        <w:t xml:space="preserve"> </w:t>
      </w:r>
      <w:r>
        <w:t xml:space="preserve">isotonic calibration; DeLong test.]</w:t>
      </w:r>
    </w:p>
    <w:p>
      <w:pPr>
        <w:pStyle w:val="BodyText"/>
      </w:pPr>
      <w:r>
        <w:t xml:space="preserve">Each entry was resolved by exact-title query against CrossRef or Europe PMC and accepted only above a normalised title-similarity of 0.82. The requested title, the matched title and the similarity score are recorded in</w:t>
      </w:r>
      <w:r>
        <w:t xml:space="preserve"> </w:t>
      </w:r>
      <w:r>
        <w:rPr>
          <w:rStyle w:val="VerbatimChar"/>
        </w:rPr>
        <w:t xml:space="preserve">references_verified.json</w:t>
      </w:r>
      <w:r>
        <w:t xml:space="preserve">, so every entry can be re-checked mechanically. None is written from memory.</w:t>
      </w:r>
    </w:p>
    <w:p>
      <w:pPr>
        <w:pStyle w:val="Compact"/>
        <w:numPr>
          <w:ilvl w:val="0"/>
          <w:numId w:val="1001"/>
        </w:numPr>
      </w:pPr>
      <w:r>
        <w:t xml:space="preserve">Wilson E. Probable Inference, the Law of Succession, and Statistical Inference. Journal of the American Statistical Association. 1927. doi:10.1080/01621459.1927.10502953</w:t>
      </w:r>
    </w:p>
    <w:p>
      <w:pPr>
        <w:pStyle w:val="Compact"/>
        <w:numPr>
          <w:ilvl w:val="0"/>
          <w:numId w:val="1001"/>
        </w:numPr>
      </w:pPr>
      <w:r>
        <w:t xml:space="preserve">DeLong E, DeLong D, Clarke-Pearson D. Comparing the Areas under Two or More Correlated Receiver Operating Characteristic Curves: A Nonparametric Approach. Biometrics. 1988. doi:10.2307/2531595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Genuer R, Poggi J. Random Forests. Use R!. 2020. doi:10.1007/978-3-030-56485-8_3</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extended connectivity fingerprints. The IUPAC Compendium of Chemical Terminology. 2025. doi:10.1351/goldbook.11443</w:t>
      </w:r>
    </w:p>
    <w:bookmarkEnd w:id="74"/>
    <w:bookmarkStart w:id="75" w:name="software"/>
    <w:p>
      <w:pPr>
        <w:pStyle w:val="Heading2"/>
      </w:pPr>
      <w:r>
        <w:t xml:space="preserve">Software</w:t>
      </w:r>
    </w:p>
    <w:p>
      <w:pPr>
        <w:pStyle w:val="Compact"/>
        <w:numPr>
          <w:ilvl w:val="0"/>
          <w:numId w:val="1002"/>
        </w:numPr>
      </w:pPr>
      <w:r>
        <w:t xml:space="preserve">RDKit: Open-source cheminformatics. https://www.rdkit.org</w:t>
      </w:r>
    </w:p>
    <w:p>
      <w:pPr>
        <w:pStyle w:val="Compact"/>
        <w:numPr>
          <w:ilvl w:val="0"/>
          <w:numId w:val="1002"/>
        </w:numPr>
      </w:pPr>
      <w:r>
        <w:t xml:space="preserve">Streamlit: an open-source app framework. https://streamlit.io</w:t>
      </w:r>
    </w:p>
    <w:p>
      <w:pPr>
        <w:pStyle w:val="FirstParagraph"/>
      </w:pPr>
      <w:r>
        <w:t xml:space="preserve">Requested but not resolved above the similarity threshold, and therefore not cited: b3db, sklearn, tdc, kpuu, xgboost, gin_gnn, platt, conformal, herg_pred, bbb_ml, cns_attrition, lrrk2_pd, nlrp3_neuro, hdac_hd, riluzole_als.</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0" Target="media/rId7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2026-08-05T16:27:28Z</dcterms:created>
  <dcterms:modified xsi:type="dcterms:W3CDTF">2026-08-05T16:27:28Z</dcterms:modified>
</cp:coreProperties>
</file>

<file path=docProps/custom.xml><?xml version="1.0" encoding="utf-8"?>
<Properties xmlns="http://schemas.openxmlformats.org/officeDocument/2006/custom-properties" xmlns:vt="http://schemas.openxmlformats.org/officeDocument/2006/docPropsVTypes"/>
</file>