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on actives</w:t>
      </w:r>
      <w:r>
        <w:t xml:space="preserve"> </w:t>
      </w:r>
      <w:r>
        <w:t xml:space="preserve">genuinely withheld by scaffold. The registry reports 0.898 for that field and labels it as held out,</w:t>
      </w:r>
      <w:r>
        <w:t xml:space="preserve"> </w:t>
      </w:r>
      <w:r>
        <w:t xml:space="preserve">but the script that writes it last scores every active in the endpoint table, about four fifths of</w:t>
      </w:r>
      <w:r>
        <w:t xml:space="preserve"> </w:t>
      </w:r>
      <w:r>
        <w:t xml:space="preserve">which the model was fitted on; the difference of 0.134 is the cost of scoring a</w:t>
      </w:r>
      <w:r>
        <w:t xml:space="preserve"> </w:t>
      </w:r>
      <w:r>
        <w:t xml:space="preserve">model on its own training compounds. Measured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2026-08-27T08:51:39Z</dcterms:created>
  <dcterms:modified xsi:type="dcterms:W3CDTF">2026-08-27T08:51:39Z</dcterms:modified>
</cp:coreProperties>
</file>

<file path=docProps/custom.xml><?xml version="1.0" encoding="utf-8"?>
<Properties xmlns="http://schemas.openxmlformats.org/officeDocument/2006/custom-properties" xmlns:vt="http://schemas.openxmlformats.org/officeDocument/2006/docPropsVTypes"/>
</file>