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receptor; mean sensitivity is 0.8983 with a median of 0.932, ranging from 0.639 at COX-2 to</w:t>
      </w:r>
      <w:r>
        <w:t xml:space="preserve"> </w:t>
      </w:r>
      <w:r>
        <w:t xml:space="preserve">0.997 (</w:t>
      </w:r>
      <w:r>
        <w:rPr>
          <w:rStyle w:val="VerbatimChar"/>
        </w:rPr>
        <w:t xml:space="preserve">submission_package/07_MODELS/binder_panel_registry.json</w:t>
      </w:r>
      <w:r>
        <w:t xml:space="preserve">). Quoting either mean without its</w:t>
      </w:r>
      <w:r>
        <w:t xml:space="preserve"> </w:t>
      </w:r>
      <w:r>
        <w:t xml:space="preserve">range would flatter the panel, and the endpoints at the bottom of those ranges are named wherever the</w:t>
      </w:r>
      <w:r>
        <w:t xml:space="preserve"> </w:t>
      </w:r>
      <w:r>
        <w:t xml:space="preserve">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36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949 returned no actionable disease signal, a specificity of 0.949 with a 95 per cent interval</w:t>
      </w:r>
      <w:r>
        <w:t xml:space="preserve"> </w:t>
      </w:r>
      <w:r>
        <w:t xml:space="preserve">of 0.9336 to 0.961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within 0.03 of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is computed over every active in the endpoint table rather than over the</w:t>
      </w:r>
      <w:r>
        <w:t xml:space="preserve"> </w:t>
      </w:r>
      <w:r>
        <w:t xml:space="preserve">held-out actives its own label claims. The correction belongs here too, because this is the chapter</w:t>
      </w:r>
      <w:r>
        <w:t xml:space="preserve"> </w:t>
      </w:r>
      <w:r>
        <w:t xml:space="preserve">where the panel’s operating behaviour is reported.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2026-08-27T08:34:12Z</dcterms:created>
  <dcterms:modified xsi:type="dcterms:W3CDTF">2026-08-27T08:34:12Z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