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receptor; mean sensitivity is 0.8983 with a median of 0.932, ranging from 0.639 at COX-2 to</w:t>
      </w:r>
      <w:r>
        <w:t xml:space="preserve"> </w:t>
      </w:r>
      <w:r>
        <w:t xml:space="preserve">0.997 (</w:t>
      </w:r>
      <w:r>
        <w:rPr>
          <w:rStyle w:val="VerbatimChar"/>
        </w:rPr>
        <w:t xml:space="preserve">submission_package/07_MODELS/binder_panel_registry.json</w:t>
      </w:r>
      <w:r>
        <w:t xml:space="preserve">). Quoting either mean without its</w:t>
      </w:r>
      <w:r>
        <w:t xml:space="preserve"> </w:t>
      </w:r>
      <w:r>
        <w:t xml:space="preserve">range would flatter the panel, and the endpoints at the bottom of those ranges are named wherever the</w:t>
      </w:r>
      <w:r>
        <w:t xml:space="preserve"> </w:t>
      </w:r>
      <w:r>
        <w:t xml:space="preserve">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nine falsification hypotheses were refuted</w:t>
      </w:r>
      <w:r>
        <w:t xml:space="preserve"> </w:t>
      </w:r>
      <w:r>
        <w:t xml:space="preserve">and are reported as refuted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And engaged targets are not</w:t>
      </w:r>
      <w:r>
        <w:t xml:space="preserve"> </w:t>
      </w:r>
      <w:r>
        <w:t xml:space="preserve">independent observations: 36 targets fire across approved drugs but span only 16 independent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949 returned no actionable disease signal, a specificity of 0.949 with a 95 per cent interval</w:t>
      </w:r>
      <w:r>
        <w:t xml:space="preserve"> </w:t>
      </w:r>
      <w:r>
        <w:t xml:space="preserve">of 0.9336 to 0.961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2026-08-27T08:34:08Z</dcterms:created>
  <dcterms:modified xsi:type="dcterms:W3CDTF">2026-08-27T08:34:08Z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