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9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9"/>
    <w:bookmarkStart w:id="10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10"/>
    <w:bookmarkStart w:id="11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11"/>
    <w:bookmarkStart w:id="12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is computed over every active in the endpoint table rather than over the</w:t>
      </w:r>
      <w:r>
        <w:t xml:space="preserve"> </w:t>
      </w:r>
      <w:r>
        <w:t xml:space="preserve">held-out actives its own label claims. The correction belongs here too, because this is the chapter</w:t>
      </w:r>
      <w:r>
        <w:t xml:space="preserve"> </w:t>
      </w:r>
      <w:r>
        <w:t xml:space="preserve">where the panel’s operating behaviour is reported.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12"/>
    <w:bookmarkStart w:id="14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13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13"/>
    <w:bookmarkEnd w:id="14"/>
    <w:bookmarkStart w:id="15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15"/>
    <w:bookmarkStart w:id="16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1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1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1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16"/>
    <w:bookmarkEnd w:id="1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2026-08-27T08:34:11Z</dcterms:created>
  <dcterms:modified xsi:type="dcterms:W3CDTF">2026-08-27T08:34:11Z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