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0.9212 mean AUROC, ahead of XGBoost (0.9156),</w:t>
      </w:r>
      <w:r>
        <w:t xml:space="preserve"> </w:t>
      </w:r>
      <w:r>
        <w:t xml:space="preserve">histogram gradient boosting (0.9149), the read-across (0.8829) and logistic regression (0.8352), and</w:t>
      </w:r>
      <w:r>
        <w:t xml:space="preserve"> </w:t>
      </w:r>
      <w:r>
        <w:t xml:space="preserve">it exceeds the read-across on all thirteen endpoints, by margins running from 0.0095 at D2 to 0.1099</w:t>
      </w:r>
      <w:r>
        <w:t xml:space="preserve"> </w:t>
      </w:r>
      <w:r>
        <w:t xml:space="preserve">on the antioxidant assay. It is best on seven of the eight classification endpoints, losing AChE to</w:t>
      </w:r>
      <w:r>
        <w:t xml:space="preserve"> </w:t>
      </w:r>
      <w:r>
        <w:t xml:space="preserve">histogram gradient boosting at 0.9148 against 0.9241. It 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(26):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only after its controls were corrected; each is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2026-09-07T17:53:09Z</dcterms:created>
  <dcterms:modified xsi:type="dcterms:W3CDTF">2026-09-07T17:53:09Z</dcterms:modified>
</cp:coreProperties>
</file>

<file path=docProps/custom.xml><?xml version="1.0" encoding="utf-8"?>
<Properties xmlns="http://schemas.openxmlformats.org/officeDocument/2006/custom-properties" xmlns:vt="http://schemas.openxmlformats.org/officeDocument/2006/docPropsVTypes"/>
</file>