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62df67b64eaaeefd165677e56a652373e55597"/>
    <w:p>
      <w:pPr>
        <w:pStyle w:val="Heading1"/>
      </w:pPr>
      <w:r>
        <w:t xml:space="preserve">Chapter 10. Limitations, and what should be done next</w:t>
      </w:r>
    </w:p>
    <w:bookmarkStart w:id="9" w:name="X49618f2f359b3d9481dca58ca44ecc0e8800a71"/>
    <w:p>
      <w:pPr>
        <w:pStyle w:val="Heading2"/>
      </w:pPr>
      <w:r>
        <w:t xml:space="preserve">10.1 Three different things called limitations</w:t>
      </w:r>
    </w:p>
    <w:p>
      <w:pPr>
        <w:pStyle w:val="FirstParagraph"/>
      </w:pPr>
      <w:r>
        <w:t xml:space="preserve">A closing chapter usually mixes three kinds of statement and is weaker for it. They are separated</w:t>
      </w:r>
      <w:r>
        <w:t xml:space="preserve"> </w:t>
      </w:r>
      <w:r>
        <w:t xml:space="preserve">here.</w:t>
      </w:r>
    </w:p>
    <w:p>
      <w:pPr>
        <w:pStyle w:val="BodyText"/>
      </w:pPr>
      <w:r>
        <w:rPr>
          <w:b/>
          <w:bCs/>
        </w:rPr>
        <w:t xml:space="preserve">What the system cannot do</w:t>
      </w:r>
      <w:r>
        <w:t xml:space="preserve">, which is a property of the science and would survive any amount of</w:t>
      </w:r>
      <w:r>
        <w:t xml:space="preserve"> </w:t>
      </w:r>
      <w:r>
        <w:t xml:space="preserve">tidying. Sections 10.2 to 10.6.</w:t>
      </w:r>
    </w:p>
    <w:p>
      <w:pPr>
        <w:pStyle w:val="BodyText"/>
      </w:pPr>
      <w:r>
        <w:rPr>
          <w:b/>
          <w:bCs/>
        </w:rPr>
        <w:t xml:space="preserve">What the record gets wrong</w:t>
      </w:r>
      <w:r>
        <w:t xml:space="preserve">, which is a property of this project’s housekeeping and is fixable.</w:t>
      </w:r>
      <w:r>
        <w:t xml:space="preserve"> </w:t>
      </w:r>
      <w:r>
        <w:t xml:space="preserve">Section 10.7 identifies the one structural defect behind most of it, and section 10.8 is the full</w:t>
      </w:r>
      <w:r>
        <w:t xml:space="preserve"> </w:t>
      </w:r>
      <w:r>
        <w:t xml:space="preserve">ledger of 41 items raised across the preceding nine chapters, ten of which are now closed.</w:t>
      </w:r>
    </w:p>
    <w:p>
      <w:pPr>
        <w:pStyle w:val="BodyText"/>
      </w:pPr>
      <w:r>
        <w:rPr>
          <w:b/>
          <w:bCs/>
        </w:rPr>
        <w:t xml:space="preserve">What should be done next</w:t>
      </w:r>
      <w:r>
        <w:t xml:space="preserve">, ordered by what it would change rather than by how interesting it is.</w:t>
      </w:r>
      <w:r>
        <w:t xml:space="preserve"> </w:t>
      </w:r>
      <w:r>
        <w:t xml:space="preserve">Section 10.9.</w:t>
      </w:r>
    </w:p>
    <w:p>
      <w:pPr>
        <w:pStyle w:val="BodyText"/>
      </w:pPr>
      <w:r>
        <w:t xml:space="preserve">One item of that future work is done in this chapter rather than proposed, because Chapter 9 named</w:t>
      </w:r>
      <w:r>
        <w:t xml:space="preserve"> </w:t>
      </w:r>
      <w:r>
        <w:t xml:space="preserve">it as the falsification suite’s largest gap and a gap named but not filled is only half an</w:t>
      </w:r>
      <w:r>
        <w:t xml:space="preserve"> </w:t>
      </w:r>
      <w:r>
        <w:t xml:space="preserve">observation. Section 10.3 is H10.</w:t>
      </w:r>
    </w:p>
    <w:bookmarkEnd w:id="9"/>
    <w:bookmarkStart w:id="10" w:name="Xa16010f9117effd70d357a3e6e0a6d363986174"/>
    <w:p>
      <w:pPr>
        <w:pStyle w:val="Heading2"/>
      </w:pPr>
      <w:r>
        <w:t xml:space="preserve">10.2 The limitation that dominates every other: accuracy is a function of chemical distance</w:t>
      </w:r>
    </w:p>
    <w:p>
      <w:pPr>
        <w:pStyle w:val="FirstParagraph"/>
      </w:pPr>
      <w:r>
        <w:t xml:space="preserve">If a reader takes one limitation from this thesis it should be this one, because it bounds every</w:t>
      </w:r>
      <w:r>
        <w:t xml:space="preserve"> </w:t>
      </w:r>
      <w:r>
        <w:t xml:space="preserve">number in Chapters 3 to 8 and because the system’s own users will meet it first.</w:t>
      </w:r>
    </w:p>
    <w:p>
      <w:pPr>
        <w:pStyle w:val="BodyText"/>
      </w:pPr>
      <w:r>
        <w:t xml:space="preserve">The panel’s recall depends almost entirely on how close a query is to chemistry the panel has already</w:t>
      </w:r>
      <w:r>
        <w:t xml:space="preserve"> </w:t>
      </w:r>
      <w:r>
        <w:t xml:space="preserve">been shown. Measured on the prospective time split, over 39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results/tables/external_novelty_strata.csv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Nearest-training Tanimoto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 at the deployed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0.40, a different chemotype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0.1612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 to 0.55, a related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0.55 to 0.70, the same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 and above, a close analogue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0.8616</w:t>
            </w:r>
          </w:p>
        </w:tc>
      </w:tr>
    </w:tbl>
    <w:p>
      <w:pPr>
        <w:pStyle w:val="BodyText"/>
      </w:pPr>
      <w:r>
        <w:t xml:space="preserve">Recall runs from 0.16 to 0.86 across that range, a factor of five. On the cross-provenance set,</w:t>
      </w:r>
      <w:r>
        <w:t xml:space="preserve"> </w:t>
      </w:r>
      <w:r>
        <w:t xml:space="preserve">built by a rule that knows nothing about dates, the same curve is steeper still: 0.0494 in the</w:t>
      </w:r>
      <w:r>
        <w:t xml:space="preserve"> </w:t>
      </w:r>
      <w:r>
        <w:t xml:space="preserve">lowest band against 0.9011 in the highest.</w:t>
      </w:r>
    </w:p>
    <w:p>
      <w:pPr>
        <w:pStyle w:val="BodyText"/>
      </w:pPr>
      <w:r>
        <w:rPr>
          <w:b/>
          <w:bCs/>
        </w:rPr>
        <w:t xml:space="preserve">On genuinely novel chemistry the tool finds roughly one true activity in six, and across a database</w:t>
      </w:r>
      <w:r>
        <w:rPr>
          <w:b/>
          <w:bCs/>
        </w:rPr>
        <w:t xml:space="preserve"> </w:t>
      </w:r>
      <w:r>
        <w:rPr>
          <w:b/>
          <w:bCs/>
        </w:rPr>
        <w:t xml:space="preserve">boundary roughly one in twenty.</w:t>
      </w:r>
      <w:r>
        <w:t xml:space="preserve"> </w:t>
      </w:r>
      <w:r>
        <w:t xml:space="preserve">No analysis in this thesis improves that figure. What Chapter 8</w:t>
      </w:r>
      <w:r>
        <w:t xml:space="preserve"> </w:t>
      </w:r>
      <w:r>
        <w:t xml:space="preserve">establishes is that it is</w:t>
      </w:r>
      <w:r>
        <w:t xml:space="preserve"> </w:t>
      </w:r>
      <w:r>
        <w:rPr>
          <w:i/>
          <w:iCs/>
        </w:rPr>
        <w:t xml:space="preserve">predictable</w:t>
      </w:r>
      <w:r>
        <w:t xml:space="preserve">, not that it is good, and the server now reports the expected</w:t>
      </w:r>
      <w:r>
        <w:t xml:space="preserve"> </w:t>
      </w:r>
      <w:r>
        <w:t xml:space="preserve">recall beside a negative result for exactly that reason. A silence at Tanimoto 0.30 is close to</w:t>
      </w:r>
      <w:r>
        <w:t xml:space="preserve"> </w:t>
      </w:r>
      <w:r>
        <w:t xml:space="preserve">uninformative, and a user who reads it as evidence of inactivity is making an error the interface</w:t>
      </w:r>
      <w:r>
        <w:t xml:space="preserve"> </w:t>
      </w:r>
      <w:r>
        <w:t xml:space="preserve">must keep working to prevent.</w:t>
      </w:r>
    </w:p>
    <w:p>
      <w:pPr>
        <w:pStyle w:val="BodyText"/>
      </w:pPr>
      <w:r>
        <w:t xml:space="preserve">This is not a defect of the random forest. It is what a similarity-based featuriser does, and every</w:t>
      </w:r>
      <w:r>
        <w:t xml:space="preserve"> </w:t>
      </w:r>
      <w:r>
        <w:t xml:space="preserve">model family benchmarked in Chapter 3 shares it. It is the reason the composition finding of section</w:t>
      </w:r>
      <w:r>
        <w:t xml:space="preserve"> </w:t>
      </w:r>
      <w:r>
        <w:t xml:space="preserve">8.7 matters: the apparent decay between a random and a temporal split is mostly this curve, seen</w:t>
      </w:r>
      <w:r>
        <w:t xml:space="preserve"> </w:t>
      </w:r>
      <w:r>
        <w:t xml:space="preserve">from a different angle.</w:t>
      </w:r>
    </w:p>
    <w:bookmarkEnd w:id="10"/>
    <w:bookmarkStart w:id="11" w:name="X2dc17d8fbf6e54ecc2bec7b5a544af32e2ca0a0"/>
    <w:p>
      <w:pPr>
        <w:pStyle w:val="Heading2"/>
      </w:pPr>
      <w:r>
        <w:t xml:space="preserve">10.3 The barrier model, tested rather than assumed</w:t>
      </w:r>
    </w:p>
    <w:p>
      <w:pPr>
        <w:pStyle w:val="FirstParagraph"/>
      </w:pPr>
      <w:r>
        <w:t xml:space="preserve">Chapter 9 observed that the falsification suite has nine hypotheses and none of them tests the</w:t>
      </w:r>
      <w:r>
        <w:t xml:space="preserve"> </w:t>
      </w:r>
      <w:r>
        <w:t xml:space="preserve">blood-brain barrier classifier, which gates every disease score and names the architecture. Its only</w:t>
      </w:r>
      <w:r>
        <w:t xml:space="preserve"> </w:t>
      </w:r>
      <w:r>
        <w:t xml:space="preserve">evidence was an external validation, which is a confirmation and not an attempt at refutation.</w:t>
      </w:r>
    </w:p>
    <w:p>
      <w:pPr>
        <w:pStyle w:val="BodyText"/>
      </w:pPr>
      <w:r>
        <w:rPr>
          <w:b/>
          <w:bCs/>
        </w:rPr>
        <w:t xml:space="preserve">H10</w:t>
      </w:r>
      <w:r>
        <w:t xml:space="preserve"> </w:t>
      </w:r>
      <w:r>
        <w:t xml:space="preserve">states the null the project would least like to be true:</w:t>
      </w:r>
    </w:p>
    <w:p>
      <w:pPr>
        <w:pStyle w:val="BodyText"/>
      </w:pPr>
      <w:r>
        <w:t xml:space="preserve">This is not a straw man. Polar surface area, molecular weight and hydrogen-bond donor count are the</w:t>
      </w:r>
      <w:r>
        <w:t xml:space="preserve"> </w:t>
      </w:r>
      <w:r>
        <w:t xml:space="preserve">terms of every published CNS-permeability heuristic, and barrier permeability is the endpoint in this</w:t>
      </w:r>
      <w:r>
        <w:t xml:space="preserve"> </w:t>
      </w:r>
      <w:r>
        <w:t xml:space="preserve">project with the strongest prior claim to being predictable without a fingerprint at all. If the null</w:t>
      </w:r>
      <w:r>
        <w:t xml:space="preserve"> </w:t>
      </w:r>
      <w:r>
        <w:t xml:space="preserve">holds, the barrier model should be replaced by a rule a reader can apply by hand.</w:t>
      </w:r>
    </w:p>
    <w:p>
      <w:pPr>
        <w:pStyle w:val="BodyText"/>
      </w:pPr>
      <w:r>
        <w:rPr>
          <w:rStyle w:val="VerbatimChar"/>
        </w:rPr>
        <w:t xml:space="preserve">inversion/inv_barrier_necessity.py</w:t>
      </w:r>
      <w:r>
        <w:t xml:space="preserve"> </w:t>
      </w:r>
      <w:r>
        <w:t xml:space="preserve">scores every comparator on two populations: the same</w:t>
      </w:r>
      <w:r>
        <w:t xml:space="preserve"> </w:t>
      </w:r>
      <w:r>
        <w:t xml:space="preserve">Bemis-Murcko folds the deployed cross-validation used, read from the stored out-of-fold predictions</w:t>
      </w:r>
      <w:r>
        <w:t xml:space="preserve"> </w:t>
      </w:r>
      <w:r>
        <w:t xml:space="preserve">so the assignment is identical rather than merely similar, and the 227 FDA-curated approved drugs</w:t>
      </w:r>
      <w:r>
        <w:t xml:space="preserve"> </w:t>
      </w:r>
      <w:r>
        <w:t xml:space="preserve">that are absent from B3DB and also distinguishable from training chemistry in feature space.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Scaffold hold-out, n = 3,901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External approved, n = 227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Deployed forest, 1,036 features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0.8779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forest, 12 descriptors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regression, 12 descriptors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TPSA alone, no fitting of any kind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Hydrogen-bond donors 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QED 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CNS heuristic: TPSA ≤ 90 and MW ≤ 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Molecular weight 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cLogP 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0.5804</w:t>
            </w:r>
          </w:p>
        </w:tc>
      </w:tr>
    </w:tbl>
    <w:p>
      <w:pPr>
        <w:pStyle w:val="BodyText"/>
      </w:pPr>
      <w:r>
        <w:t xml:space="preserve">The external column is lower throughout than an earlier edition of this table reported, which gave</w:t>
      </w:r>
      <w:r>
        <w:t xml:space="preserve"> </w:t>
      </w:r>
      <w:r>
        <w:t xml:space="preserve">the deployed forest 0.7934 on 241 compounds. The novelty flag defining that set was computed before</w:t>
      </w:r>
      <w:r>
        <w:t xml:space="preserve"> </w:t>
      </w:r>
      <w:r>
        <w:t xml:space="preserve">the featuriser began neutralising charges, so fourteen of the 241 were by then feature-identical to a</w:t>
      </w:r>
      <w:r>
        <w:t xml:space="preserve"> </w:t>
      </w:r>
      <w:r>
        <w:t xml:space="preserve">training row. Removing them lowers every comparator on that population, which is the point: they were</w:t>
      </w:r>
      <w:r>
        <w:t xml:space="preserve"> </w:t>
      </w:r>
      <w:r>
        <w:t xml:space="preserve">inflating all of them, not only the deployed model.</w:t>
      </w:r>
    </w:p>
    <w:p>
      <w:pPr>
        <w:pStyle w:val="BodyText"/>
      </w:pPr>
      <w:r>
        <w:t xml:space="preserve">Read as point estimates the fingerprint wins on both populations, by 0.0338 and 0.0235.</w:t>
      </w:r>
      <w:r>
        <w:t xml:space="preserve"> </w:t>
      </w:r>
      <w:r>
        <w:rPr>
          <w:b/>
          <w:bCs/>
        </w:rPr>
        <w:t xml:space="preserve">Read with</w:t>
      </w:r>
      <w:r>
        <w:rPr>
          <w:b/>
          <w:bCs/>
        </w:rPr>
        <w:t xml:space="preserve"> </w:t>
      </w:r>
      <w:r>
        <w:rPr>
          <w:b/>
          <w:bCs/>
        </w:rPr>
        <w:t xml:space="preserve">its interval, the answer changes on the population that matters.</w:t>
      </w:r>
      <w:r>
        <w:t xml:space="preserve"> </w:t>
      </w:r>
      <w:r>
        <w:t xml:space="preserve">Every comparator carries a paired</w:t>
      </w:r>
      <w:r>
        <w:t xml:space="preserve"> </w:t>
      </w:r>
      <w:r>
        <w:t xml:space="preserve">bootstrap of 2,000 resamples over compounds, so both models are always judged on the same draw: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</w:t>
            </w:r>
          </w:p>
        </w:tc>
        <w:tc>
          <w:tcPr/>
          <w:p>
            <w:pPr>
              <w:pStyle w:val="Compact"/>
            </w:pPr>
            <w:r>
              <w:t xml:space="preserve">95% interval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Bootstrap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Descriptor forest, scaffold hold-out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0.0338</w:t>
            </w:r>
          </w:p>
        </w:tc>
        <w:tc>
          <w:tcPr/>
          <w:p>
            <w:pPr>
              <w:pStyle w:val="Compact"/>
            </w:pPr>
            <w:r>
              <w:t xml:space="preserve">−0.0409 to −0.0263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Descriptor forest,</w:t>
            </w:r>
            <w:r>
              <w:t xml:space="preserve"> </w:t>
            </w:r>
            <w:r>
              <w:rPr>
                <w:b/>
                <w:bCs/>
              </w:rPr>
              <w:t xml:space="preserve">external approved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−0.0580 to +0.0154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0.107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verdict is WEAKENED, not SUPPORTED.</w:t>
      </w:r>
      <w:r>
        <w:t xml:space="preserve"> </w:t>
      </w:r>
      <w:r>
        <w:t xml:space="preserve">On the training distribution the fingerprint demonstrably</w:t>
      </w:r>
      <w:r>
        <w:t xml:space="preserve"> </w:t>
      </w:r>
      <w:r>
        <w:t xml:space="preserve">earns its place. On 227 approved drugs the model has never seen, its advantage over twelve</w:t>
      </w:r>
      <w:r>
        <w:t xml:space="preserve"> </w:t>
      </w:r>
      <w:r>
        <w:t xml:space="preserve">descriptors is not established: the interval crosses zero. Correcting the novelty flag left the</w:t>
      </w:r>
      <w:r>
        <w:t xml:space="preserve"> </w:t>
      </w:r>
      <w:r>
        <w:t xml:space="preserve">margin almost unchanged, 0.0233 to 0.0235, because both models lost the same memorised compounds,</w:t>
      </w:r>
      <w:r>
        <w:t xml:space="preserve"> </w:t>
      </w:r>
      <w:r>
        <w:t xml:space="preserve">and moved the bootstrap p from 0.083 to 0.107. The conclusion is not merely unaltered by the</w:t>
      </w:r>
      <w:r>
        <w:t xml:space="preserve"> </w:t>
      </w:r>
      <w:r>
        <w:t xml:space="preserve">correction; it is slightly further from significance than when it was first drawn.</w:t>
      </w:r>
    </w:p>
    <w:p>
      <w:pPr>
        <w:pStyle w:val="BodyText"/>
      </w:pPr>
      <w:r>
        <w:t xml:space="preserve">The verdict rule is stated that way deliberately. Chapter 9 criticised H4 for deciding SUPPORTED on a</w:t>
      </w:r>
      <w:r>
        <w:t xml:space="preserve"> </w:t>
      </w:r>
      <w:r>
        <w:t xml:space="preserve">point-estimate comparison whose interval contains its own comparator, and a hypothesis written in</w:t>
      </w:r>
      <w:r>
        <w:t xml:space="preserve"> </w:t>
      </w:r>
      <w:r>
        <w:t xml:space="preserve">response to that criticism must not repeat it. Under the naive rule H10 would read SUPPORTED. Under a</w:t>
      </w:r>
      <w:r>
        <w:t xml:space="preserve"> </w:t>
      </w:r>
      <w:r>
        <w:t xml:space="preserve">rule that reads the interval it does not, and the difference is the whole value of having written the</w:t>
      </w:r>
      <w:r>
        <w:t xml:space="preserve"> </w:t>
      </w:r>
      <w:r>
        <w:t xml:space="preserve">criticism down.</w:t>
      </w:r>
    </w:p>
    <w:p>
      <w:pPr>
        <w:pStyle w:val="BodyText"/>
      </w:pPr>
      <w:r>
        <w:t xml:space="preserve">Two consequences, and neither is that the barrier model should be removed.</w:t>
      </w:r>
    </w:p>
    <w:p>
      <w:pPr>
        <w:pStyle w:val="BodyText"/>
      </w:pPr>
      <w:r>
        <w:rPr>
          <w:b/>
          <w:bCs/>
        </w:rPr>
        <w:t xml:space="preserve">What the project is entitled to claim shrinks.</w:t>
      </w:r>
      <w:r>
        <w:t xml:space="preserve"> </w:t>
      </w:r>
      <w:r>
        <w:t xml:space="preserve">The fingerprint helps on chemistry resembling</w:t>
      </w:r>
      <w:r>
        <w:t xml:space="preserve"> </w:t>
      </w:r>
      <w:r>
        <w:t xml:space="preserve">training data and its contribution to unseen approved drugs is not demonstrated. Any wording implying</w:t>
      </w:r>
      <w:r>
        <w:t xml:space="preserve"> </w:t>
      </w:r>
      <w:r>
        <w:t xml:space="preserve">that the barrier model substantially outperforms physicochemical prediction should be qualified. What</w:t>
      </w:r>
      <w:r>
        <w:t xml:space="preserve"> </w:t>
      </w:r>
      <w:r>
        <w:t xml:space="preserve">it does clearly beat, on both populations and by a wide margin, is the published heuristic: 0.7666</w:t>
      </w:r>
      <w:r>
        <w:t xml:space="preserve"> </w:t>
      </w:r>
      <w:r>
        <w:t xml:space="preserve">against 0.6247 externally.</w:t>
      </w:r>
    </w:p>
    <w:p>
      <w:pPr>
        <w:pStyle w:val="BodyText"/>
      </w:pPr>
      <w:r>
        <w:rPr>
          <w:b/>
          <w:bCs/>
        </w:rPr>
        <w:t xml:space="preserve">The result converges with section 10.2 and with the calibration finding below.</w:t>
      </w:r>
      <w:r>
        <w:t xml:space="preserve"> </w:t>
      </w:r>
      <w:r>
        <w:t xml:space="preserve">The barrier model</w:t>
      </w:r>
      <w:r>
        <w:t xml:space="preserve"> </w:t>
      </w:r>
      <w:r>
        <w:t xml:space="preserve">is the component whose advantage vanishes soonest as chemistry becomes unfamiliar, and it is also the</w:t>
      </w:r>
      <w:r>
        <w:t xml:space="preserve"> </w:t>
      </w:r>
      <w:r>
        <w:t xml:space="preserve">worst-calibrated of the eight core classifiers. It is the single weakest link in the architecture and</w:t>
      </w:r>
      <w:r>
        <w:t xml:space="preserve"> </w:t>
      </w:r>
      <w:r>
        <w:t xml:space="preserve">it sits at the gate.</w:t>
      </w:r>
    </w:p>
    <w:p>
      <w:pPr>
        <w:pStyle w:val="BodyText"/>
      </w:pPr>
      <w:r>
        <w:t xml:space="preserve">H10 is now in</w:t>
      </w:r>
      <w:r>
        <w:t xml:space="preserve"> </w:t>
      </w:r>
      <w:r>
        <w:rPr>
          <w:rStyle w:val="VerbatimChar"/>
        </w:rPr>
        <w:t xml:space="preserve">inversion/results/H10_barrier_necessity.csv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VERDICTS.csv</w:t>
      </w:r>
      <w:r>
        <w:t xml:space="preserve">. It reads its</w:t>
      </w:r>
      <w:r>
        <w:t xml:space="preserve"> </w:t>
      </w:r>
      <w:r>
        <w:t xml:space="preserve">verdict from its own artefact rather than having it recomputed in</w:t>
      </w:r>
      <w:r>
        <w:t xml:space="preserve"> </w:t>
      </w:r>
      <w:r>
        <w:rPr>
          <w:rStyle w:val="VerbatimChar"/>
        </w:rPr>
        <w:t xml:space="preserve">summarise.py</w:t>
      </w:r>
      <w:r>
        <w:t xml:space="preserve">, which is the</w:t>
      </w:r>
      <w:r>
        <w:t xml:space="preserve"> </w:t>
      </w:r>
      <w:r>
        <w:t xml:space="preserve">one-rule arrangement Chapter 9 recommended; H1 to H9 have not been migrated.</w:t>
      </w:r>
    </w:p>
    <w:bookmarkEnd w:id="11"/>
    <w:bookmarkStart w:id="12" w:name="what-the-panel-does-not-cover"/>
    <w:p>
      <w:pPr>
        <w:pStyle w:val="Heading2"/>
      </w:pPr>
      <w:r>
        <w:t xml:space="preserve">10.4 What the panel does not cover</w:t>
      </w:r>
    </w:p>
    <w:p>
      <w:pPr>
        <w:pStyle w:val="FirstParagraph"/>
      </w:pPr>
      <w:r>
        <w:rPr>
          <w:b/>
          <w:bCs/>
        </w:rPr>
        <w:t xml:space="preserve">16 conditions and 51 graph targets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inversion/results/GRAPH_FINGERPRINT.json</w:t>
      </w:r>
      <w:r>
        <w:t xml:space="preserve">), of</w:t>
      </w:r>
      <w:r>
        <w:t xml:space="preserve"> </w:t>
      </w:r>
      <w:r>
        <w:t xml:space="preserve">52 endpoints with 47 deployed and</w:t>
      </w:r>
      <w:r>
        <w:t xml:space="preserve"> </w:t>
      </w:r>
      <w:r>
        <w:rPr>
          <w:b/>
          <w:bCs/>
        </w:rPr>
        <w:t xml:space="preserve">six of those 47 failing the reliability gate</w:t>
      </w:r>
      <w:r>
        <w:t xml:space="preserve">: COX-2, GABA-A,</w:t>
      </w:r>
      <w:r>
        <w:t xml:space="preserve"> </w:t>
      </w:r>
      <w:r>
        <w:t xml:space="preserve">GluN2B, P2X7, SIRT1 and TAAR1. Any mechanism outside that set is invisible, and invisibility is</w:t>
      </w:r>
      <w:r>
        <w:t xml:space="preserve"> </w:t>
      </w:r>
      <w:r>
        <w:t xml:space="preserve">reported as silence, which is the failure mode section 10.2 describes.</w:t>
      </w:r>
    </w:p>
    <w:p>
      <w:pPr>
        <w:pStyle w:val="BodyText"/>
      </w:pPr>
      <w:r>
        <w:rPr>
          <w:b/>
          <w:bCs/>
        </w:rPr>
        <w:t xml:space="preserve">Natural-product chemistry is the largest and best-characterised gap</w:t>
      </w:r>
      <w:r>
        <w:t xml:space="preserve">, and the reason is visible in</w:t>
      </w:r>
      <w:r>
        <w:t xml:space="preserve"> </w:t>
      </w:r>
      <w:r>
        <w:t xml:space="preserve">the training library before any model is scored. Across the</w:t>
      </w:r>
      <w:r>
        <w:t xml:space="preserve"> </w:t>
      </w:r>
      <w:r>
        <w:rPr>
          <w:b/>
          <w:bCs/>
        </w:rPr>
        <w:t xml:space="preserve">170,617</w:t>
      </w:r>
      <w:r>
        <w:t xml:space="preserve"> </w:t>
      </w:r>
      <w:r>
        <w:t xml:space="preserve">structures in the endpoint</w:t>
      </w:r>
      <w:r>
        <w:t xml:space="preserve"> </w:t>
      </w:r>
      <w:r>
        <w:t xml:space="preserve">tables that parse, the median fraction of sp3-hybridised carbon is</w:t>
      </w:r>
      <w:r>
        <w:t xml:space="preserve"> </w:t>
      </w:r>
      <w:r>
        <w:rPr>
          <w:b/>
          <w:bCs/>
        </w:rPr>
        <w:t xml:space="preserve">0.3448</w:t>
      </w:r>
      <w:r>
        <w:t xml:space="preserve">, and only</w:t>
      </w:r>
      <w:r>
        <w:t xml:space="preserve"> </w:t>
      </w:r>
      <w:r>
        <w:rPr>
          <w:b/>
          <w:bCs/>
        </w:rPr>
        <w:t xml:space="preserve">9.23 per</w:t>
      </w:r>
      <w:r>
        <w:rPr>
          <w:b/>
          <w:bCs/>
        </w:rPr>
        <w:t xml:space="preserve"> </w:t>
      </w:r>
      <w:r>
        <w:rPr>
          <w:b/>
          <w:bCs/>
        </w:rPr>
        <w:t xml:space="preserve">cent</w:t>
      </w:r>
      <w:r>
        <w:t xml:space="preserve"> </w:t>
      </w:r>
      <w:r>
        <w:t xml:space="preserve">are both sp3-rich, at a fraction of 0.55 or above, and carry at most one aromatic ring. The</w:t>
      </w:r>
      <w:r>
        <w:t xml:space="preserve"> </w:t>
      </w:r>
      <w:r>
        <w:t xml:space="preserve">quartiles are 0.2308 and 0.4615, so the distribution is narrow as well as low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results/tables/library_sp3_coverage.csv</w:t>
      </w:r>
      <w:r>
        <w:t xml:space="preserve">). Terpenoid and steroidal chemistry is therefore largely</w:t>
      </w:r>
      <w:r>
        <w:t xml:space="preserve"> </w:t>
      </w:r>
      <w:r>
        <w:t xml:space="preserve">outside the library, which is a statement about coverage rather than about the models.</w:t>
      </w:r>
    </w:p>
    <w:p>
      <w:pPr>
        <w:pStyle w:val="BodyText"/>
      </w:pPr>
      <w:r>
        <w:t xml:space="preserve">Assembling an external test set from NPASS began with 3,547 candidate compounds across the panel and</w:t>
      </w:r>
      <w:r>
        <w:t xml:space="preserve"> </w:t>
      </w:r>
      <w:r>
        <w:t xml:space="preserve">produced three scorable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results/tables/external_natural_products_summary.csv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max Tanimoto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GBA1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</w:tr>
    </w:tbl>
    <w:p>
      <w:pPr>
        <w:pStyle w:val="BodyText"/>
      </w:pPr>
      <w:r>
        <w:t xml:space="preserve">Two things about this table matter more than the AUROCs.</w:t>
      </w:r>
      <w:r>
        <w:t xml:space="preserve"> </w:t>
      </w:r>
      <w:r>
        <w:rPr>
          <w:b/>
          <w:bCs/>
        </w:rPr>
        <w:t xml:space="preserve">1,385 of the candidates had to be removed</w:t>
      </w:r>
      <w:r>
        <w:rPr>
          <w:b/>
          <w:bCs/>
        </w:rPr>
        <w:t xml:space="preserve"> </w:t>
      </w:r>
      <w:r>
        <w:rPr>
          <w:b/>
          <w:bCs/>
        </w:rPr>
        <w:t xml:space="preserve">as contaminated</w:t>
      </w:r>
      <w:r>
        <w:t xml:space="preserve">, being training compounds written as a different tautomer or salt, which is the</w:t>
      </w:r>
      <w:r>
        <w:t xml:space="preserve"> </w:t>
      </w:r>
      <w:r>
        <w:t xml:space="preserve">same stereo-blind featuriser problem that Chapter 8 found in the external barrier set. And</w:t>
      </w:r>
      <w:r>
        <w:t xml:space="preserve"> </w:t>
      </w:r>
      <w:r>
        <w:rPr>
          <w:b/>
          <w:bCs/>
        </w:rPr>
        <w:t xml:space="preserve">23 of</w:t>
      </w:r>
      <w:r>
        <w:rPr>
          <w:b/>
          <w:bCs/>
        </w:rPr>
        <w:t xml:space="preserve"> </w:t>
      </w:r>
      <w:r>
        <w:rPr>
          <w:b/>
          <w:bCs/>
        </w:rPr>
        <w:t xml:space="preserve">the surveyed targets have no deployed estimator at all</w:t>
      </w:r>
      <w:r>
        <w:t xml:space="preserve">, so most of the natural-product question</w:t>
      </w:r>
      <w:r>
        <w:t xml:space="preserve"> </w:t>
      </w:r>
      <w:r>
        <w:t xml:space="preserve">cannot be asked of this system.</w:t>
      </w:r>
    </w:p>
    <w:p>
      <w:pPr>
        <w:pStyle w:val="BodyText"/>
      </w:pPr>
      <w:r>
        <w:t xml:space="preserve">With two to five actives per endpoint, those three intervals are far too wide to establish failure.</w:t>
      </w:r>
      <w:r>
        <w:t xml:space="preserve"> </w:t>
      </w:r>
      <w:r>
        <w:t xml:space="preserve">They are equally far from supporting a claim of natural-product competence, and the honest statement</w:t>
      </w:r>
      <w:r>
        <w:t xml:space="preserve"> </w:t>
      </w:r>
      <w:r>
        <w:t xml:space="preserve">is that the system is untested on this chemistry rather than that it fails on it.</w:t>
      </w:r>
    </w:p>
    <w:bookmarkEnd w:id="12"/>
    <w:bookmarkStart w:id="13" w:name="Xaf73be0b6385a6f30bcb9b5bc86b912b6b5bce1"/>
    <w:p>
      <w:pPr>
        <w:pStyle w:val="Heading2"/>
      </w:pPr>
      <w:r>
        <w:t xml:space="preserve">10.5 Uncertainty is complete for eight estimators and largely absent for forty-seven</w:t>
      </w:r>
    </w:p>
    <w:p>
      <w:pPr>
        <w:pStyle w:val="FirstParagraph"/>
      </w:pPr>
      <w:r>
        <w:t xml:space="preserve">The uncertainty stack described in Chapter 4, isotonic calibration on out-of-fold predictions plus</w:t>
      </w:r>
      <w:r>
        <w:t xml:space="preserve"> </w:t>
      </w:r>
      <w:r>
        <w:t xml:space="preserve">Mondrian conformal prediction plus an applicability band, is complete for the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core</w:t>
      </w:r>
      <w:r>
        <w:t xml:space="preserve"> </w:t>
      </w:r>
      <w:r>
        <w:t xml:space="preserve">classifiers and not for the target panel. Counted per layer rather than asserted, since the layers</w:t>
      </w:r>
      <w:r>
        <w:t xml:space="preserve"> </w:t>
      </w:r>
      <w:r>
        <w:t xml:space="preserve">do not stop at the same place: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core classifiers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 deployed binder endpoints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ADME and auxiliary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Isotonic 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of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Conformal 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of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Applicability 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of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 of 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of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Per-endpoint calibration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of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 of 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Two counts in that table deserve stating rather than leaving to be read off.</w:t>
      </w:r>
      <w:r>
        <w:t xml:space="preserve"> </w:t>
      </w:r>
      <w:r>
        <w:rPr>
          <w:b/>
          <w:bCs/>
        </w:rPr>
        <w:t xml:space="preserve">Nine of the 47</w:t>
      </w:r>
      <w:r>
        <w:rPr>
          <w:b/>
          <w:bCs/>
        </w:rPr>
        <w:t xml:space="preserve"> </w:t>
      </w:r>
      <w:r>
        <w:rPr>
          <w:b/>
          <w:bCs/>
        </w:rPr>
        <w:t xml:space="preserve">deployed binder endpoints carry no measured calibration error at all</w:t>
      </w:r>
      <w:r>
        <w:t xml:space="preserve">: CGRP, GABA-A, GBA1, GluN2B,</w:t>
      </w:r>
      <w:r>
        <w:t xml:space="preserve"> </w:t>
      </w:r>
      <w:r>
        <w:t xml:space="preserve">KEAP1, Nav1.5, Nav1.8, SIRT1 and α3β4 nAChR.</w:t>
      </w:r>
      <w:r>
        <w:t xml:space="preserve"> </w:t>
      </w:r>
      <w:r>
        <w:rPr>
          <w:b/>
          <w:bCs/>
        </w:rPr>
        <w:t xml:space="preserve">Eight carry no per-endpoint applicability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</w:t>
      </w:r>
      <w:r>
        <w:t xml:space="preserve">, so a query against them falls back to the global domain call. Neither absence is</w:t>
      </w:r>
      <w:r>
        <w:t xml:space="preserve"> </w:t>
      </w:r>
      <w:r>
        <w:t xml:space="preserve">reported anywhere in the interface.</w:t>
      </w:r>
    </w:p>
    <w:p>
      <w:pPr>
        <w:pStyle w:val="BodyText"/>
      </w:pPr>
      <w:r>
        <w:t xml:space="preserve">The core figures are good and the headline is honest about the mean but not about the spread.</w:t>
      </w:r>
      <w:r>
        <w:t xml:space="preserve"> </w:t>
      </w:r>
      <w:r>
        <w:t xml:space="preserve">Expected calibration error falls from a mean of 0.0801 raw to</w:t>
      </w:r>
      <w:r>
        <w:t xml:space="preserve"> </w:t>
      </w:r>
      <w:r>
        <w:rPr>
          <w:b/>
          <w:bCs/>
        </w:rPr>
        <w:t xml:space="preserve">0.0147</w:t>
      </w:r>
      <w:r>
        <w:t xml:space="preserve"> </w:t>
      </w:r>
      <w:r>
        <w:t xml:space="preserve">after isotonic calibration,</w:t>
      </w:r>
      <w:r>
        <w:t xml:space="preserve"> </w:t>
      </w:r>
      <w:r>
        <w:t xml:space="preserve">over a range of</w:t>
      </w:r>
      <w:r>
        <w:t xml:space="preserve"> </w:t>
      </w:r>
      <w:r>
        <w:rPr>
          <w:b/>
          <w:bCs/>
        </w:rPr>
        <w:t xml:space="preserve">0.0049 at BACE1 to 0.0412 at BBB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results/tables/calibration.csv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The barrier model is the worst-calibrated of the eight, at 0.0412, nearly three times the mean.</w:t>
      </w:r>
      <w:r>
        <w:t xml:space="preserve"> </w:t>
      </w:r>
      <w:r>
        <w:t xml:space="preserve">That has not been stated anywhere in the project, and it matters more than the rank alone suggests,</w:t>
      </w:r>
      <w:r>
        <w:t xml:space="preserve"> </w:t>
      </w:r>
      <w:r>
        <w:t xml:space="preserve">because the barrier probability is not merely reported: it multiplies every disease score. A</w:t>
      </w:r>
      <w:r>
        <w:t xml:space="preserve"> </w:t>
      </w:r>
      <w:r>
        <w:t xml:space="preserve">mis-calibrated gate propagates into every condition at once.</w:t>
      </w:r>
    </w:p>
    <w:p>
      <w:pPr>
        <w:pStyle w:val="BodyText"/>
      </w:pPr>
      <w:r>
        <w:t xml:space="preserve">Across the 38 Platt-scaled binder endpoints that carry one, the expected calibration error is</w:t>
      </w:r>
      <w:r>
        <w:t xml:space="preserve"> </w:t>
      </w:r>
      <w:r>
        <w:rPr>
          <w:b/>
          <w:bCs/>
        </w:rPr>
        <w:t xml:space="preserve">mean 0.0762, median 0.0675, range 0.0300 to 0.1780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results/tables/integrity_calibration_per_target.csv</w:t>
      </w:r>
      <w:r>
        <w:t xml:space="preserve">), about five times the core figure. The</w:t>
      </w:r>
      <w:r>
        <w:t xml:space="preserve"> </w:t>
      </w:r>
      <w:r>
        <w:t xml:space="preserve">binder endpoints also have</w:t>
      </w:r>
      <w:r>
        <w:t xml:space="preserve"> </w:t>
      </w:r>
      <w:r>
        <w:rPr>
          <w:b/>
          <w:bCs/>
        </w:rPr>
        <w:t xml:space="preserve">no conformal coverage statement of any kind</w:t>
      </w:r>
      <w:r>
        <w:t xml:space="preserve">. So the uncertainty</w:t>
      </w:r>
      <w:r>
        <w:t xml:space="preserve"> </w:t>
      </w:r>
      <w:r>
        <w:t xml:space="preserve">machinery is most complete for the eight endpoints a user is least likely to query and thinnest for</w:t>
      </w:r>
      <w:r>
        <w:t xml:space="preserve"> </w:t>
      </w:r>
      <w:r>
        <w:t xml:space="preserve">the 47 they are most likely to.</w:t>
      </w:r>
    </w:p>
    <w:bookmarkEnd w:id="13"/>
    <w:bookmarkStart w:id="14" w:name="X022dcea97347ee2c601a0cade641aae0a0972f9"/>
    <w:p>
      <w:pPr>
        <w:pStyle w:val="Heading2"/>
      </w:pPr>
      <w:r>
        <w:t xml:space="preserve">10.6 What the specificity figure is, and what it is not</w:t>
      </w:r>
    </w:p>
    <w:p>
      <w:pPr>
        <w:pStyle w:val="FirstParagraph"/>
      </w:pPr>
      <w:r>
        <w:t xml:space="preserve">Specificity on the non-CNS library is</w:t>
      </w:r>
      <w:r>
        <w:t xml:space="preserve"> </w:t>
      </w:r>
      <w:r>
        <w:rPr>
          <w:b/>
          <w:bCs/>
        </w:rPr>
        <w:t xml:space="preserve">0.925</w:t>
      </w:r>
      <w:r>
        <w:t xml:space="preserve">, 925 of 1,000, interval 0.907 to 0.9397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results/tables/noncns_specificity_summary.csv</w:t>
      </w:r>
      <w:r>
        <w:t xml:space="preserve">). The artefact labels it correctly and the label</w:t>
      </w:r>
      <w:r>
        <w:t xml:space="preserve"> </w:t>
      </w:r>
      <w:r>
        <w:t xml:space="preserve">should travel with the number: it 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, because the compounds are presumed inactive</w:t>
      </w:r>
      <w:r>
        <w:t xml:space="preserve"> </w:t>
      </w:r>
      <w:r>
        <w:t xml:space="preserve">on the grounds that nothing is recorded about them, not proven inactive.</w:t>
      </w:r>
    </w:p>
    <w:p>
      <w:pPr>
        <w:pStyle w:val="BodyText"/>
      </w:pPr>
      <w:r>
        <w:t xml:space="preserve">Two further qualifications, both established elsewhere in this thesis:</w:t>
      </w:r>
    </w:p>
    <w:p>
      <w:pPr>
        <w:pStyle w:val="Compact"/>
        <w:numPr>
          <w:ilvl w:val="0"/>
          <w:numId w:val="1001"/>
        </w:numPr>
      </w:pPr>
      <w:r>
        <w:t xml:space="preserve">The compounds are drawn from within the applicability-domain reference, so the figure does not</w:t>
      </w:r>
      <w:r>
        <w:t xml:space="preserve"> </w:t>
      </w:r>
      <w:r>
        <w:t xml:space="preserve">bound behaviour on genuinely distant chemistry. H4 addresses that and, as Chapter 9 shows, does so</w:t>
      </w:r>
      <w:r>
        <w:t xml:space="preserve"> </w:t>
      </w:r>
      <w:r>
        <w:t xml:space="preserve">on 61 compounds carrying one false positive, which is not enough to separate the strata.</w:t>
      </w:r>
    </w:p>
    <w:p>
      <w:pPr>
        <w:pStyle w:val="Compact"/>
        <w:numPr>
          <w:ilvl w:val="0"/>
          <w:numId w:val="1001"/>
        </w:numPr>
      </w:pPr>
      <w:r>
        <w:t xml:space="preserve">The applicability flag itself is a weak instrument. Against chemistry genuinely absent from the</w:t>
      </w:r>
      <w:r>
        <w:t xml:space="preserve"> </w:t>
      </w:r>
      <w:r>
        <w:t xml:space="preserve">reference it separates at a median maximum similarity of 0.59 for unseen drugs against 0.47 for</w:t>
      </w:r>
      <w:r>
        <w:t xml:space="preserve"> </w:t>
      </w:r>
      <w:r>
        <w:t xml:space="preserve">non-drug-like controls (n = 25, Mann-Whitney p = 1.11 × 10⁻³), but only</w:t>
      </w:r>
      <w:r>
        <w:t xml:space="preserve"> </w:t>
      </w:r>
      <w:r>
        <w:rPr>
          <w:b/>
          <w:bCs/>
        </w:rPr>
        <w:t xml:space="preserve">20 per cent</w:t>
      </w:r>
      <w:r>
        <w:t xml:space="preserve"> </w:t>
      </w:r>
      <w:r>
        <w:t xml:space="preserve">of</w:t>
      </w:r>
      <w:r>
        <w:t xml:space="preserve"> </w:t>
      </w:r>
      <w:r>
        <w:t xml:space="preserve">non-drug-like structures fall below the deployed threshold of 0.30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results/tables/inversion_validation.csv</w:t>
      </w:r>
      <w:r>
        <w:t xml:space="preserve">). The conformal interval and the nearest-analogue</w:t>
      </w:r>
      <w:r>
        <w:t xml:space="preserve"> </w:t>
      </w:r>
      <w:r>
        <w:t xml:space="preserve">distance are the stronger statements and the interface presents them as such.</w:t>
      </w:r>
    </w:p>
    <w:bookmarkEnd w:id="14"/>
    <w:bookmarkStart w:id="15" w:name="Xf89c5e174c453eeb8e85907f1df5d0613d7eb29"/>
    <w:p>
      <w:pPr>
        <w:pStyle w:val="Heading2"/>
      </w:pPr>
      <w:r>
        <w:t xml:space="preserve">10.7 One structural defect explains most of the record’s errors</w:t>
      </w:r>
    </w:p>
    <w:p>
      <w:pPr>
        <w:pStyle w:val="FirstParagraph"/>
      </w:pPr>
      <w:r>
        <w:t xml:space="preserve">Across nine chapters this thesis has reported roughly two dozen places where a document disagrees</w:t>
      </w:r>
      <w:r>
        <w:t xml:space="preserve"> </w:t>
      </w:r>
      <w:r>
        <w:t xml:space="preserve">with an artefact. They are not independent mistakes. Almost all of them are instances of one defect:</w:t>
      </w:r>
    </w:p>
    <w:p>
      <w:pPr>
        <w:pStyle w:val="BodyText"/>
      </w:pPr>
      <w:r>
        <w:t xml:space="preserve">The instances, in the order they were found: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The number</w:t>
            </w:r>
          </w:p>
        </w:tc>
        <w:tc>
          <w:tcPr/>
          <w:p>
            <w:pPr>
              <w:pStyle w:val="Compact"/>
            </w:pPr>
            <w:r>
              <w:t xml:space="preserve">Where it lived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censored-bound recovery count, 21,994 against a recount of 29,751</w:t>
            </w:r>
          </w:p>
        </w:tc>
        <w:tc>
          <w:tcPr/>
          <w:p>
            <w:pPr>
              <w:pStyle w:val="Compact"/>
            </w:pPr>
            <w:r>
              <w:t xml:space="preserve">hard-coded in the report generator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The label-permutation null, 0.4938 and 0.4921</w:t>
            </w:r>
          </w:p>
        </w:tc>
        <w:tc>
          <w:tcPr/>
          <w:p>
            <w:pPr>
              <w:pStyle w:val="Compact"/>
            </w:pPr>
            <w:r>
              <w:t xml:space="preserve">hard-coded in a literal prose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The independent-reproduction figure, 26 values to 4.7 × 10⁻⁵</w:t>
            </w:r>
          </w:p>
        </w:tc>
        <w:tc>
          <w:tcPr/>
          <w:p>
            <w:pPr>
              <w:pStyle w:val="Compact"/>
            </w:pPr>
            <w:r>
              <w:t xml:space="preserve">hard-coded in the same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The H2 weight ablation, 0.7917 / 0.7911 / 0.7899 over 15,609 compounds</w:t>
            </w:r>
          </w:p>
        </w:tc>
        <w:tc>
          <w:tcPr/>
          <w:p>
            <w:pPr>
              <w:pStyle w:val="Compact"/>
            </w:pPr>
            <w:r>
              <w:t xml:space="preserve">hard-coded in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Five co-firing correlations and three conditional probabilities</w:t>
            </w:r>
          </w:p>
        </w:tc>
        <w:tc>
          <w:tcPr/>
          <w:p>
            <w:pPr>
              <w:pStyle w:val="Compact"/>
            </w:pPr>
            <w:r>
              <w:t xml:space="preserve">hard-coded in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  <w:r>
              <w:t xml:space="preserve">, user-visible, since derived from the 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The natural-product coverage figures</w:t>
            </w:r>
          </w:p>
        </w:tc>
        <w:tc>
          <w:tcPr/>
          <w:p>
            <w:pPr>
              <w:pStyle w:val="Compact"/>
            </w:pPr>
            <w:r>
              <w:t xml:space="preserve">computed inside the report generator, held by no file until this chapter</w:t>
            </w:r>
          </w:p>
        </w:tc>
      </w:tr>
    </w:tbl>
    <w:p>
      <w:pPr>
        <w:pStyle w:val="BodyText"/>
      </w:pPr>
      <w:r>
        <w:t xml:space="preserve">The last row is the mildest and the most instructive. Those two figures are genuinely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at</w:t>
      </w:r>
      <w:r>
        <w:t xml:space="preserve"> </w:t>
      </w:r>
      <w:r>
        <w:t xml:space="preserve">report time, from the endpoint tables, and the generator’s own comment records that they had</w:t>
      </w:r>
      <w:r>
        <w:t xml:space="preserve"> </w:t>
      </w:r>
      <w:r>
        <w:t xml:space="preserve">previously drifted as prose: the median was stated as 0.36 against a measured 0.34, and the sp3-rich</w:t>
      </w:r>
      <w:r>
        <w:t xml:space="preserve"> </w:t>
      </w:r>
      <w:r>
        <w:t xml:space="preserve">share as 3.3 per cent against a measured 9.2. Measuring them was the right response. Not writing them</w:t>
      </w:r>
      <w:r>
        <w:t xml:space="preserve"> </w:t>
      </w:r>
      <w:r>
        <w:t xml:space="preserve">to a file was not, because no other document could cite them and nothing checked them. They are now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results/tables/library_sp3_coverage.csv</w:t>
      </w:r>
      <w:r>
        <w:t xml:space="preserve">, declared in the freshness graph, and they reproduce the</w:t>
      </w:r>
      <w:r>
        <w:t xml:space="preserve"> </w:t>
      </w:r>
      <w:r>
        <w:t xml:space="preserve">generator’s values exactly at 0.3448 and 9.23 per cent. What remains is for the generator to read the</w:t>
      </w:r>
      <w:r>
        <w:t xml:space="preserve"> </w:t>
      </w:r>
      <w:r>
        <w:t xml:space="preserve">artefact instead of recomputing it, which is outstanding item 1 below.</w:t>
      </w:r>
    </w:p>
    <w:p>
      <w:pPr>
        <w:pStyle w:val="BodyText"/>
      </w:pPr>
      <w:r>
        <w:t xml:space="preserve">The remedy is uniform and cheap:</w:t>
      </w:r>
      <w:r>
        <w:t xml:space="preserve"> </w:t>
      </w:r>
      <w:r>
        <w:rPr>
          <w:b/>
          <w:bCs/>
        </w:rPr>
        <w:t xml:space="preserve">every number a document states should be read from a file at build</w:t>
      </w:r>
      <w:r>
        <w:rPr>
          <w:b/>
          <w:bCs/>
        </w:rPr>
        <w:t xml:space="preserve"> </w:t>
      </w:r>
      <w:r>
        <w:rPr>
          <w:b/>
          <w:bCs/>
        </w:rPr>
        <w:t xml:space="preserve">time, and every file should be declared in the freshness graph.</w:t>
      </w:r>
      <w:r>
        <w:t xml:space="preserve"> </w:t>
      </w:r>
      <w:r>
        <w:t xml:space="preserve">This project already does that for</w:t>
      </w:r>
      <w:r>
        <w:t xml:space="preserve"> </w:t>
      </w:r>
      <w:r>
        <w:t xml:space="preserve">most of its figures, which is why the exceptions are visible at all.</w:t>
      </w:r>
    </w:p>
    <w:p>
      <w:pPr>
        <w:pStyle w:val="BodyText"/>
      </w:pPr>
      <w:r>
        <w:t xml:space="preserve">Two related gaps in the checking machinery were found alongside them, and both are recorded in</w:t>
      </w:r>
      <w:r>
        <w:t xml:space="preserve"> </w:t>
      </w:r>
      <w:r>
        <w:t xml:space="preserve">section 10.8: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freshness graph’s inputs are data and models, never code.</w:t>
      </w:r>
      <w:r>
        <w:t xml:space="preserve"> </w:t>
      </w:r>
      <w:r>
        <w:t xml:space="preserve">A generator can be corrected</w:t>
      </w:r>
      <w:r>
        <w:t xml:space="preserve"> </w:t>
      </w:r>
      <w:r>
        <w:t xml:space="preserve">without anything marking its output stale, which is why</w:t>
      </w:r>
      <w:r>
        <w:t xml:space="preserve"> </w:t>
      </w:r>
      <w:r>
        <w:rPr>
          <w:rStyle w:val="VerbatimChar"/>
        </w:rPr>
        <w:t xml:space="preserve">background_specificity.csv</w:t>
      </w:r>
      <w:r>
        <w:t xml:space="preserve"> </w:t>
      </w:r>
      <w:r>
        <w:t xml:space="preserve">still holds</w:t>
      </w:r>
      <w:r>
        <w:t xml:space="preserve"> </w:t>
      </w:r>
      <w:r>
        <w:t xml:space="preserve">pre-correction output from a script fixed on 27 August.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falsification verdicts are pinned by no test.</w:t>
      </w:r>
      <w:r>
        <w:t xml:space="preserve"> </w:t>
      </w:r>
      <w:r>
        <w:t xml:space="preserve">A rerun that flipped one would be caught only</w:t>
      </w:r>
      <w:r>
        <w:t xml:space="preserve"> </w:t>
      </w:r>
      <w:r>
        <w:t xml:space="preserve">by a person reading the report.</w:t>
      </w:r>
    </w:p>
    <w:bookmarkEnd w:id="15"/>
    <w:bookmarkStart w:id="16" w:name="the-ledger"/>
    <w:p>
      <w:pPr>
        <w:pStyle w:val="Heading2"/>
      </w:pPr>
      <w:r>
        <w:t xml:space="preserve">10.8 The ledger</w:t>
      </w:r>
    </w:p>
    <w:p>
      <w:pPr>
        <w:pStyle w:val="FirstParagraph"/>
      </w:pPr>
      <w:r>
        <w:t xml:space="preserve">41 items were raised across Chapters 1 to 9. Ten are now closed. They are listed as closed rather</w:t>
      </w:r>
      <w:r>
        <w:t xml:space="preserve"> </w:t>
      </w:r>
      <w:r>
        <w:t xml:space="preserve">than removed, because a thesis that silently drops its own outstanding items is doing the thing this</w:t>
      </w:r>
      <w:r>
        <w:t xml:space="preserve"> </w:t>
      </w:r>
      <w:r>
        <w:t xml:space="preserve">chapter is about.</w:t>
      </w:r>
    </w:p>
    <w:p>
      <w:pPr>
        <w:pStyle w:val="BodyText"/>
      </w:pPr>
      <w:r>
        <w:rPr>
          <w:b/>
          <w:bCs/>
        </w:rPr>
        <w:t xml:space="preserve">Closed while writing.</w:t>
      </w:r>
      <w:r>
        <w:t xml:space="preserve"> </w:t>
      </w:r>
      <w:r>
        <w:t xml:space="preserve">Six were closed in the course of writing Chapters 5 to 10.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Raised</w:t>
            </w:r>
          </w:p>
        </w:tc>
        <w:tc>
          <w:tcPr/>
          <w:p>
            <w:pPr>
              <w:pStyle w:val="Compact"/>
            </w:pPr>
            <w:r>
              <w:t xml:space="preserve">Closed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published binder sensitivity is measured on training compounds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ab88039</w:t>
            </w:r>
            <w:r>
              <w:t xml:space="preserve">; registry now holds the held-out figure on all 47 endpoints, reconciliation gap +0.000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calibrate_background_specificity.py</w:t>
            </w:r>
            <w:r>
              <w:t xml:space="preserve"> </w:t>
            </w:r>
            <w:r>
              <w:t xml:space="preserve">should score held-out actives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Fixed at the source, so the overwrite cannot recur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specificity change from 0.949 to 0.925 was untraced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Traced to stale base rates corrected by</w:t>
            </w:r>
            <w:r>
              <w:t xml:space="preserve"> </w:t>
            </w:r>
            <w:r>
              <w:rPr>
                <w:rStyle w:val="VerbatimChar"/>
              </w:rPr>
              <w:t xml:space="preserve">fd7aaa0</w:t>
            </w:r>
            <w:r>
              <w:t xml:space="preserve">; not a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label-permutation null has no artefact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results/tables/permutation_null.csv</w:t>
            </w:r>
            <w:r>
              <w:t xml:space="preserve">, built for Chapter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falsification suite has no hypothesis for the barrier model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H10, section 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natural-product coverage figures have no artefact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results/tables/library_sp3_coverage.csv</w:t>
            </w:r>
            <w:r>
              <w:t xml:space="preserve">, built for this chapter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Closed after writing.</w:t>
      </w:r>
      <w:r>
        <w:t xml:space="preserve"> </w:t>
      </w:r>
      <w:r>
        <w:t xml:space="preserve">Four more were repaired on 2026-09-02 in commit</w:t>
      </w:r>
      <w:r>
        <w:t xml:space="preserve"> </w:t>
      </w:r>
      <w:r>
        <w:rPr>
          <w:rStyle w:val="VerbatimChar"/>
        </w:rPr>
        <w:t xml:space="preserve">1f91925</w:t>
      </w:r>
      <w:r>
        <w:t xml:space="preserve">, which audited</w:t>
      </w:r>
      <w:r>
        <w:t xml:space="preserve"> </w:t>
      </w:r>
      <w:r>
        <w:t xml:space="preserve">Chapters 8 to 10 against the files they cite. They are recorded here because the ledger is the</w:t>
      </w:r>
      <w:r>
        <w:t xml:space="preserve"> </w:t>
      </w:r>
      <w:r>
        <w:t xml:space="preserve">chapter’s own claim about the state of the project, and a ledger that goes stale is the defect</w:t>
      </w:r>
      <w:r>
        <w:t xml:space="preserve"> </w:t>
      </w:r>
      <w:r>
        <w:t xml:space="preserve">section 10.7 describes.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Raised</w:t>
            </w:r>
          </w:p>
        </w:tc>
        <w:tc>
          <w:tcPr/>
          <w:p>
            <w:pPr>
              <w:pStyle w:val="Compact"/>
            </w:pPr>
            <w:r>
              <w:t xml:space="preserve">Closed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interface quotes co-firing correlations that no longer match the artefact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FAMILY_COFIRE</w:t>
            </w:r>
            <w:r>
              <w:t xml:space="preserve"> </w:t>
            </w:r>
            <w:r>
              <w:t xml:space="preserve">is now derived from the artefact by a function. The repair found a worse defect than Chapter 9 had: the nicotinic entry asserted a family-level conclusion resting on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joint approved drug, which the file could not distinguish from a certainty because every rate in it is a multiple of 1/400. The artefact now carries</w:t>
            </w:r>
            <w:r>
              <w:t xml:space="preserve"> </w:t>
            </w:r>
            <w:r>
              <w:rPr>
                <w:rStyle w:val="VerbatimChar"/>
              </w:rPr>
              <w:t xml:space="preserve">n_drugs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n_joint</w:t>
            </w:r>
            <w:r>
              <w:t xml:space="preserve">, and suppresses any pair supported by fewer than ten drugs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app.py:102-104</w:t>
            </w:r>
            <w:r>
              <w:t xml:space="preserve"> </w:t>
            </w:r>
            <w:r>
              <w:t xml:space="preserve">quotes the withdrawn H2 triple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Corrected to 0.7901 / 0.7897 / 0.7874 over 7,008, with a note recording what it used to say. Audit item BS-M-04 now closed in the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background_specificity.csv</w:t>
            </w:r>
            <w:r>
              <w:t xml:space="preserve"> </w:t>
            </w:r>
            <w:r>
              <w:t xml:space="preserve">holds pre-correction output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Refreshed by updating only its two reported columns from the registry.</w:t>
            </w:r>
            <w:r>
              <w:t xml:space="preserve"> </w:t>
            </w:r>
            <w:r>
              <w:rPr>
                <w:b/>
                <w:bCs/>
              </w:rPr>
              <w:t xml:space="preserve">No threshold and no background false-positive rate moved on any of the 47 endpoints</w:t>
            </w:r>
            <w:r>
              <w:t xml:space="preserve">, and the shipped copy in the submission package was updated with it. Two tests pin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technical report’s cross-provenance section is stale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The 0.868 was not hard-coded; the report computes it and had never been rebuilt, because</w:t>
            </w:r>
            <w:r>
              <w:t xml:space="preserve"> </w:t>
            </w:r>
            <w:r>
              <w:rPr>
                <w:rStyle w:val="VerbatimChar"/>
              </w:rPr>
              <w:t xml:space="preserve">TECHNICAL_REPORT.md</w:t>
            </w:r>
            <w:r>
              <w:t xml:space="preserve"> </w:t>
            </w:r>
            <w:r>
              <w:t xml:space="preserve">was the one generated document outside the freshness graph. It is now declared against all 23 of its inputs and rebuilt at 0.716</w:t>
            </w:r>
          </w:p>
        </w:tc>
      </w:tr>
    </w:tbl>
    <w:p>
      <w:pPr>
        <w:pStyle w:val="BodyText"/>
      </w:pPr>
      <w:r>
        <w:t xml:space="preserve">The third of those deserves a sentence, because Chapter 9 posed it as a dilemma and the resolution is</w:t>
      </w:r>
      <w:r>
        <w:t xml:space="preserve"> </w:t>
      </w:r>
      <w:r>
        <w:t xml:space="preserve">narrower than either horn. Four of that file’s six columns were already correct; only the two</w:t>
      </w:r>
      <w:r>
        <w:t xml:space="preserve"> </w:t>
      </w:r>
      <w:r>
        <w:t xml:space="preserve">reported ones were stale, so refreshing those two from the registry avoids re-running the sequence</w:t>
      </w:r>
      <w:r>
        <w:t xml:space="preserve"> </w:t>
      </w:r>
      <w:r>
        <w:t xml:space="preserve">that would rewrite every operating threshold to correct a reported one. And the version a reviewer</w:t>
      </w:r>
      <w:r>
        <w:t xml:space="preserve"> </w:t>
      </w:r>
      <w:r>
        <w:t xml:space="preserve">holds was corrected at the same time as the local one, which is the part that mattered: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disagreement was visible to reviewers before it was visible to us.</w:t>
      </w:r>
    </w:p>
    <w:p>
      <w:pPr>
        <w:pStyle w:val="BodyText"/>
      </w:pPr>
      <w:r>
        <w:rPr>
          <w:b/>
          <w:bCs/>
        </w:rPr>
        <w:t xml:space="preserve">Open, ordered by consequence.</w:t>
      </w:r>
      <w:r>
        <w:t xml:space="preserve"> </w:t>
      </w:r>
      <w:r>
        <w:t xml:space="preserve">The first two change something a reader would quote; the rest are</w:t>
      </w:r>
      <w:r>
        <w:t xml:space="preserve"> </w:t>
      </w:r>
      <w:r>
        <w:t xml:space="preserve">housekeeping.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sensitivity correction has reached the registry and not all of the prose.</w:t>
      </w:r>
      <w:r>
        <w:t xml:space="preserve"> </w:t>
      </w:r>
      <w:r>
        <w:t xml:space="preserve">The manuscript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EVIDENCE_MAP.md</w:t>
      </w:r>
      <w:r>
        <w:t xml:space="preserve"> </w:t>
      </w:r>
      <w:r>
        <w:t xml:space="preserve">still quote 0.8983 under the qualifier</w:t>
      </w:r>
      <w:r>
        <w:t xml:space="preserve"> </w:t>
      </w:r>
      <w:r>
        <w:t xml:space="preserve">“on actives withheld by scaffold”</w:t>
      </w:r>
      <w:r>
        <w:t xml:space="preserve">.</w:t>
      </w:r>
      <w:r>
        <w:t xml:space="preserve"> </w:t>
      </w:r>
      <w:r>
        <w:t xml:space="preserve">The correct figure is 0.7638. The technical report has been rebuilt; these two have not. (5, 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headline calibration figure should be qualified everywhere it appears</w:t>
      </w:r>
      <w:r>
        <w:t xml:space="preserve">, since 0.0801 to</w:t>
      </w:r>
      <w:r>
        <w:t xml:space="preserve"> </w:t>
      </w:r>
      <w:r>
        <w:t xml:space="preserve">0.0147 covers eight of the deployed estimators and the 38 binder endpoints sit at a mean of</w:t>
      </w:r>
      <w:r>
        <w:t xml:space="preserve"> </w:t>
      </w:r>
      <w:r>
        <w:t xml:space="preserve">0.0762. Section 10.5 adds that the barrier model is the worst of the eight. (4)</w:t>
      </w:r>
    </w:p>
    <w:p>
      <w:pPr>
        <w:pStyle w:val="Compact"/>
        <w:numPr>
          <w:ilvl w:val="0"/>
          <w:numId w:val="1003"/>
        </w:numPr>
      </w:pPr>
      <w:r>
        <w:t xml:space="preserve">Give each hypothesis one verdict rule, as H10 now has, and pin the verdicts with a test. The</w:t>
      </w:r>
      <w:r>
        <w:t xml:space="preserve"> </w:t>
      </w:r>
      <w:r>
        <w:t xml:space="preserve">suite has grown to 73 tests and none of them reads</w:t>
      </w:r>
      <w:r>
        <w:t xml:space="preserve"> </w:t>
      </w:r>
      <w:r>
        <w:rPr>
          <w:rStyle w:val="VerbatimChar"/>
        </w:rPr>
        <w:t xml:space="preserve">inversion/</w:t>
      </w:r>
      <w:r>
        <w:t xml:space="preserve">. (9)</w:t>
      </w:r>
    </w:p>
    <w:p>
      <w:pPr>
        <w:pStyle w:val="Compact"/>
        <w:numPr>
          <w:ilvl w:val="0"/>
          <w:numId w:val="1003"/>
        </w:numPr>
      </w:pPr>
      <w:r>
        <w:t xml:space="preserve">Make the freshness graph aware of code, so a corrected generator marks its output stale. The</w:t>
      </w:r>
      <w:r>
        <w:t xml:space="preserve"> </w:t>
      </w:r>
      <w:r>
        <w:t xml:space="preserve">repairs above were all found by reading rather than by a check. (9)</w:t>
      </w:r>
    </w:p>
    <w:p>
      <w:pPr>
        <w:pStyle w:val="Compact"/>
        <w:numPr>
          <w:ilvl w:val="0"/>
          <w:numId w:val="1003"/>
        </w:numPr>
      </w:pPr>
      <w:r>
        <w:t xml:space="preserve">Two citation gaps remain in Chapter 1: a CNS attrition series, and verified citations for the</w:t>
      </w:r>
      <w:r>
        <w:t xml:space="preserve"> </w:t>
      </w:r>
      <w:r>
        <w:t xml:space="preserve">named comparison servers. (1)</w:t>
      </w:r>
    </w:p>
    <w:p>
      <w:pPr>
        <w:pStyle w:val="Compact"/>
        <w:numPr>
          <w:ilvl w:val="0"/>
          <w:numId w:val="1003"/>
        </w:numPr>
      </w:pPr>
      <w:r>
        <w:t xml:space="preserve">The unique-compound count of 169,341 keyed by InChIKey is quoted in the manuscript and the</w:t>
      </w:r>
      <w:r>
        <w:t xml:space="preserve"> </w:t>
      </w:r>
      <w:r>
        <w:t xml:space="preserve">evidence map and has not been re-derived. Counting distinct SMILES gives 170,619, which is</w:t>
      </w:r>
      <w:r>
        <w:t xml:space="preserve"> </w:t>
      </w:r>
      <w:r>
        <w:t xml:space="preserve">consistent with the two being different quantities but verifies nothing. (1, 2)</w:t>
      </w:r>
    </w:p>
    <w:p>
      <w:pPr>
        <w:pStyle w:val="Compact"/>
        <w:numPr>
          <w:ilvl w:val="0"/>
          <w:numId w:val="1003"/>
        </w:numPr>
      </w:pPr>
      <w:r>
        <w:t xml:space="preserve">Per-endpoint AUROC and sensitivity carry no intervals anywhere, and the two extremes of the</w:t>
      </w:r>
      <w:r>
        <w:t xml:space="preserve"> </w:t>
      </w:r>
      <w:r>
        <w:t xml:space="preserve">reported 0.719 to 0.985 range rest on 37 and 23 compounds. Wilson or bootstrap intervals are</w:t>
      </w:r>
      <w:r>
        <w:t xml:space="preserve"> </w:t>
      </w:r>
      <w:r>
        <w:t xml:space="preserve">cheap and would settle how much of that spread is real. (4, 6)</w:t>
      </w:r>
    </w:p>
    <w:p>
      <w:pPr>
        <w:pStyle w:val="Compact"/>
        <w:numPr>
          <w:ilvl w:val="0"/>
          <w:numId w:val="1003"/>
        </w:numPr>
      </w:pPr>
      <w:r>
        <w:t xml:space="preserve">TAAR1 should be reviewed for withdrawal or an explicit warning; it is the least trustworthy</w:t>
      </w:r>
      <w:r>
        <w:t xml:space="preserve"> </w:t>
      </w:r>
      <w:r>
        <w:t xml:space="preserve">deployed endpoint on four independent measures. (6)</w:t>
      </w:r>
    </w:p>
    <w:p>
      <w:pPr>
        <w:pStyle w:val="Compact"/>
        <w:numPr>
          <w:ilvl w:val="0"/>
          <w:numId w:val="1003"/>
        </w:numPr>
      </w:pPr>
      <w:r>
        <w:t xml:space="preserve">Nav1.5, SIRT1 and TAAR1 define</w:t>
      </w:r>
      <w:r>
        <w:t xml:space="preserve"> </w:t>
      </w:r>
      <w:r>
        <w:t xml:space="preserve">“active”</w:t>
      </w:r>
      <w:r>
        <w:t xml:space="preserve"> </w:t>
      </w:r>
      <w:r>
        <w:t xml:space="preserve">differently in two scripts, and a test should assert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sensitivity_basis</w:t>
      </w:r>
      <w:r>
        <w:t xml:space="preserve"> </w:t>
      </w:r>
      <w:r>
        <w:t xml:space="preserve">matches the population the stored sensitivity was computed on. (5)</w:t>
      </w:r>
    </w:p>
    <w:p>
      <w:pPr>
        <w:pStyle w:val="Compact"/>
        <w:numPr>
          <w:ilvl w:val="0"/>
          <w:numId w:val="1003"/>
        </w:numPr>
      </w:pPr>
      <w:r>
        <w:t xml:space="preserve">The H3 refutation has an unstated exception: gating is rank-invariant across the 14</w:t>
      </w:r>
      <w:r>
        <w:t xml:space="preserve"> </w:t>
      </w:r>
      <w:r>
        <w:t xml:space="preserve">non-peripheral conditions but not between those and migraine and multiple sclerosis. (7)</w:t>
      </w:r>
    </w:p>
    <w:p>
      <w:pPr>
        <w:pStyle w:val="Compact"/>
        <w:numPr>
          <w:ilvl w:val="0"/>
          <w:numId w:val="1003"/>
        </w:numPr>
      </w:pPr>
      <w:r>
        <w:t xml:space="preserve">The haloperidol figures in the manuscript describe a fixed defect without saying so, and the</w:t>
      </w:r>
      <w:r>
        <w:t xml:space="preserve"> </w:t>
      </w:r>
      <w:r>
        <w:t xml:space="preserve">learning-curve conclusion in the technical report is not supported by its own table. (3)</w:t>
      </w:r>
    </w:p>
    <w:p>
      <w:pPr>
        <w:pStyle w:val="Compact"/>
        <w:numPr>
          <w:ilvl w:val="0"/>
          <w:numId w:val="1003"/>
        </w:numPr>
      </w:pPr>
      <w:r>
        <w:t xml:space="preserve">Two evidence pointers in</w:t>
      </w:r>
      <w:r>
        <w:t xml:space="preserve"> </w:t>
      </w:r>
      <w:r>
        <w:rPr>
          <w:rStyle w:val="VerbatimChar"/>
        </w:rPr>
        <w:t xml:space="preserve">docs/decisions_log.md</w:t>
      </w:r>
      <w:r>
        <w:t xml:space="preserve"> </w:t>
      </w:r>
      <w:r>
        <w:t xml:space="preserve">cite paths that do not exist and describe the</w:t>
      </w:r>
      <w:r>
        <w:t xml:space="preserve"> </w:t>
      </w:r>
      <w:r>
        <w:t xml:space="preserve">superseded ensemble. (3)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in_domain</w:t>
      </w:r>
      <w:r>
        <w:t xml:space="preserve"> </w:t>
      </w:r>
      <w:r>
        <w:t xml:space="preserve">in the artefacts means T ≥ 0.30, which is the interface’s</w:t>
      </w:r>
      <w:r>
        <w:t xml:space="preserve"> </w:t>
      </w:r>
      <w:r>
        <w:t xml:space="preserve">“in or near domain”</w:t>
      </w:r>
      <w:r>
        <w:t xml:space="preserve">. The</w:t>
      </w:r>
      <w:r>
        <w:t xml:space="preserve"> </w:t>
      </w:r>
      <w:r>
        <w:t xml:space="preserve">naming should be reconciled. (4)</w:t>
      </w:r>
    </w:p>
    <w:p>
      <w:pPr>
        <w:pStyle w:val="Compact"/>
        <w:numPr>
          <w:ilvl w:val="0"/>
          <w:numId w:val="1003"/>
        </w:numPr>
      </w:pPr>
      <w:r>
        <w:t xml:space="preserve">The eight endpoints excluded from the prospective arm should be listed with their reasons. (8)</w:t>
      </w:r>
    </w:p>
    <w:p>
      <w:pPr>
        <w:pStyle w:val="Compact"/>
        <w:numPr>
          <w:ilvl w:val="0"/>
          <w:numId w:val="1003"/>
        </w:numPr>
      </w:pPr>
      <w:r>
        <w:t xml:space="preserve">The three 4 August logs in</w:t>
      </w:r>
      <w:r>
        <w:t xml:space="preserve"> </w:t>
      </w:r>
      <w:r>
        <w:rPr>
          <w:rStyle w:val="VerbatimChar"/>
        </w:rPr>
        <w:t xml:space="preserve">inversion/</w:t>
      </w:r>
      <w:r>
        <w:t xml:space="preserve"> </w:t>
      </w:r>
      <w:r>
        <w:t xml:space="preserve">record a superseded verdict and should be refreshed or</w:t>
      </w:r>
      <w:r>
        <w:t xml:space="preserve"> </w:t>
      </w:r>
      <w:r>
        <w:t xml:space="preserve">deleted. (9)</w:t>
      </w:r>
    </w:p>
    <w:p>
      <w:pPr>
        <w:pStyle w:val="Compact"/>
        <w:numPr>
          <w:ilvl w:val="0"/>
          <w:numId w:val="1003"/>
        </w:numPr>
      </w:pPr>
      <w:r>
        <w:t xml:space="preserve">The alternative median in the manuscript should read 3,587.5, not 3,587. (2)</w:t>
      </w:r>
    </w:p>
    <w:bookmarkEnd w:id="16"/>
    <w:bookmarkStart w:id="17" w:name="X7a204f6cd3dff2f7e9bf06cc53e2a6545b05fe5"/>
    <w:p>
      <w:pPr>
        <w:pStyle w:val="Heading2"/>
      </w:pPr>
      <w:r>
        <w:t xml:space="preserve">10.9 What should be done next, ordered by what it would change</w:t>
      </w:r>
    </w:p>
    <w:p>
      <w:pPr>
        <w:pStyle w:val="FirstParagraph"/>
      </w:pPr>
      <w:r>
        <w:rPr>
          <w:b/>
          <w:bCs/>
        </w:rPr>
        <w:t xml:space="preserve">First, the things that would change a user’s decision.</w:t>
      </w:r>
    </w:p>
    <w:p>
      <w:pPr>
        <w:pStyle w:val="BodyText"/>
      </w:pPr>
      <w:r>
        <w:rPr>
          <w:i/>
          <w:iCs/>
        </w:rPr>
        <w:t xml:space="preserve">Extend the uncertainty stack to the target panel.</w:t>
      </w:r>
      <w:r>
        <w:t xml:space="preserve"> </w:t>
      </w:r>
      <w:r>
        <w:t xml:space="preserve">Isotonic calibration for those binder endpoints</w:t>
      </w:r>
      <w:r>
        <w:t xml:space="preserve"> </w:t>
      </w:r>
      <w:r>
        <w:t xml:space="preserve">with enough held-out positives to support it, per-endpoint calibration error carried with every</w:t>
      </w:r>
      <w:r>
        <w:t xml:space="preserve"> </w:t>
      </w:r>
      <w:r>
        <w:t xml:space="preserve">prediction rather than a headline inherited from elsewhere, and a conformal coverage statement for</w:t>
      </w:r>
      <w:r>
        <w:t xml:space="preserve"> </w:t>
      </w:r>
      <w:r>
        <w:t xml:space="preserve">the 38 endpoints that have none. This is the largest single improvement available and needs no new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i/>
          <w:iCs/>
        </w:rPr>
        <w:t xml:space="preserve">Report intervals on every per-endpoint figure.</w:t>
      </w:r>
      <w:r>
        <w:t xml:space="preserve"> </w:t>
      </w:r>
      <w:r>
        <w:t xml:space="preserve">An AUROC of 0.719 on 37 compounds and one of 0.985</w:t>
      </w:r>
      <w:r>
        <w:t xml:space="preserve"> </w:t>
      </w:r>
      <w:r>
        <w:t xml:space="preserve">on 23 are not comparable numbers, and presenting them in one column invites a reader to rank</w:t>
      </w:r>
      <w:r>
        <w:t xml:space="preserve"> </w:t>
      </w:r>
      <w:r>
        <w:t xml:space="preserve">endpoints on noise.</w:t>
      </w:r>
    </w:p>
    <w:p>
      <w:pPr>
        <w:pStyle w:val="BodyText"/>
      </w:pPr>
      <w:r>
        <w:rPr>
          <w:i/>
          <w:iCs/>
        </w:rPr>
        <w:t xml:space="preserve">Decide about the six endpoints that fail the reliability gate.</w:t>
      </w:r>
      <w:r>
        <w:t xml:space="preserve"> </w:t>
      </w:r>
      <w:r>
        <w:t xml:space="preserve">This thesis records the decision to</w:t>
      </w:r>
      <w:r>
        <w:t xml:space="preserve"> </w:t>
      </w:r>
      <w:r>
        <w:t xml:space="preserve">deploy them with a flag rather than making it. Section 6 of Chapter 5 sets out why the flag is</w:t>
      </w:r>
      <w:r>
        <w:t xml:space="preserve"> </w:t>
      </w:r>
      <w:r>
        <w:t xml:space="preserve">defensible; whether TAAR1 in particular should be served at all is a question the project has not</w:t>
      </w:r>
      <w:r>
        <w:t xml:space="preserve"> </w:t>
      </w:r>
      <w:r>
        <w:t xml:space="preserve">answered.</w:t>
      </w:r>
    </w:p>
    <w:p>
      <w:pPr>
        <w:pStyle w:val="BodyText"/>
      </w:pPr>
      <w:r>
        <w:rPr>
          <w:b/>
          <w:bCs/>
        </w:rPr>
        <w:t xml:space="preserve">Second, the things that would change what the project may claim.</w:t>
      </w:r>
    </w:p>
    <w:p>
      <w:pPr>
        <w:pStyle w:val="BodyText"/>
      </w:pPr>
      <w:r>
        <w:rPr>
          <w:i/>
          <w:iCs/>
        </w:rPr>
        <w:t xml:space="preserve">Migrate H1 to H9 to the single-verdict-rule arrangement and pin the verdicts with a test.</w:t>
      </w:r>
      <w:r>
        <w:t xml:space="preserve"> </w:t>
      </w:r>
      <w:r>
        <w:t xml:space="preserve">The suite</w:t>
      </w:r>
      <w:r>
        <w:t xml:space="preserve"> </w:t>
      </w:r>
      <w:r>
        <w:t xml:space="preserve">is the strongest evidence in this thesis and it is the least defended part of the codebase.</w:t>
      </w:r>
    </w:p>
    <w:p>
      <w:pPr>
        <w:pStyle w:val="BodyText"/>
      </w:pPr>
      <w:r>
        <w:rPr>
          <w:i/>
          <w:iCs/>
        </w:rPr>
        <w:t xml:space="preserve">Write the missing hypotheses.</w:t>
      </w:r>
      <w:r>
        <w:t xml:space="preserve"> </w:t>
      </w:r>
      <w:r>
        <w:t xml:space="preserve">H10 filled the largest gap; others remain. The most valuable is a</w:t>
      </w:r>
      <w:r>
        <w:t xml:space="preserve"> </w:t>
      </w:r>
      <w:r>
        <w:t xml:space="preserve">null for the aggregation rule itself, asking whether the maximum over engaged targets beats a simple</w:t>
      </w:r>
      <w:r>
        <w:t xml:space="preserve"> </w:t>
      </w:r>
      <w:r>
        <w:t xml:space="preserve">count of them, since Chapter 7 justifies the maximum by argument and by H8’s redundancy finding</w:t>
      </w:r>
      <w:r>
        <w:t xml:space="preserve"> </w:t>
      </w:r>
      <w:r>
        <w:t xml:space="preserve">rather than by a direct comparison.</w:t>
      </w:r>
    </w:p>
    <w:p>
      <w:pPr>
        <w:pStyle w:val="BodyText"/>
      </w:pPr>
      <w:r>
        <w:rPr>
          <w:i/>
          <w:iCs/>
        </w:rPr>
        <w:t xml:space="preserve">Make the freshness graph aware of code</w:t>
      </w:r>
      <w:r>
        <w:t xml:space="preserve">, and add a check that every number in a built document is</w:t>
      </w:r>
      <w:r>
        <w:t xml:space="preserve"> </w:t>
      </w:r>
      <w:r>
        <w:t xml:space="preserve">traceable to a declared artefact. The second is ambitious; the first is an afternoon and would have</w:t>
      </w:r>
      <w:r>
        <w:t xml:space="preserve"> </w:t>
      </w:r>
      <w:r>
        <w:t xml:space="preserve">caught the</w:t>
      </w:r>
      <w:r>
        <w:t xml:space="preserve"> </w:t>
      </w:r>
      <w:r>
        <w:rPr>
          <w:rStyle w:val="VerbatimChar"/>
        </w:rPr>
        <w:t xml:space="preserve">background_specificity.csv</w:t>
      </w:r>
      <w:r>
        <w:t xml:space="preserve"> </w:t>
      </w:r>
      <w:r>
        <w:t xml:space="preserve">case.</w:t>
      </w:r>
    </w:p>
    <w:p>
      <w:pPr>
        <w:pStyle w:val="BodyText"/>
      </w:pPr>
      <w:r>
        <w:rPr>
          <w:b/>
          <w:bCs/>
        </w:rPr>
        <w:t xml:space="preserve">Third, the things that need new data rather than new analysis.</w:t>
      </w:r>
    </w:p>
    <w:p>
      <w:pPr>
        <w:pStyle w:val="BodyText"/>
      </w:pPr>
      <w:r>
        <w:rPr>
          <w:i/>
          <w:iCs/>
        </w:rPr>
        <w:t xml:space="preserve">Natural-product chemistry.</w:t>
      </w:r>
      <w:r>
        <w:t xml:space="preserve"> </w:t>
      </w:r>
      <w:r>
        <w:t xml:space="preserve">Three endpoints with two to five actives each cannot answer the</w:t>
      </w:r>
      <w:r>
        <w:t xml:space="preserve"> </w:t>
      </w:r>
      <w:r>
        <w:t xml:space="preserve">question. This needs a curated external set assembled with the feature-vector contamination check</w:t>
      </w:r>
      <w:r>
        <w:t xml:space="preserve"> </w:t>
      </w:r>
      <w:r>
        <w:t xml:space="preserve">from the start, not the InChIKey check.</w:t>
      </w:r>
    </w:p>
    <w:p>
      <w:pPr>
        <w:pStyle w:val="BodyText"/>
      </w:pPr>
      <w:r>
        <w:rPr>
          <w:i/>
          <w:iCs/>
        </w:rPr>
        <w:t xml:space="preserve">A prospective test in the proper sense.</w:t>
      </w:r>
      <w:r>
        <w:t xml:space="preserve"> </w:t>
      </w:r>
      <w:r>
        <w:t xml:space="preserve">Every result in Chapter 8 is retrospective: the dates are</w:t>
      </w:r>
      <w:r>
        <w:t xml:space="preserve"> </w:t>
      </w:r>
      <w:r>
        <w:t xml:space="preserve">real but no compound was predicted before it was measured. A pre-registered set of predictions,</w:t>
      </w:r>
      <w:r>
        <w:t xml:space="preserve"> </w:t>
      </w:r>
      <w:r>
        <w:t xml:space="preserve">lodged before the corresponding assays are run, is the only evidence that would settle what the</w:t>
      </w:r>
      <w:r>
        <w:t xml:space="preserve"> </w:t>
      </w:r>
      <w:r>
        <w:t xml:space="preserve">temporal simulation can only approximate.</w:t>
      </w:r>
    </w:p>
    <w:p>
      <w:pPr>
        <w:pStyle w:val="BodyText"/>
      </w:pPr>
      <w:r>
        <w:rPr>
          <w:i/>
          <w:iCs/>
        </w:rPr>
        <w:t xml:space="preserve">Measured brain exposure rather than a barrier classification.</w:t>
      </w:r>
      <w:r>
        <w:t xml:space="preserve"> </w:t>
      </w:r>
      <w:r>
        <w:t xml:space="preserve">The gate multiplies by a probability</w:t>
      </w:r>
      <w:r>
        <w:t xml:space="preserve"> </w:t>
      </w:r>
      <w:r>
        <w:t xml:space="preserve">of being CNS-positive, which is a coarser quantity than unbound brain-to-plasma ratio. H10 suggests</w:t>
      </w:r>
      <w:r>
        <w:t xml:space="preserve"> </w:t>
      </w:r>
      <w:r>
        <w:t xml:space="preserve">the classifier is close to what descriptors already give on unseen chemistry, so the improvement</w:t>
      </w:r>
      <w:r>
        <w:t xml:space="preserve"> </w:t>
      </w:r>
      <w:r>
        <w:t xml:space="preserve">here is likely to come from a better target variable rather than a better model of the current one.</w:t>
      </w:r>
    </w:p>
    <w:bookmarkEnd w:id="17"/>
    <w:bookmarkStart w:id="18" w:name="what-this-thesis-establishes"/>
    <w:p>
      <w:pPr>
        <w:pStyle w:val="Heading2"/>
      </w:pPr>
      <w:r>
        <w:t xml:space="preserve">10.10 What this thesis establishes</w:t>
      </w:r>
    </w:p>
    <w:p>
      <w:pPr>
        <w:pStyle w:val="FirstParagraph"/>
      </w:pPr>
      <w:r>
        <w:t xml:space="preserve">Stated as plainly as the evidence allows, with the spread rather than the mean wherever one exists.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component models rank compounds well and the ranking is not an artefact of leakage.</w:t>
      </w:r>
      <w:r>
        <w:t xml:space="preserve"> </w:t>
      </w:r>
      <w:r>
        <w:t xml:space="preserve">Random</w:t>
      </w:r>
      <w:r>
        <w:t xml:space="preserve"> </w:t>
      </w:r>
      <w:r>
        <w:t xml:space="preserve">10-fold AUROC runs 0.899 to 0.9764 across the eight core classifiers and scaffold-grouped</w:t>
      </w:r>
      <w:r>
        <w:t xml:space="preserve"> </w:t>
      </w:r>
      <w:r>
        <w:t xml:space="preserve">10-fold runs 0.8777 to 0.9648. Under permuted labels the same pipeline on the same folds returns 0.4959 and</w:t>
      </w:r>
      <w:r>
        <w:t xml:space="preserve"> </w:t>
      </w:r>
      <w:r>
        <w:t xml:space="preserve">0.5026, every one of the sixteen values within 0.020 of chance.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Accuracy is a function of chemical distance, and the function is now measured.</w:t>
      </w:r>
      <w:r>
        <w:t xml:space="preserve"> </w:t>
      </w:r>
      <w:r>
        <w:t xml:space="preserve">Recall runs from</w:t>
      </w:r>
      <w:r>
        <w:t xml:space="preserve"> </w:t>
      </w:r>
      <w:r>
        <w:t xml:space="preserve">0.1612 to 0.8616 across four novelty bands, and three independently constructed test sets trace the</w:t>
      </w:r>
      <w:r>
        <w:t xml:space="preserve"> </w:t>
      </w:r>
      <w:r>
        <w:t xml:space="preserve">same curve.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disease layer carries real information about mechanism and does not predict indication.</w:t>
      </w:r>
      <w:r>
        <w:t xml:space="preserve"> </w:t>
      </w:r>
      <w:r>
        <w:t xml:space="preserve">0.7901 top-3 accuracy against the project’s own map and a permutation null of 0.1625; a mean</w:t>
      </w:r>
      <w:r>
        <w:t xml:space="preserve"> </w:t>
      </w:r>
      <w:r>
        <w:t xml:space="preserve">per-indication AUROC of 0.6158 against external clinical indications, ranging from 0.7981 for</w:t>
      </w:r>
      <w:r>
        <w:t xml:space="preserve"> </w:t>
      </w:r>
      <w:r>
        <w:t xml:space="preserve">depression to 0.4898 for epilepsy.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Exposure gating is a filter and not a discriminator</w:t>
      </w:r>
      <w:r>
        <w:t xml:space="preserve">, and the curated edge weights carry no</w:t>
      </w:r>
      <w:r>
        <w:t xml:space="preserve"> </w:t>
      </w:r>
      <w:r>
        <w:t xml:space="preserve">measurable information.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panel’s sensitivity at its deployed operating point is 0.7638 on held-out actives</w:t>
      </w:r>
      <w:r>
        <w:t xml:space="preserve">, median</w:t>
      </w:r>
      <w:r>
        <w:t xml:space="preserve"> </w:t>
      </w:r>
      <w:r>
        <w:t xml:space="preserve">0.835, from 0.303 at GABA-A to 0.993 at CGRP, with six of 47 endpoints firing for fewer than half</w:t>
      </w:r>
      <w:r>
        <w:t xml:space="preserve"> </w:t>
      </w:r>
      <w:r>
        <w:t xml:space="preserve">their own actives. Silence is not evidence of inactivity, and the number that makes a silence</w:t>
      </w:r>
      <w:r>
        <w:t xml:space="preserve"> </w:t>
      </w:r>
      <w:r>
        <w:t xml:space="preserve">interpretable now travels with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Specificity is 0.925 on presumed-inactive non-CNS chemistry</w:t>
      </w:r>
      <w:r>
        <w:t xml:space="preserve">, which is an upper bound.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Four of ten falsification hypotheses were refuted and two weakened.</w:t>
      </w:r>
      <w:r>
        <w:t xml:space="preserve"> </w:t>
      </w:r>
      <w:r>
        <w:t xml:space="preserve">The refutations cost the</w:t>
      </w:r>
      <w:r>
        <w:t xml:space="preserve"> </w:t>
      </w:r>
      <w:r>
        <w:t xml:space="preserve">project a claim about the knowledge graph, a claim about the gate, a change to the interface, and</w:t>
      </w:r>
      <w:r>
        <w:t xml:space="preserve"> </w:t>
      </w:r>
      <w:r>
        <w:t xml:space="preserve">four withdrawn endpoints that were calling glucose and urea binders.</w:t>
      </w:r>
    </w:p>
    <w:p>
      <w:pPr>
        <w:pStyle w:val="FirstParagraph"/>
      </w:pPr>
      <w:r>
        <w:t xml:space="preserve">What the thesis does not establish is anything prospective, anything about natural-product chemistry,</w:t>
      </w:r>
      <w:r>
        <w:t xml:space="preserve"> </w:t>
      </w:r>
      <w:r>
        <w:t xml:space="preserve">and any advantage for the barrier model over twelve descriptors on chemistry it has not seen. Those</w:t>
      </w:r>
      <w:r>
        <w:t xml:space="preserve"> </w:t>
      </w:r>
      <w:r>
        <w:t xml:space="preserve">three are the honest boundary of the work, and section 10.9 says what would move them.</w:t>
      </w:r>
    </w:p>
    <w:bookmarkEnd w:id="18"/>
    <w:bookmarkEnd w:id="19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2026-09-07T17:53:12Z</dcterms:created>
  <dcterms:modified xsi:type="dcterms:W3CDTF">2026-09-07T17:53:12Z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