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viva-preparation"/>
    <w:p>
      <w:pPr>
        <w:pStyle w:val="Heading1"/>
      </w:pPr>
      <w:r>
        <w:t xml:space="preserve">Viva preparation</w:t>
      </w:r>
    </w:p>
    <w:p>
      <w:pPr>
        <w:pStyle w:val="BlockText"/>
      </w:pPr>
      <w:r>
        <w:rPr>
          <w:b/>
          <w:bCs/>
        </w:rPr>
        <w:t xml:space="preserve">Provenance.</w:t>
      </w:r>
      <w:r>
        <w:t xml:space="preserve"> </w:t>
      </w:r>
      <w:r>
        <w:t xml:space="preserve">Every number in this document was read from a file in this repository during the</w:t>
      </w:r>
      <w:r>
        <w:t xml:space="preserve"> </w:t>
      </w:r>
      <w:r>
        <w:t xml:space="preserve">session in which it was written, and the quantitative claims are pinned by</w:t>
      </w:r>
      <w:r>
        <w:t xml:space="preserve"> </w:t>
      </w:r>
      <w:r>
        <w:rPr>
          <w:rStyle w:val="VerbatimChar"/>
        </w:rPr>
        <w:t xml:space="preserve">thesis/verify_chapter_numbers.py</w:t>
      </w:r>
      <w:r>
        <w:t xml:space="preserve"> </w:t>
      </w:r>
      <w:r>
        <w:t xml:space="preserve">under the chapter key</w:t>
      </w:r>
      <w:r>
        <w:t xml:space="preserve"> </w:t>
      </w:r>
      <w:r>
        <w:rPr>
          <w:rStyle w:val="VerbatimChar"/>
        </w:rPr>
        <w:t xml:space="preserve">viva</w:t>
      </w:r>
      <w:r>
        <w:t xml:space="preserve">, so a number that drifts fails a</w:t>
      </w:r>
      <w:r>
        <w:t xml:space="preserve"> </w:t>
      </w:r>
      <w:r>
        <w:t xml:space="preserve">check rather than surviving into an answer.</w:t>
      </w:r>
    </w:p>
    <w:bookmarkStart w:id="9" w:name="how-to-use-this"/>
    <w:p>
      <w:pPr>
        <w:pStyle w:val="Heading2"/>
      </w:pPr>
      <w:r>
        <w:t xml:space="preserve">How to use this</w:t>
      </w:r>
    </w:p>
    <w:p>
      <w:pPr>
        <w:pStyle w:val="FirstParagraph"/>
      </w:pPr>
      <w:r>
        <w:t xml:space="preserve">Three things get people through a viva on a computational thesis, in this order.</w:t>
      </w:r>
    </w:p>
    <w:p>
      <w:pPr>
        <w:pStyle w:val="BodyText"/>
      </w:pPr>
      <w:r>
        <w:rPr>
          <w:b/>
          <w:bCs/>
        </w:rPr>
        <w:t xml:space="preserve">Know what every symbol means.</w:t>
      </w:r>
      <w:r>
        <w:t xml:space="preserve"> </w:t>
      </w:r>
      <w:r>
        <w:t xml:space="preserve">An examiner who suspects the candidate is reciting will stop and</w:t>
      </w:r>
      <w:r>
        <w:t xml:space="preserve"> </w:t>
      </w:r>
      <w:r>
        <w:t xml:space="preserve">ask what a term is. Part I builds each piece from nothing, with a worked example in the thesis’s own</w:t>
      </w:r>
      <w:r>
        <w:t xml:space="preserve"> </w:t>
      </w:r>
      <w:r>
        <w:t xml:space="preserve">numbers, so that</w:t>
      </w:r>
      <w:r>
        <w:t xml:space="preserve"> </w:t>
      </w:r>
      <w:r>
        <w:t xml:space="preserve">“what is expected calibration error”</w:t>
      </w:r>
      <w:r>
        <w:t xml:space="preserve"> </w:t>
      </w:r>
      <w:r>
        <w:t xml:space="preserve">has an answer that starts from what a</w:t>
      </w:r>
      <w:r>
        <w:t xml:space="preserve"> </w:t>
      </w:r>
      <w:r>
        <w:t xml:space="preserve">probability is.</w:t>
      </w:r>
    </w:p>
    <w:p>
      <w:pPr>
        <w:pStyle w:val="BodyText"/>
      </w:pPr>
      <w:r>
        <w:rPr>
          <w:b/>
          <w:bCs/>
        </w:rPr>
        <w:t xml:space="preserve">Know the spread, never just the mean.</w:t>
      </w:r>
      <w:r>
        <w:t xml:space="preserve"> </w:t>
      </w:r>
      <w:r>
        <w:t xml:space="preserve">Every headline in this thesis has a range, and the range is</w:t>
      </w:r>
      <w:r>
        <w:t xml:space="preserve"> </w:t>
      </w:r>
      <w:r>
        <w:t xml:space="preserve">usually the interesting part. Part II is the table to memorise. A candidate who says</w:t>
      </w:r>
      <w:r>
        <w:t xml:space="preserve"> </w:t>
      </w:r>
      <w:r>
        <w:t xml:space="preserve">“AUROC 0.925”</w:t>
      </w:r>
      <w:r>
        <w:t xml:space="preserve"> </w:t>
      </w:r>
      <w:r>
        <w:t xml:space="preserve">is</w:t>
      </w:r>
      <w:r>
        <w:t xml:space="preserve"> </w:t>
      </w:r>
      <w:r>
        <w:t xml:space="preserve">weaker than one who says</w:t>
      </w:r>
      <w:r>
        <w:t xml:space="preserve"> </w:t>
      </w:r>
      <w:r>
        <w:t xml:space="preserve">“0.925 on average across the eight core classifiers, from 0.8777 at the</w:t>
      </w:r>
      <w:r>
        <w:t xml:space="preserve"> </w:t>
      </w:r>
      <w:r>
        <w:t xml:space="preserve">barrier model to 0.9648 at BACE1, under scaffold-grouped cross-validation”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Know where it is weak, and say so first.</w:t>
      </w:r>
      <w:r>
        <w:t xml:space="preserve"> </w:t>
      </w:r>
      <w:r>
        <w:t xml:space="preserve">Part IV is the five questions that could go badly. In</w:t>
      </w:r>
      <w:r>
        <w:t xml:space="preserve"> </w:t>
      </w:r>
      <w:r>
        <w:t xml:space="preserve">every one of them the strongest move is to state the limitation before the examiner does, with the</w:t>
      </w:r>
      <w:r>
        <w:t xml:space="preserve"> </w:t>
      </w:r>
      <w:r>
        <w:t xml:space="preserve">number attached. This thesis is unusually well placed for that: four of its ten hypotheses were</w:t>
      </w:r>
      <w:r>
        <w:t xml:space="preserve"> </w:t>
      </w:r>
      <w:r>
        <w:t xml:space="preserve">refuted and it says so on the front page of its own falsification chapter.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5" w:name="part-i.-the-mathematics"/>
    <w:p>
      <w:pPr>
        <w:pStyle w:val="Heading1"/>
      </w:pPr>
      <w:r>
        <w:t xml:space="preserve">Part I. The mathematics</w:t>
      </w:r>
    </w:p>
    <w:bookmarkStart w:id="11" w:name="from-a-molecule-to-a-vector"/>
    <w:p>
      <w:pPr>
        <w:pStyle w:val="Heading2"/>
      </w:pPr>
      <w:r>
        <w:t xml:space="preserve">1. From a molecule to a vector</w:t>
      </w:r>
    </w:p>
    <w:p>
      <w:pPr>
        <w:pStyle w:val="FirstParagraph"/>
      </w:pPr>
      <w:r>
        <w:t xml:space="preserve">A model cannot consume a molecule. It consumes a fixed-length list of numbers, and everything the</w:t>
      </w:r>
      <w:r>
        <w:t xml:space="preserve"> </w:t>
      </w:r>
      <w:r>
        <w:t xml:space="preserve">model can possibly learn is a consequence of what that list captures and what it throws away.</w:t>
      </w:r>
    </w:p>
    <w:p>
      <w:pPr>
        <w:pStyle w:val="BodyText"/>
      </w:pPr>
      <w:r>
        <w:rPr>
          <w:b/>
          <w:bCs/>
        </w:rPr>
        <w:t xml:space="preserve">The fingerprint.</w:t>
      </w:r>
      <w:r>
        <w:t xml:space="preserve"> </w:t>
      </w:r>
      <w:r>
        <w:t xml:space="preserve">An extended-connectivity fingerprint of diameter 4, ECFP-4, is built by the</w:t>
      </w:r>
      <w:r>
        <w:t xml:space="preserve"> </w:t>
      </w:r>
      <w:r>
        <w:t xml:space="preserve">Morgan algorithm:</w:t>
      </w:r>
    </w:p>
    <w:p>
      <w:pPr>
        <w:pStyle w:val="Compact"/>
        <w:numPr>
          <w:ilvl w:val="0"/>
          <w:numId w:val="1001"/>
        </w:numPr>
      </w:pPr>
      <w:r>
        <w:t xml:space="preserve">Give every atom an initial integer identifier from its own properties: element, degree, charge,</w:t>
      </w:r>
      <w:r>
        <w:t xml:space="preserve"> </w:t>
      </w:r>
      <w:r>
        <w:t xml:space="preserve">whether it is in a ring, number of attached hydrogens.</w:t>
      </w:r>
    </w:p>
    <w:p>
      <w:pPr>
        <w:pStyle w:val="Compact"/>
        <w:numPr>
          <w:ilvl w:val="0"/>
          <w:numId w:val="1001"/>
        </w:numPr>
      </w:pPr>
      <w:r>
        <w:t xml:space="preserve">For two rounds, replace each atom’s identifier by a hash of its own identifier together with the</w:t>
      </w:r>
      <w:r>
        <w:t xml:space="preserve"> </w:t>
      </w:r>
      <w:r>
        <w:t xml:space="preserve">sorted list of its neighbours’ identifiers and the bond orders joining them.</w:t>
      </w:r>
    </w:p>
    <w:p>
      <w:pPr>
        <w:pStyle w:val="Compact"/>
        <w:numPr>
          <w:ilvl w:val="0"/>
          <w:numId w:val="1001"/>
        </w:numPr>
      </w:pPr>
      <w:r>
        <w:t xml:space="preserve">The set of all identifiers seen at any round is the fingerprint: an unbounded set of integers,</w:t>
      </w:r>
      <w:r>
        <w:t xml:space="preserve"> </w:t>
      </w:r>
      <w:r>
        <w:t xml:space="preserve">each standing for one circular substructure up to two bonds from a centre, hence diameter 4.</w:t>
      </w:r>
    </w:p>
    <w:p>
      <w:pPr>
        <w:pStyle w:val="FirstParagraph"/>
      </w:pPr>
      <w:r>
        <w:t xml:space="preserve">That set is then</w:t>
      </w:r>
      <w:r>
        <w:t xml:space="preserve"> </w:t>
      </w:r>
      <w:r>
        <w:rPr>
          <w:b/>
          <w:bCs/>
        </w:rPr>
        <w:t xml:space="preserve">folded</w:t>
      </w:r>
      <w:r>
        <w:t xml:space="preserve"> </w:t>
      </w:r>
      <w:r>
        <w:t xml:space="preserve">into 1,024 bits by taking each identifier modulo 1,024 and setting that</w:t>
      </w:r>
      <w:r>
        <w:t xml:space="preserve"> </w:t>
      </w:r>
      <w:r>
        <w:t xml:space="preserve">bit. Folding is what makes the vector fixed-length and is also the first thing to admit under</w:t>
      </w:r>
      <w:r>
        <w:t xml:space="preserve"> </w:t>
      </w:r>
      <w:r>
        <w:t xml:space="preserve">questioning: two different substructures can land on the same bit. This is a</w:t>
      </w:r>
      <w:r>
        <w:t xml:space="preserve"> </w:t>
      </w:r>
      <w:r>
        <w:rPr>
          <w:b/>
          <w:bCs/>
        </w:rPr>
        <w:t xml:space="preserve">hash collision</w:t>
      </w:r>
      <w:r>
        <w:t xml:space="preserve">, it</w:t>
      </w:r>
      <w:r>
        <w:t xml:space="preserve"> </w:t>
      </w:r>
      <w:r>
        <w:t xml:space="preserve">is not detectable from the vector, and it is the price of a fixed length.</w:t>
      </w:r>
    </w:p>
    <w:p>
      <w:pPr>
        <w:pStyle w:val="BodyText"/>
      </w:pPr>
      <w:r>
        <w:rPr>
          <w:b/>
          <w:bCs/>
        </w:rPr>
        <w:t xml:space="preserve">Be ready for:</w:t>
      </w:r>
      <w:r>
        <w:t xml:space="preserve"> </w:t>
      </w:r>
      <w:r>
        <w:rPr>
          <w:i/>
          <w:iCs/>
        </w:rPr>
        <w:t xml:space="preserve">what does bit 512 mean?</w:t>
      </w:r>
      <w:r>
        <w:t xml:space="preserve"> </w:t>
      </w:r>
      <w:r>
        <w:t xml:space="preserve">Nothing on its own. A folded bit is the union of every</w:t>
      </w:r>
      <w:r>
        <w:t xml:space="preserve"> </w:t>
      </w:r>
      <w:r>
        <w:t xml:space="preserve">substructure whose hash falls there, so individual bits are not interpretable and the thesis never</w:t>
      </w:r>
      <w:r>
        <w:t xml:space="preserve"> </w:t>
      </w:r>
      <w:r>
        <w:t xml:space="preserve">interprets one. What is interpretable is a</w:t>
      </w:r>
      <w:r>
        <w:t xml:space="preserve"> </w:t>
      </w:r>
      <w:r>
        <w:rPr>
          <w:i/>
          <w:iCs/>
        </w:rPr>
        <w:t xml:space="preserve">distance</w:t>
      </w:r>
      <w:r>
        <w:t xml:space="preserve"> </w:t>
      </w:r>
      <w:r>
        <w:t xml:space="preserve">between two whole vectors, which is section 2.</w:t>
      </w:r>
    </w:p>
    <w:p>
      <w:pPr>
        <w:pStyle w:val="BodyText"/>
      </w:pPr>
      <w:r>
        <w:rPr>
          <w:b/>
          <w:bCs/>
        </w:rPr>
        <w:t xml:space="preserve">The descriptors.</w:t>
      </w:r>
      <w:r>
        <w:t xml:space="preserve"> </w:t>
      </w:r>
      <w:r>
        <w:t xml:space="preserve">Twelve whole-molecule numbers are appended: molecular weight, cLogP, topological</w:t>
      </w:r>
      <w:r>
        <w:t xml:space="preserve"> </w:t>
      </w:r>
      <w:r>
        <w:t xml:space="preserve">polar surface area, hydrogen-bond donors, hydrogen-bond acceptors, rotatable bonds, aromatic rings,</w:t>
      </w:r>
      <w:r>
        <w:t xml:space="preserve"> </w:t>
      </w:r>
      <w:r>
        <w:t xml:space="preserve">fraction of sp3 carbon, ring count, heavy atoms, formal charge, and QED. Together: 1,024 + 12 =</w:t>
      </w:r>
      <w:r>
        <w:t xml:space="preserve"> </w:t>
      </w:r>
      <w:r>
        <w:rPr>
          <w:b/>
          <w:bCs/>
        </w:rPr>
        <w:t xml:space="preserve">1,036 columns</w:t>
      </w:r>
      <w:r>
        <w:t xml:space="preserve">, identical for every endpoint.</w:t>
      </w:r>
    </w:p>
    <w:p>
      <w:pPr>
        <w:pStyle w:val="BodyText"/>
      </w:pPr>
      <w:r>
        <w:rPr>
          <w:b/>
          <w:bCs/>
        </w:rPr>
        <w:t xml:space="preserve">What is thrown away, and this matters.</w:t>
      </w:r>
      <w:r>
        <w:t xml:space="preserve"> </w:t>
      </w:r>
      <w:r>
        <w:t xml:space="preserve">The featuriser is computed on the desalted, neutralised</w:t>
      </w:r>
      <w:r>
        <w:t xml:space="preserve"> </w:t>
      </w:r>
      <w:r>
        <w:t xml:space="preserve">parent, and ECFP is a topological descriptor: it encodes connectivity, not geometry. So the vector is</w:t>
      </w:r>
      <w:r>
        <w:t xml:space="preserve"> </w:t>
      </w:r>
      <w:r>
        <w:rPr>
          <w:b/>
          <w:bCs/>
        </w:rPr>
        <w:t xml:space="preserve">stereo-blind</w:t>
      </w:r>
      <w:r>
        <w:t xml:space="preserve">. Two enantiomers give byte-identical vectors and therefore identical predictions.</w:t>
      </w:r>
      <w:r>
        <w:t xml:space="preserve"> </w:t>
      </w:r>
      <w:r>
        <w:t xml:space="preserve">The thesis states this rather than hiding it, and it is the reason the external barrier set has two</w:t>
      </w:r>
      <w:r>
        <w:t xml:space="preserve"> </w:t>
      </w:r>
      <w:r>
        <w:t xml:space="preserve">numbers instead of one, because excluding overlap by InChIKey is not enough when the InChIKey</w:t>
      </w:r>
      <w:r>
        <w:t xml:space="preserve"> </w:t>
      </w:r>
      <w:r>
        <w:t xml:space="preserve">separates stereoisomers and the featuriser does not.</w:t>
      </w:r>
    </w:p>
    <w:bookmarkEnd w:id="11"/>
    <w:bookmarkStart w:id="12" w:name="tanimoto-similarity"/>
    <w:p>
      <w:pPr>
        <w:pStyle w:val="Heading2"/>
      </w:pPr>
      <w:r>
        <w:t xml:space="preserve">2. Tanimoto similarity</w:t>
      </w:r>
    </w:p>
    <w:p>
      <w:pPr>
        <w:pStyle w:val="FirstParagraph"/>
      </w:pPr>
      <w:r>
        <w:t xml:space="preserve">For two binary vectors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r>
                <m:rPr>
                  <m:sty m:val="p"/>
                </m:rPr>
                <m:t>|</m:t>
              </m:r>
            </m:den>
          </m:f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number of bits set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number set in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the number set in</w:t>
      </w:r>
      <w:r>
        <w:t xml:space="preserve"> </w:t>
      </w:r>
      <w:r>
        <w:t xml:space="preserve">both. It runs from 0, no shared bits, to 1, identical bit patterns.</w:t>
      </w:r>
    </w:p>
    <w:p>
      <w:pPr>
        <w:pStyle w:val="BodyText"/>
      </w:pPr>
      <w:r>
        <w:rPr>
          <w:b/>
          <w:bCs/>
        </w:rPr>
        <w:t xml:space="preserve">Worked example.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40 bits on,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50, and 30 are shared.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40</m:t>
        </m:r>
        <m:r>
          <m:rPr>
            <m:sty m:val="p"/>
          </m:rPr>
          <m:t>+</m:t>
        </m:r>
        <m:r>
          <m:t>50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/</m:t>
        </m:r>
        <m:r>
          <m:t>60</m:t>
        </m:r>
        <m:r>
          <m:rPr>
            <m:sty m:val="p"/>
          </m:rPr>
          <m:t>=</m:t>
        </m:r>
        <m:r>
          <m:t>0.50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 this and not Euclidean distance.</w:t>
      </w:r>
      <w:r>
        <w:t xml:space="preserve"> </w:t>
      </w:r>
      <w:r>
        <w:t xml:space="preserve">These vectors are sparse and binary. Euclidean distance</w:t>
      </w:r>
      <w:r>
        <w:t xml:space="preserve"> </w:t>
      </w:r>
      <w:r>
        <w:t xml:space="preserve">counts the zeros, and two molecules agree on thousands of absent substructures whatever they are, so</w:t>
      </w:r>
      <w:r>
        <w:t xml:space="preserve"> </w:t>
      </w:r>
      <w:r>
        <w:t xml:space="preserve">almost every pair would look close. Tanimoto counts only the bits that are on in at least one of</w:t>
      </w:r>
      <w:r>
        <w:t xml:space="preserve"> </w:t>
      </w:r>
      <w:r>
        <w:t xml:space="preserve">them, which is the comparison a chemist actually makes.</w:t>
      </w:r>
    </w:p>
    <w:p>
      <w:pPr>
        <w:pStyle w:val="BodyText"/>
      </w:pPr>
      <w:r>
        <w:rPr>
          <w:b/>
          <w:bCs/>
        </w:rPr>
        <w:t xml:space="preserve">Where it is used here.</w:t>
      </w:r>
      <w:r>
        <w:t xml:space="preserve"> </w:t>
      </w:r>
      <w:r>
        <w:t xml:space="preserve">Twice, and on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fingerprint from the model’s: applicability</w:t>
      </w:r>
      <w:r>
        <w:t xml:space="preserve"> </w:t>
      </w:r>
      <w:r>
        <w:t xml:space="preserve">distance uses 2,048-bit Morgan fingerprints, unfolded to 2,048 rather than 1,024, so the domain</w:t>
      </w:r>
      <w:r>
        <w:t xml:space="preserve"> </w:t>
      </w:r>
      <w:r>
        <w:t xml:space="preserve">measure is not limited by the same collisions the model suffers.</w:t>
      </w:r>
    </w:p>
    <w:p>
      <w:pPr>
        <w:pStyle w:val="BodyText"/>
      </w:pPr>
      <w:r>
        <w:t xml:space="preserve">Rough calibration for the viva:</w:t>
      </w:r>
      <w:r>
        <w:t xml:space="preserve"> </w:t>
      </w:r>
      <w:r>
        <w:rPr>
          <w:b/>
          <w:bCs/>
        </w:rPr>
        <w:t xml:space="preserve">T ≥ 0.7</w:t>
      </w:r>
      <w:r>
        <w:t xml:space="preserve"> </w:t>
      </w:r>
      <w:r>
        <w:t xml:space="preserve">is a close analogue, one or two atoms different;</w:t>
      </w:r>
      <w:r>
        <w:t xml:space="preserve"> </w:t>
      </w:r>
      <w:r>
        <w:rPr>
          <w:b/>
          <w:bCs/>
        </w:rPr>
        <w:t xml:space="preserve">0.4–0.55</w:t>
      </w:r>
      <w:r>
        <w:t xml:space="preserve"> </w:t>
      </w:r>
      <w:r>
        <w:t xml:space="preserve">is a related series;</w:t>
      </w:r>
      <w:r>
        <w:t xml:space="preserve"> </w:t>
      </w:r>
      <w:r>
        <w:rPr>
          <w:b/>
          <w:bCs/>
        </w:rPr>
        <w:t xml:space="preserve">below 0.4</w:t>
      </w:r>
      <w:r>
        <w:t xml:space="preserve"> </w:t>
      </w:r>
      <w:r>
        <w:t xml:space="preserve">is a different chemotype, and is where this system’s</w:t>
      </w:r>
      <w:r>
        <w:t xml:space="preserve"> </w:t>
      </w:r>
      <w:r>
        <w:t xml:space="preserve">recall collapses (Part II).</w:t>
      </w:r>
    </w:p>
    <w:bookmarkEnd w:id="12"/>
    <w:bookmarkStart w:id="13" w:name="the-random-forest"/>
    <w:p>
      <w:pPr>
        <w:pStyle w:val="Heading2"/>
      </w:pPr>
      <w:r>
        <w:t xml:space="preserve">3. The random forest</w:t>
      </w:r>
    </w:p>
    <w:p>
      <w:pPr>
        <w:pStyle w:val="FirstParagraph"/>
      </w:pPr>
      <w:r>
        <w:rPr>
          <w:b/>
          <w:bCs/>
        </w:rPr>
        <w:t xml:space="preserve">One decision tree</w:t>
      </w:r>
      <w:r>
        <w:t xml:space="preserve"> </w:t>
      </w:r>
      <w:r>
        <w:t xml:space="preserve">splits the data repeatedly on single features, choosing at each node the split</w:t>
      </w:r>
      <w:r>
        <w:t xml:space="preserve"> </w:t>
      </w:r>
      <w:r>
        <w:t xml:space="preserve">that most reduces impurity. It has almost no bias and enormous variance: change a few training rows</w:t>
      </w:r>
      <w:r>
        <w:t xml:space="preserve"> </w:t>
      </w:r>
      <w:r>
        <w:t xml:space="preserve">and the tree changes completely.</w:t>
      </w:r>
    </w:p>
    <w:p>
      <w:pPr>
        <w:pStyle w:val="BodyText"/>
      </w:pPr>
      <w:r>
        <w:rPr>
          <w:b/>
          <w:bCs/>
        </w:rPr>
        <w:t xml:space="preserve">Bagging</w:t>
      </w:r>
      <w:r>
        <w:t xml:space="preserve"> </w:t>
      </w:r>
      <w:r>
        <w:t xml:space="preserve">averages that variance away. 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bootstrap samples of the training set, fit a tree</w:t>
      </w:r>
      <w:r>
        <w:t xml:space="preserve"> </w:t>
      </w:r>
      <w:r>
        <w:t xml:space="preserve">to each, and average their predictions. If the trees were independent with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the</w:t>
      </w:r>
      <w:r>
        <w:t xml:space="preserve"> </w:t>
      </w:r>
      <w:r>
        <w:t xml:space="preserve">average would 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B</m:t>
        </m:r>
      </m:oMath>
      <w:r>
        <w:t xml:space="preserve">. They are not independent, so the actual result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‾"/>
                </m:accPr>
                <m:e>
                  <m:r>
                    <m:t>f</m:t>
                  </m:r>
                </m:e>
              </m:acc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ρ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 </m:t>
          </m:r>
          <m:r>
            <m:rPr>
              <m:sty m:val="p"/>
            </m:rPr>
            <m:t>+</m:t>
          </m:r>
          <m:r>
            <m:t> 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num>
            <m:den>
              <m:r>
                <m:t>B</m:t>
              </m:r>
            </m:den>
          </m:f>
          <m:r>
            <m:t> 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is the pairwise correlation between trees.</w:t>
      </w:r>
      <w:r>
        <w:t xml:space="preserve"> </w:t>
      </w:r>
      <w:r>
        <w:rPr>
          <w:b/>
          <w:bCs/>
        </w:rPr>
        <w:t xml:space="preserve">The whole design of a random forest follows</w:t>
      </w:r>
      <w:r>
        <w:rPr>
          <w:b/>
          <w:bCs/>
        </w:rPr>
        <w:t xml:space="preserve"> </w:t>
      </w:r>
      <w:r>
        <w:rPr>
          <w:b/>
          <w:bCs/>
        </w:rPr>
        <w:t xml:space="preserve">from that formula.</w:t>
      </w:r>
      <w:r>
        <w:t xml:space="preserve"> </w:t>
      </w:r>
      <w:r>
        <w:t xml:space="preserve">The second term vanishes as you add trees; the first does not. So the way to</w:t>
      </w:r>
      <w:r>
        <w:t xml:space="preserve"> </w:t>
      </w:r>
      <w:r>
        <w:t xml:space="preserve">improve a forest is to reduce</w:t>
      </w:r>
      <w:r>
        <w:t xml:space="preserve"> </w:t>
      </w:r>
      <m:oMath>
        <m:r>
          <m:t>ρ</m:t>
        </m:r>
      </m:oMath>
      <w:r>
        <w:t xml:space="preserve">, and that is what the</w:t>
      </w:r>
      <w:r>
        <w:t xml:space="preserve"> </w:t>
      </w:r>
      <w:r>
        <w:rPr>
          <w:i/>
          <w:iCs/>
        </w:rPr>
        <w:t xml:space="preserve">random subspace</w:t>
      </w:r>
      <w:r>
        <w:t xml:space="preserve"> </w:t>
      </w:r>
      <w:r>
        <w:t xml:space="preserve">step does: at each</w:t>
      </w:r>
      <w:r>
        <w:t xml:space="preserve"> </w:t>
      </w:r>
      <w:r>
        <w:t xml:space="preserve">split, consider only a random subset of features. It makes each tree individually worse and the</w:t>
      </w:r>
      <w:r>
        <w:t xml:space="preserve"> </w:t>
      </w:r>
      <w:r>
        <w:t xml:space="preserve">ensemble better.</w:t>
      </w:r>
    </w:p>
    <w:p>
      <w:pPr>
        <w:pStyle w:val="BodyText"/>
      </w:pPr>
      <w:r>
        <w:rPr>
          <w:b/>
          <w:bCs/>
        </w:rPr>
        <w:t xml:space="preserve">The settings in this thesis, and why.</w:t>
      </w:r>
      <w:r>
        <w:t xml:space="preserve"> </w:t>
      </w:r>
      <w:r>
        <w:t xml:space="preserve">300 trees; minimum 2 samples per leaf on the core</w:t>
      </w:r>
      <w:r>
        <w:t xml:space="preserve"> </w:t>
      </w:r>
      <w:r>
        <w:t xml:space="preserve">classifiers and 4 on the binder panel;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;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300 trees</w:t>
      </w:r>
      <w:r>
        <w:t xml:space="preserve">: the</w:t>
      </w:r>
      <w:r>
        <w:t xml:space="preserve"> </w:t>
      </w:r>
      <m:oMath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ρ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B</m:t>
        </m:r>
        <m:r>
          <m:t> </m:t>
        </m:r>
      </m:oMath>
      <w:r>
        <w:t xml:space="preserve"> </w:t>
      </w:r>
      <w:r>
        <w:t xml:space="preserve">term is negligible well before 300; more is wasted time.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Minimum leaf size 4 on the binder panel</w:t>
      </w:r>
      <w:r>
        <w:t xml:space="preserve">: those endpoints are smaller and noisier, so leaves are</w:t>
      </w:r>
      <w:r>
        <w:t xml:space="preserve"> </w:t>
      </w:r>
      <w:r>
        <w:t xml:space="preserve">held larger to stop single compounds forming their own leaf.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Balanced class weights</w:t>
      </w:r>
      <w:r>
        <w:t xml:space="preserve">: several endpoints are heavily imbalanced, and without reweighting the</w:t>
      </w:r>
      <w:r>
        <w:t xml:space="preserve"> </w:t>
      </w:r>
      <w:r>
        <w:t xml:space="preserve">tree gains more impurity reduction from the majority class.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A fixed seed</w:t>
      </w:r>
      <w:r>
        <w:t xml:space="preserve">: so a rerun reproduces, which is what let the thesis compare a corrected artefact</w:t>
      </w:r>
      <w:r>
        <w:t xml:space="preserve"> </w:t>
      </w:r>
      <w:r>
        <w:t xml:space="preserve">against its predecessor and attribute the difference to the correction rather than to noise.</w:t>
      </w:r>
    </w:p>
    <w:p>
      <w:pPr>
        <w:pStyle w:val="FirstParagraph"/>
      </w:pPr>
      <w:r>
        <w:rPr>
          <w:b/>
          <w:bCs/>
        </w:rPr>
        <w:t xml:space="preserve">Why a forest gives a probability at all.</w:t>
      </w:r>
      <w:r>
        <w:t xml:space="preserve"> </w:t>
      </w:r>
      <w:r>
        <w:t xml:space="preserve">The fraction of trees voting for the positive class is</w:t>
      </w:r>
      <w:r>
        <w:t xml:space="preserve"> </w:t>
      </w:r>
      <w:r>
        <w:t xml:space="preserve">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but it is not automatically a probability in the sense of</w:t>
      </w:r>
      <w:r>
        <w:t xml:space="preserve"> </w:t>
      </w:r>
      <w:r>
        <w:t xml:space="preserve">“60 per cent of the</w:t>
      </w:r>
      <w:r>
        <w:t xml:space="preserve"> </w:t>
      </w:r>
      <w:r>
        <w:t xml:space="preserve">compounds I score 0.6 are active”</w:t>
      </w:r>
      <w:r>
        <w:t xml:space="preserve">. Making it one is calibration, section 10.</w:t>
      </w:r>
    </w:p>
    <w:p>
      <w:pPr>
        <w:pStyle w:val="BodyText"/>
      </w:pPr>
      <w:r>
        <w:rPr>
          <w:b/>
          <w:bCs/>
        </w:rPr>
        <w:t xml:space="preserve">Be ready for:</w:t>
      </w:r>
      <w:r>
        <w:t xml:space="preserve"> </w:t>
      </w:r>
      <w:r>
        <w:rPr>
          <w:i/>
          <w:iCs/>
        </w:rPr>
        <w:t xml:space="preserve">why a forest rather than a neural network or gradient boosting?</w:t>
      </w:r>
      <w:r>
        <w:t xml:space="preserve"> </w:t>
      </w:r>
      <w:r>
        <w:t xml:space="preserve">The honest answer</w:t>
      </w:r>
      <w:r>
        <w:t xml:space="preserve"> </w:t>
      </w:r>
      <w:r>
        <w:t xml:space="preserve">is in the thesis and is not flattering: the forest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measurably more accurate. Over the</w:t>
      </w:r>
      <w:r>
        <w:t xml:space="preserve"> </w:t>
      </w:r>
      <w:r>
        <w:t xml:space="preserve">8 classification endpoints under scaffold split it beats XGBoost on 8 of 8 with a median margin of</w:t>
      </w:r>
      <w:r>
        <w:t xml:space="preserve"> </w:t>
      </w:r>
      <w:r>
        <w:t xml:space="preserve">0.0048 and Wilcoxon p = 0.00781, but over all 13 endpoints including regression it wins on only 8</w:t>
      </w:r>
      <w:r>
        <w:t xml:space="preserve"> </w:t>
      </w:r>
      <w:r>
        <w:t xml:space="preserve">and the difference is not distinguishable, median delta 0.0033, p = 0.73535. Against histogram</w:t>
      </w:r>
      <w:r>
        <w:t xml:space="preserve"> </w:t>
      </w:r>
      <w:r>
        <w:t xml:space="preserve">gradient boosting on all 13 it is likewise indistinguishable, p = 0.89258. It is kept for its</w:t>
      </w:r>
      <w:r>
        <w:t xml:space="preserve"> </w:t>
      </w:r>
      <w:r>
        <w:t xml:space="preserve">calibration behaviour and its out-of-bag structure, not because it wins.</w:t>
      </w:r>
    </w:p>
    <w:bookmarkEnd w:id="13"/>
    <w:bookmarkStart w:id="14" w:name="X5f0a213db58460a2f692c66b2f2f92884c7fe3e"/>
    <w:p>
      <w:pPr>
        <w:pStyle w:val="Heading2"/>
      </w:pPr>
      <w:r>
        <w:t xml:space="preserve">4. What a probability means, and why it is not comparable</w:t>
      </w:r>
    </w:p>
    <w:p>
      <w:pPr>
        <w:pStyle w:val="FirstParagraph"/>
      </w:pPr>
      <w:r>
        <w:t xml:space="preserve">Each endpoint’s model is fitted on that endpoint’s own table, and those tables have very different</w:t>
      </w:r>
      <w:r>
        <w:t xml:space="preserve"> </w:t>
      </w:r>
      <w:r>
        <w:rPr>
          <w:b/>
          <w:bCs/>
        </w:rPr>
        <w:t xml:space="preserve">base rates</w:t>
      </w:r>
      <w:r>
        <w:t xml:space="preserve"> </w:t>
      </w:r>
      <w:r>
        <w:t xml:space="preserve">— the proportion of the table that is active. Across the eight core classifiers the</w:t>
      </w:r>
      <w:r>
        <w:t xml:space="preserve"> </w:t>
      </w:r>
      <w:r>
        <w:t xml:space="preserve">base rate runs from</w:t>
      </w:r>
      <w:r>
        <w:t xml:space="preserve"> </w:t>
      </w:r>
      <w:r>
        <w:rPr>
          <w:b/>
          <w:bCs/>
        </w:rPr>
        <w:t xml:space="preserve">0.2363 at hERG to 0.8621 at BACE1, a spread of 0.6258</w:t>
      </w:r>
      <w:r>
        <w:t xml:space="preserve">.</w:t>
      </w:r>
    </w:p>
    <w:p>
      <w:pPr>
        <w:pStyle w:val="BodyText"/>
      </w:pPr>
      <w:r>
        <w:t xml:space="preserve">The consequence is the single most important idea in the scoring layer: a probability of 0.60 at</w:t>
      </w:r>
      <w:r>
        <w:t xml:space="preserve"> </w:t>
      </w:r>
      <w:r>
        <w:t xml:space="preserve">hERG, where under a quarter of the table is active, is strong evidence of activity; the same 0.60 at</w:t>
      </w:r>
      <w:r>
        <w:t xml:space="preserve"> </w:t>
      </w:r>
      <w:r>
        <w:t xml:space="preserve">BACE1, where six sevenths of the table is active, is evidence</w:t>
      </w:r>
      <w:r>
        <w:t xml:space="preserve"> </w:t>
      </w:r>
      <w:r>
        <w:rPr>
          <w:i/>
          <w:iCs/>
        </w:rPr>
        <w:t xml:space="preserve">against</w:t>
      </w:r>
      <w:r>
        <w:t xml:space="preserve">. A single threshold applied</w:t>
      </w:r>
      <w:r>
        <w:t xml:space="preserve"> </w:t>
      </w:r>
      <w:r>
        <w:t xml:space="preserve">across the panel would be asking a different question at every endpoint.</w:t>
      </w:r>
    </w:p>
    <w:bookmarkEnd w:id="14"/>
    <w:bookmarkStart w:id="15" w:name="the-enrichment-map"/>
    <w:p>
      <w:pPr>
        <w:pStyle w:val="Heading2"/>
      </w:pPr>
      <w:r>
        <w:t xml:space="preserve">5. The enrichment map</w:t>
      </w:r>
    </w:p>
    <w:p>
      <w:pPr>
        <w:pStyle w:val="FirstParagraph"/>
      </w:pPr>
      <w:r>
        <w:t xml:space="preserve">The fix is to measure how far a probability sits from its own endpoint’s base rate, signed, and</w:t>
      </w:r>
      <w:r>
        <w:t xml:space="preserve"> </w:t>
      </w:r>
      <w:r>
        <w:t xml:space="preserve">scaled so that the answer always lands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p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b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num>
                      <m:den>
                        <m:r>
                          <m:t>b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p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b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Read the algebra.</w:t>
      </w:r>
      <w:r>
        <w:t xml:space="preserve"> </w:t>
      </w:r>
      <w:r>
        <w:t xml:space="preserve">Above the base rate, the largest possible excess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b</m:t>
        </m:r>
      </m:oMath>
      <w:r>
        <w:t xml:space="preserve">, so dividing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maps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 Below it, the largest possible shortfall is</w:t>
      </w:r>
      <w:r>
        <w:t xml:space="preserve"> </w:t>
      </w:r>
      <m:oMath>
        <m:r>
          <m:t>b</m:t>
        </m:r>
      </m:oMath>
      <w:r>
        <w:t xml:space="preserve">, so dividing 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maps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 Both branches give 0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b</m:t>
        </m:r>
      </m:oMath>
      <w:r>
        <w:t xml:space="preserve">, so the function 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, and it is</w:t>
      </w:r>
      <w:r>
        <w:t xml:space="preserve"> </w:t>
      </w:r>
      <w:r>
        <w:rPr>
          <w:b/>
          <w:bCs/>
        </w:rPr>
        <w:t xml:space="preserve">piecewise linear</w:t>
      </w:r>
      <w:r>
        <w:rPr>
          <w:b/>
          <w:bCs/>
        </w:rPr>
        <w:t xml:space="preserve"> </w:t>
      </w:r>
      <w:r>
        <w:rPr>
          <w:b/>
          <w:bCs/>
        </w:rPr>
        <w:t xml:space="preserve">with a kink at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— the two arms have different slopes,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above and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t xml:space="preserve">below,</w:t>
      </w:r>
      <w:r>
        <w:t xml:space="preserve"> </w:t>
      </w:r>
      <w:r>
        <w:t xml:space="preserve">which are equal only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Worked example, from the thesis.</w:t>
      </w:r>
      <w:r>
        <w:t xml:space="preserve"> </w:t>
      </w:r>
      <w:r>
        <w:t xml:space="preserve">Donepezil at MAO-A: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0.0237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0.2383</m:t>
        </m:r>
      </m:oMath>
      <w:r>
        <w:t xml:space="preserve">. Since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b</m:t>
        </m:r>
      </m:oMath>
      <w:r>
        <w:t xml:space="preserve">,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0.0237</m:t>
        </m:r>
        <m:r>
          <m:rPr>
            <m:sty m:val="p"/>
          </m:rPr>
          <m:t>−</m:t>
        </m:r>
        <m:r>
          <m:t>0.2383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0.2383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0.2146</m:t>
        </m:r>
        <m:r>
          <m:rPr>
            <m:sty m:val="p"/>
          </m:rPr>
          <m:t>/</m:t>
        </m:r>
        <m:r>
          <m:t>0.2383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0.90</m:t>
        </m:r>
      </m:oMath>
      <w:r>
        <w:t xml:space="preserve">. At AChE: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1.0000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0.5959</m:t>
        </m:r>
      </m:oMath>
      <w:r>
        <w:t xml:space="preserve">, so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0.5959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0.5959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1.00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clip.</w:t>
      </w:r>
      <w:r>
        <w:t xml:space="preserve"> </w:t>
      </w:r>
      <w:r>
        <w:t xml:space="preserve">The engagement signal is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: a probability below base rate is evidence of</w:t>
      </w:r>
      <w:r>
        <w:t xml:space="preserve"> </w:t>
      </w:r>
      <w:r>
        <w:rPr>
          <w:i/>
          <w:iCs/>
        </w:rPr>
        <w:t xml:space="preserve">inactivity</w:t>
      </w:r>
      <w:r>
        <w:t xml:space="preserve">, and evidence of inactivity should contribute nothing to a disease score rather than</w:t>
      </w:r>
      <w:r>
        <w:t xml:space="preserve"> </w:t>
      </w:r>
      <w:r>
        <w:t xml:space="preserve">contributing negatively. That is a design decision, and an examiner may reasonably push on it.</w:t>
      </w:r>
    </w:p>
    <w:p>
      <w:pPr>
        <w:pStyle w:val="BodyText"/>
      </w:pPr>
      <w:r>
        <w:rPr>
          <w:b/>
          <w:bCs/>
        </w:rPr>
        <w:t xml:space="preserve">Be ready for:</w:t>
      </w:r>
      <w:r>
        <w:t xml:space="preserve"> </w:t>
      </w:r>
      <w:r>
        <w:rPr>
          <w:i/>
          <w:iCs/>
        </w:rPr>
        <w:t xml:space="preserve">is this not just a linear rescaling?</w:t>
      </w:r>
      <w:r>
        <w:t xml:space="preserve"> </w:t>
      </w:r>
      <w:r>
        <w:t xml:space="preserve">It is two linear rescalings joined at the</w:t>
      </w:r>
      <w:r>
        <w:t xml:space="preserve"> </w:t>
      </w:r>
      <w:r>
        <w:t xml:space="preserve">base rate, and the point is the joint. A single linear map could not put the neutral point at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the extremes at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simultaneously for every endpoint.</w:t>
      </w:r>
    </w:p>
    <w:bookmarkEnd w:id="15"/>
    <w:bookmarkStart w:id="16" w:name="aggregation-the-maximum-not-the-sum"/>
    <w:p>
      <w:pPr>
        <w:pStyle w:val="Heading2"/>
      </w:pPr>
      <w:r>
        <w:t xml:space="preserve">6. Aggregation: the maximum, not the sum</w:t>
      </w:r>
    </w:p>
    <w:p>
      <w:pPr>
        <w:pStyle w:val="FirstParagraph"/>
      </w:pPr>
      <w:r>
        <w:t xml:space="preserve">A condition is reached from several targets through a curated graph. Each engaged target contributes</w:t>
      </w:r>
      <w:r>
        <w:t xml:space="preserve"> </w:t>
      </w:r>
      <m:oMath>
        <m:r>
          <m:t>w</m:t>
        </m:r>
        <m:r>
          <m:rPr>
            <m:sty m:val="p"/>
          </m:rPr>
          <m:t>⋅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graph edge weight. Those contributions are combined by a</w:t>
      </w:r>
      <w:r>
        <w:t xml:space="preserve"> </w:t>
      </w:r>
      <w:r>
        <w:rPr>
          <w:b/>
          <w:bCs/>
        </w:rPr>
        <w:t xml:space="preserve">maximum</w:t>
      </w:r>
      <w:r>
        <w:t xml:space="preserve">, not a sum.</w:t>
      </w:r>
    </w:p>
    <w:p>
      <w:pPr>
        <w:pStyle w:val="BodyText"/>
      </w:pPr>
      <w:r>
        <w:rPr>
          <w:b/>
          <w:bCs/>
        </w:rPr>
        <w:t xml:space="preserve">The argument.</w:t>
      </w:r>
      <w:r>
        <w:t xml:space="preserve"> </w:t>
      </w:r>
      <w:r>
        <w:t xml:space="preserve">A sum is correct if the engaged targets are independent observations, because three</w:t>
      </w:r>
      <w:r>
        <w:t xml:space="preserve"> </w:t>
      </w:r>
      <w:r>
        <w:t xml:space="preserve">independent pieces of evidence are stronger than one. They are not. Measured across 400 approved</w:t>
      </w:r>
      <w:r>
        <w:t xml:space="preserve"> </w:t>
      </w:r>
      <w:r>
        <w:t xml:space="preserve">drugs,</w:t>
      </w:r>
      <w:r>
        <w:t xml:space="preserve"> </w:t>
      </w:r>
      <w:r>
        <w:rPr>
          <w:b/>
          <w:bCs/>
        </w:rPr>
        <w:t xml:space="preserve">37 targets fire at least once but span only 16 independent directions</w:t>
      </w:r>
      <w:r>
        <w:t xml:space="preserve">, and five homologous</w:t>
      </w:r>
      <w:r>
        <w:t xml:space="preserve"> </w:t>
      </w:r>
      <w:r>
        <w:t xml:space="preserve">pairs co-fire at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above 0.5: μ and κ opioid at 0.798, SERT and NET at 0.732, D2 and D3 at</w:t>
      </w:r>
      <w:r>
        <w:t xml:space="preserve"> </w:t>
      </w:r>
      <w:r>
        <w:t xml:space="preserve">0.720. A sum would count the same pharmacology two or three times.</w:t>
      </w:r>
    </w:p>
    <w:p>
      <w:pPr>
        <w:pStyle w:val="BodyText"/>
      </w:pP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r>
        <w:rPr>
          <w:b/>
          <w:bCs/>
        </w:rPr>
        <w:t xml:space="preserve">“16 independent directions”</w:t>
      </w:r>
      <w:r>
        <w:rPr>
          <w:b/>
          <w:bCs/>
        </w:rPr>
        <w:t xml:space="preserve"> </w:t>
      </w:r>
      <w:r>
        <w:rPr>
          <w:b/>
          <w:bCs/>
        </w:rPr>
        <w:t xml:space="preserve">is obtained.</w:t>
      </w:r>
      <w:r>
        <w:t xml:space="preserve"> </w:t>
      </w:r>
      <w:r>
        <w:t xml:space="preserve">Build the correlation matrix of the binary firing</w:t>
      </w:r>
      <w:r>
        <w:t xml:space="preserve"> </w:t>
      </w:r>
      <w:r>
        <w:t xml:space="preserve">indicators over those drugs, take its eigenvalues, and count how many exceed 1. This is Kaiser’s</w:t>
      </w:r>
      <w:r>
        <w:t xml:space="preserve"> </w:t>
      </w:r>
      <w:r>
        <w:t xml:space="preserve">rule. A panel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perfectly correlated targets has one eigenvalue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 rest zero, giving</w:t>
      </w:r>
      <w:r>
        <w:t xml:space="preserve"> </w:t>
      </w:r>
      <w:r>
        <w:t xml:space="preserve">1; a panel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targets has all eigenvalues 1, giving</w:t>
      </w:r>
      <w:r>
        <w:t xml:space="preserve"> </w:t>
      </w:r>
      <m:oMath>
        <m:r>
          <m:t>N</m:t>
        </m:r>
      </m:oMath>
      <w:r>
        <w:t xml:space="preserve">. It is a blunt instrument and</w:t>
      </w:r>
      <w:r>
        <w:t xml:space="preserve"> </w:t>
      </w:r>
      <w:r>
        <w:t xml:space="preserve">the thesis says so, but it answers the question asked: how many independent things is the panel</w:t>
      </w:r>
      <w:r>
        <w:t xml:space="preserve"> </w:t>
      </w:r>
      <w:r>
        <w:t xml:space="preserve">actually measuring?</w:t>
      </w:r>
    </w:p>
    <w:p>
      <w:pPr>
        <w:pStyle w:val="BodyText"/>
      </w:pPr>
      <w:r>
        <w:t xml:space="preserve">The maximum</w:t>
      </w:r>
      <w:r>
        <w:t xml:space="preserve"> </w:t>
      </w:r>
      <w:r>
        <w:rPr>
          <w:b/>
          <w:bCs/>
        </w:rPr>
        <w:t xml:space="preserve">understates</w:t>
      </w:r>
      <w:r>
        <w:t xml:space="preserve"> </w:t>
      </w:r>
      <w:r>
        <w:t xml:space="preserve">the evidence rather than overstating it, which is the safer direction for</w:t>
      </w:r>
      <w:r>
        <w:t xml:space="preserve"> </w:t>
      </w:r>
      <w:r>
        <w:t xml:space="preserve">a tool whose purpose is to avoid a wasted experiment.</w:t>
      </w:r>
    </w:p>
    <w:bookmarkEnd w:id="16"/>
    <w:bookmarkStart w:id="17" w:name="X6608a45b3f55e8ffd82b6f95d1d98aac5e56d35"/>
    <w:p>
      <w:pPr>
        <w:pStyle w:val="Heading2"/>
      </w:pPr>
      <w:r>
        <w:t xml:space="preserve">7. The gate, and the proof that it cannot rank</w:t>
      </w:r>
    </w:p>
    <w:p>
      <w:pPr>
        <w:pStyle w:val="FirstParagraph"/>
      </w:pPr>
      <w:r>
        <w:t xml:space="preserve">The final score for condition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compound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S</m:t>
                  </m:r>
                </m:e>
              </m:acc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γ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lim>
          </m:limLow>
          <m:r>
            <m:t>w</m:t>
          </m:r>
          <m:r>
            <m:rPr>
              <m:sty m:val="p"/>
            </m:rPr>
            <m:t>⋅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γ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d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P</m:t>
                    </m:r>
                  </m:e>
                </m:m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B</m:t>
                        </m:r>
                        <m:r>
                          <m:rPr>
                            <m:sty m:val="p"/>
                          </m:rPr>
                          <m:t>B</m:t>
                        </m:r>
                        <m:r>
                          <m:rPr>
                            <m:sty m:val="p"/>
                          </m:rP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P</m:t>
        </m:r>
      </m:oMath>
      <w:r>
        <w:t xml:space="preserve"> </w:t>
      </w:r>
      <w:r>
        <w:t xml:space="preserve">is the set of peripheral conditions, migraine and multiple sclerosis, whose mechanisms act</w:t>
      </w:r>
      <w:r>
        <w:t xml:space="preserve"> </w:t>
      </w:r>
      <w:r>
        <w:t xml:space="preserve">outside the barrier.</w:t>
      </w:r>
    </w:p>
    <w:p>
      <w:pPr>
        <w:pStyle w:val="BodyText"/>
      </w:pPr>
      <w:r>
        <w:rPr>
          <w:b/>
          <w:bCs/>
        </w:rPr>
        <w:t xml:space="preserve">The proof you must be able to give.</w:t>
      </w:r>
      <w:r>
        <w:t xml:space="preserve"> </w:t>
      </w:r>
      <w:r>
        <w:t xml:space="preserve">For the 14 non-peripheral conditions,</w:t>
      </w:r>
      <w:r>
        <w:t xml:space="preserve"> </w:t>
      </w:r>
      <m:oMath>
        <m:sSub>
          <m:e>
            <m:r>
              <m:t>γ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</m:oMath>
      <w:r>
        <w:t xml:space="preserve">. Multiplying every element of a list by one</w:t>
      </w:r>
      <w:r>
        <w:t xml:space="preserve"> </w:t>
      </w:r>
      <w:r>
        <w:t xml:space="preserve">positive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preserves order: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c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 Therefore the</w:t>
      </w:r>
      <w:r>
        <w:t xml:space="preserve"> </w:t>
      </w:r>
      <w:r>
        <w:t xml:space="preserve">gate</w:t>
      </w:r>
      <w:r>
        <w:t xml:space="preserve"> </w:t>
      </w:r>
      <w:r>
        <w:rPr>
          <w:b/>
          <w:bCs/>
        </w:rPr>
        <w:t xml:space="preserve">cannot change which condition ranks first</w:t>
      </w:r>
      <w:r>
        <w:t xml:space="preserve">. It changes only the absolute values, and hence</w:t>
      </w:r>
      <w:r>
        <w:t xml:space="preserve"> </w:t>
      </w:r>
      <w:r>
        <w:t xml:space="preserve">only whether anything clears the reporting threshold of 0.30.</w:t>
      </w:r>
    </w:p>
    <w:p>
      <w:pPr>
        <w:pStyle w:val="BodyText"/>
      </w:pPr>
      <w:r>
        <w:t xml:space="preserve">This is hypothesis H3 and it is</w:t>
      </w:r>
      <w:r>
        <w:t xml:space="preserve"> </w:t>
      </w:r>
      <w:r>
        <w:rPr>
          <w:b/>
          <w:bCs/>
        </w:rPr>
        <w:t xml:space="preserve">refuted by construction</w:t>
      </w:r>
      <w:r>
        <w:t xml:space="preserve"> </w:t>
      </w:r>
      <w:r>
        <w:t xml:space="preserve">— refuted by algebra, not by an</w:t>
      </w:r>
      <w:r>
        <w:t xml:space="preserve"> </w:t>
      </w:r>
      <w:r>
        <w:t xml:space="preserve">experiment. The correct description is that the gate is an</w:t>
      </w:r>
      <w:r>
        <w:t xml:space="preserve"> </w:t>
      </w:r>
      <w:r>
        <w:rPr>
          <w:b/>
          <w:bCs/>
        </w:rPr>
        <w:t xml:space="preserve">exposure filter over a mechanism</w:t>
      </w:r>
      <w:r>
        <w:rPr>
          <w:b/>
          <w:bCs/>
        </w:rPr>
        <w:t xml:space="preserve"> </w:t>
      </w:r>
      <w:r>
        <w:rPr>
          <w:b/>
          <w:bCs/>
        </w:rPr>
        <w:t xml:space="preserve">ranking</w:t>
      </w:r>
      <w:r>
        <w:t xml:space="preserve">: it decides</w:t>
      </w:r>
      <w:r>
        <w:t xml:space="preserve"> </w:t>
      </w:r>
      <w:r>
        <w:rPr>
          <w:i/>
          <w:iCs/>
        </w:rPr>
        <w:t xml:space="preserve">whether</w:t>
      </w:r>
      <w:r>
        <w:t xml:space="preserve"> </w:t>
      </w:r>
      <w:r>
        <w:t xml:space="preserve">to speak, never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condition to name.</w:t>
      </w:r>
    </w:p>
    <w:p>
      <w:pPr>
        <w:pStyle w:val="BodyText"/>
      </w:pPr>
      <w:r>
        <w:rPr>
          <w:b/>
          <w:bCs/>
        </w:rPr>
        <w:t xml:space="preserve">The exception, which you should raise yourself.</w:t>
      </w:r>
      <w:r>
        <w:t xml:space="preserve"> </w:t>
      </w:r>
      <w:r>
        <w:t xml:space="preserve">The proof holds for the 14. It does not hold</w:t>
      </w:r>
      <w:r>
        <w:t xml:space="preserve"> </w:t>
      </w:r>
      <w:r>
        <w:t xml:space="preserve">across the boundary to the two exempt conditions, where</w:t>
      </w:r>
      <w:r>
        <w:t xml:space="preserve"> </w:t>
      </w:r>
      <m:oMath>
        <m:sSub>
          <m:e>
            <m:r>
              <m:t>γ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while the others are scaled.</w:t>
      </w:r>
      <w:r>
        <w:t xml:space="preserve"> </w:t>
      </w:r>
      <w:r>
        <w:t xml:space="preserve">On teriflunomide, a DHODH inhibitor used in multiple sclerosis, the barrier probability is 0.559, so</w:t>
      </w:r>
      <w:r>
        <w:t xml:space="preserve"> </w:t>
      </w:r>
      <w:r>
        <w:t xml:space="preserve">the exemption is worth a factor of 1.79 on that condition’s score. The gate therefore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reorder</w:t>
      </w:r>
      <w:r>
        <w:t xml:space="preserve"> </w:t>
      </w:r>
      <w:r>
        <w:t xml:space="preserve">a peripheral condition against a central one. No document in the project stated this before the</w:t>
      </w:r>
      <w:r>
        <w:t xml:space="preserve"> </w:t>
      </w:r>
      <w:r>
        <w:t xml:space="preserve">thesis did.</w:t>
      </w:r>
    </w:p>
    <w:bookmarkEnd w:id="17"/>
    <w:bookmarkStart w:id="18" w:name="auroc"/>
    <w:p>
      <w:pPr>
        <w:pStyle w:val="Heading2"/>
      </w:pPr>
      <w:r>
        <w:t xml:space="preserve">8. AUROC</w:t>
      </w:r>
    </w:p>
    <w:p>
      <w:pPr>
        <w:pStyle w:val="FirstParagraph"/>
      </w:pPr>
      <w:r>
        <w:rPr>
          <w:b/>
          <w:bCs/>
        </w:rPr>
        <w:t xml:space="preserve">Definition.</w:t>
      </w:r>
      <w:r>
        <w:t xml:space="preserve"> </w:t>
      </w:r>
      <w:r>
        <w:t xml:space="preserve">Sweep the decision threshold from 1 to 0. At each threshold compute the true-positive</w:t>
      </w:r>
      <w:r>
        <w:t xml:space="preserve"> </w:t>
      </w:r>
      <w:r>
        <w:t xml:space="preserve">rate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T</m:t>
        </m:r>
        <m:r>
          <m:rPr>
            <m:sty m:val="p"/>
          </m:rPr>
          <m:t>P</m:t>
        </m:r>
        <m:r>
          <m:rPr>
            <m:sty m:val="p"/>
          </m:rPr>
          <m:t>+</m:t>
        </m:r>
        <m:r>
          <m:rPr>
            <m:sty m:val="p"/>
          </m:rPr>
          <m:t>F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false-positive rate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=</m:t>
        </m:r>
        <m:r>
          <m:rPr>
            <m:sty m:val="p"/>
          </m:rPr>
          <m:t>F</m:t>
        </m:r>
        <m:r>
          <m:rPr>
            <m:sty m:val="p"/>
          </m:rP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F</m:t>
        </m:r>
        <m:r>
          <m:rPr>
            <m:sty m:val="p"/>
          </m:rPr>
          <m:t>P</m:t>
        </m:r>
        <m:r>
          <m:rPr>
            <m:sty m:val="p"/>
          </m:rPr>
          <m:t>+</m:t>
        </m:r>
        <m:r>
          <m:rPr>
            <m:sty m:val="p"/>
          </m:rPr>
          <m:t>T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  <w:r>
        <w:t xml:space="preserve">. Plot TPR against FPR. AUROC is the area under</w:t>
      </w:r>
      <w:r>
        <w:t xml:space="preserve"> </w:t>
      </w:r>
      <w:r>
        <w:t xml:space="preserve">that curve.</w:t>
      </w:r>
    </w:p>
    <w:p>
      <w:pPr>
        <w:pStyle w:val="BodyText"/>
      </w:pPr>
      <w:r>
        <w:rPr>
          <w:b/>
          <w:bCs/>
        </w:rPr>
        <w:t xml:space="preserve">The interpretation to give in a viva</w:t>
      </w:r>
      <w:r>
        <w:t xml:space="preserve">, because it is the one that shows understanding: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U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Pr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for a randomly chosen active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 a randomly chosen inactive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with ties counted as</w:t>
      </w:r>
      <w:r>
        <w:t xml:space="preserve"> </w:t>
      </w:r>
      <w:r>
        <w:t xml:space="preserve">half. It is the probability that the model ranks a random active above a random inactive. 0.5 is</w:t>
      </w:r>
      <w:r>
        <w:t xml:space="preserve"> </w:t>
      </w:r>
      <w:r>
        <w:t xml:space="preserve">chance; 1.0 is perfect ranking.</w:t>
      </w:r>
    </w:p>
    <w:p>
      <w:pPr>
        <w:pStyle w:val="BodyText"/>
      </w:pPr>
      <w:r>
        <w:rPr>
          <w:b/>
          <w:bCs/>
        </w:rPr>
        <w:t xml:space="preserve">Equivalently</w:t>
      </w:r>
      <w:r>
        <w:t xml:space="preserve"> </w:t>
      </w:r>
      <w:r>
        <w:t xml:space="preserve">it is the normalised Mann-Whitney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statistic,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rPr>
                <m:sty m:val="p"/>
              </m:rPr>
              <m:t>+</m:t>
            </m:r>
          </m:sub>
        </m:sSub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why a rank test and an AUROC are two views of the same quantity.</w:t>
      </w:r>
    </w:p>
    <w:p>
      <w:pPr>
        <w:pStyle w:val="BodyText"/>
      </w:pPr>
      <w:r>
        <w:rPr>
          <w:b/>
          <w:bCs/>
        </w:rPr>
        <w:t xml:space="preserve">What AUROC does not tell you, and this is the pivot of Chapter 8.</w:t>
      </w:r>
      <w:r>
        <w:t xml:space="preserve"> </w:t>
      </w:r>
      <w:r>
        <w:t xml:space="preserve">It is</w:t>
      </w:r>
      <w:r>
        <w:t xml:space="preserve"> </w:t>
      </w:r>
      <w:r>
        <w:rPr>
          <w:i/>
          <w:iCs/>
        </w:rPr>
        <w:t xml:space="preserve">threshold-free</w:t>
      </w:r>
      <w:r>
        <w:t xml:space="preserve">. It</w:t>
      </w:r>
      <w:r>
        <w:t xml:space="preserve"> </w:t>
      </w:r>
      <w:r>
        <w:t xml:space="preserve">measures ranking only. A model can rank beautifully and still fire for almost none of the actives at</w:t>
      </w:r>
      <w:r>
        <w:t xml:space="preserve"> </w:t>
      </w:r>
      <w:r>
        <w:t xml:space="preserve">its deployed threshold. That is exactly what happens here: on the prospective split the AUROC against</w:t>
      </w:r>
      <w:r>
        <w:t xml:space="preserve"> </w:t>
      </w:r>
      <w:r>
        <w:t xml:space="preserve">measured inactives falls from 0.9507 to 0.8231, a drop of 0.1276, while sensitivity at the frozen</w:t>
      </w:r>
      <w:r>
        <w:t xml:space="preserve"> </w:t>
      </w:r>
      <w:r>
        <w:t xml:space="preserve">threshold falls from 0.8715 to 0.4886, a drop of 0.3829 —</w:t>
      </w:r>
      <w:r>
        <w:t xml:space="preserve"> </w:t>
      </w:r>
      <w:r>
        <w:rPr>
          <w:b/>
          <w:bCs/>
        </w:rPr>
        <w:t xml:space="preserve">three times larger</w:t>
      </w:r>
      <w:r>
        <w:t xml:space="preserve">. Ranking survives</w:t>
      </w:r>
      <w:r>
        <w:t xml:space="preserve"> </w:t>
      </w:r>
      <w:r>
        <w:t xml:space="preserve">what a fixed operating point does not.</w:t>
      </w:r>
    </w:p>
    <w:p>
      <w:pPr>
        <w:pStyle w:val="BodyText"/>
      </w:pPr>
      <w:r>
        <w:rPr>
          <w:b/>
          <w:bCs/>
        </w:rPr>
        <w:t xml:space="preserve">Be ready for:</w:t>
      </w:r>
      <w:r>
        <w:t xml:space="preserve"> </w:t>
      </w:r>
      <w:r>
        <w:rPr>
          <w:i/>
          <w:iCs/>
        </w:rPr>
        <w:t xml:space="preserve">why not AUPRC?</w:t>
      </w:r>
      <w:r>
        <w:t xml:space="preserve"> </w:t>
      </w:r>
      <w:r>
        <w:t xml:space="preserve">Under heavy class imbalance, precision-recall is the more</w:t>
      </w:r>
      <w:r>
        <w:t xml:space="preserve"> </w:t>
      </w:r>
      <w:r>
        <w:t xml:space="preserve">informative curve and its absence is a fair criticism. The defence is that the operating-point</w:t>
      </w:r>
      <w:r>
        <w:t xml:space="preserve"> </w:t>
      </w:r>
      <w:r>
        <w:t xml:space="preserve">metrics reported alongside AUROC — sensitivity, and the false-positive rate on background — carry the</w:t>
      </w:r>
      <w:r>
        <w:t xml:space="preserve"> </w:t>
      </w:r>
      <w:r>
        <w:t xml:space="preserve">same information in the form a user actually meets, and that the thresholds are set on a disjoint</w:t>
      </w:r>
      <w:r>
        <w:t xml:space="preserve"> </w:t>
      </w:r>
      <w:r>
        <w:t xml:space="preserve">pool so those rates are measured rather than fitted.</w:t>
      </w:r>
    </w:p>
    <w:bookmarkEnd w:id="18"/>
    <w:bookmarkStart w:id="19" w:name="X225c5f74e938fb8c93382f793a4b15422951173"/>
    <w:p>
      <w:pPr>
        <w:pStyle w:val="Heading2"/>
      </w:pPr>
      <w:r>
        <w:t xml:space="preserve">9. Sensitivity, specificity, and the operating point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sensitivity (recall)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P</m:t>
              </m:r>
            </m:num>
            <m:den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specificity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N</m:t>
              </m:r>
            </m:num>
            <m:den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P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F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</m:oMath>
      </m:oMathPara>
    </w:p>
    <w:p>
      <w:pPr>
        <w:pStyle w:val="FirstParagraph"/>
      </w:pPr>
      <w:r>
        <w:t xml:space="preserve">Sensitivity answers</w:t>
      </w:r>
      <w:r>
        <w:t xml:space="preserve"> </w:t>
      </w:r>
      <w:r>
        <w:t xml:space="preserve">“of the compounds that really are active, what fraction do I catch?”</w:t>
      </w:r>
      <w:r>
        <w:t xml:space="preserve">. Specificity</w:t>
      </w:r>
      <w:r>
        <w:t xml:space="preserve"> </w:t>
      </w:r>
      <w:r>
        <w:t xml:space="preserve">answers</w:t>
      </w:r>
      <w:r>
        <w:t xml:space="preserve"> </w:t>
      </w:r>
      <w:r>
        <w:t xml:space="preserve">“of the compounds that really are not, what fraction do I correctly leave alone?”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trade is unavoidable.</w:t>
      </w:r>
      <w:r>
        <w:t xml:space="preserve"> </w:t>
      </w:r>
      <w:r>
        <w:t xml:space="preserve">Lowering a threshold raises sensitivity and lowers specificity. This</w:t>
      </w:r>
      <w:r>
        <w:t xml:space="preserve"> </w:t>
      </w:r>
      <w:r>
        <w:t xml:space="preserve">project chose specificity: thresholds hold the background false-positive rate at or under 0.05 on</w:t>
      </w:r>
      <w:r>
        <w:t xml:space="preserve"> </w:t>
      </w:r>
      <w:r>
        <w:t xml:space="preserve">every deployed endpoint, maximum 0.0500, and the price is a panel mean sensitivity of</w:t>
      </w:r>
      <w:r>
        <w:t xml:space="preserve"> </w:t>
      </w:r>
      <w:r>
        <w:rPr>
          <w:b/>
          <w:bCs/>
        </w:rPr>
        <w:t xml:space="preserve">0.7638</w:t>
      </w:r>
      <w:r>
        <w:t xml:space="preserve">,</w:t>
      </w:r>
      <w:r>
        <w:t xml:space="preserve"> </w:t>
      </w:r>
      <w:r>
        <w:t xml:space="preserve">median 0.835, from</w:t>
      </w:r>
      <w:r>
        <w:t xml:space="preserve"> </w:t>
      </w:r>
      <w:r>
        <w:rPr>
          <w:b/>
          <w:bCs/>
        </w:rPr>
        <w:t xml:space="preserve">0.303 at GABA-A to 0.993 at CGRP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consequence a user meets</w:t>
      </w:r>
      <w:r>
        <w:t xml:space="preserve">: silence is not evidence of inactivity. Six of the 47 deployed</w:t>
      </w:r>
      <w:r>
        <w:t xml:space="preserve"> </w:t>
      </w:r>
      <w:r>
        <w:t xml:space="preserve">endpoints fire for fewer than half their own held-out actives, and the server reports the expected</w:t>
      </w:r>
      <w:r>
        <w:t xml:space="preserve"> </w:t>
      </w:r>
      <w:r>
        <w:t xml:space="preserve">recall at a compound’s own distance from training chemistry beside every negative result.</w:t>
      </w:r>
    </w:p>
    <w:bookmarkEnd w:id="19"/>
    <w:bookmarkStart w:id="20" w:name="calibration"/>
    <w:p>
      <w:pPr>
        <w:pStyle w:val="Heading2"/>
      </w:pPr>
      <w:r>
        <w:t xml:space="preserve">10. Calibration</w:t>
      </w:r>
    </w:p>
    <w:p>
      <w:pPr>
        <w:pStyle w:val="FirstParagraph"/>
      </w:pPr>
      <w:r>
        <w:t xml:space="preserve">A model is</w:t>
      </w:r>
      <w:r>
        <w:t xml:space="preserve"> </w:t>
      </w:r>
      <w:r>
        <w:rPr>
          <w:b/>
          <w:bCs/>
        </w:rPr>
        <w:t xml:space="preserve">calibrated</w:t>
      </w:r>
      <w:r>
        <w:t xml:space="preserve"> </w:t>
      </w:r>
      <w:r>
        <w:t xml:space="preserve">if, among all compounds it scores 0.7, about 70 per cent really are active.</w:t>
      </w:r>
      <w:r>
        <w:t xml:space="preserve"> </w:t>
      </w:r>
      <w:r>
        <w:t xml:space="preserve">Ranking well and being calibrated are different properties: a monotone transform of the scores leaves</w:t>
      </w:r>
      <w:r>
        <w:t xml:space="preserve"> </w:t>
      </w:r>
      <w:r>
        <w:t xml:space="preserve">AUROC untouched and can destroy calibration entirely.</w:t>
      </w:r>
    </w:p>
    <w:p>
      <w:pPr>
        <w:pStyle w:val="BodyText"/>
      </w:pPr>
      <w:r>
        <w:rPr>
          <w:b/>
          <w:bCs/>
        </w:rPr>
        <w:t xml:space="preserve">Expected calibration error.</w:t>
      </w:r>
      <w:r>
        <w:t xml:space="preserve"> </w:t>
      </w:r>
      <w:r>
        <w:t xml:space="preserve">Partition the predictions into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bins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by predicted</w:t>
      </w:r>
      <w:r>
        <w:t xml:space="preserve"> </w:t>
      </w:r>
      <w:r>
        <w:t xml:space="preserve">probability and take the weighted average gap between confidence and accuracy: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E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n</m:t>
                  </m:r>
                </m:den>
              </m:f>
            </m:e>
          </m:nary>
          <m:r>
            <m:t> </m:t>
          </m:r>
          <m:r>
            <m:rPr>
              <m:sty m:val="p"/>
            </m:rPr>
            <m:t>|</m:t>
          </m:r>
          <m:r>
            <m:rPr>
              <m:sty m:val="p"/>
            </m:rPr>
            <m:t>acc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conf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b/>
          <w:bCs/>
        </w:rPr>
        <w:t xml:space="preserve">State the weakness without being asked:</w:t>
      </w:r>
      <w:r>
        <w:t xml:space="preserve"> </w:t>
      </w:r>
      <w:r>
        <w:t xml:space="preserve">ECE depends on the binning. Change the number of bins or</w:t>
      </w:r>
      <w:r>
        <w:t xml:space="preserve"> </w:t>
      </w:r>
      <w:r>
        <w:t xml:space="preserve">whether they are equal-width or equal-frequency and the number moves. It is a summary, not a test.</w:t>
      </w:r>
    </w:p>
    <w:p>
      <w:pPr>
        <w:pStyle w:val="BodyText"/>
      </w:pPr>
      <w:r>
        <w:rPr>
          <w:b/>
          <w:bCs/>
        </w:rPr>
        <w:t xml:space="preserve">Isotonic regression</w:t>
      </w:r>
      <w:r>
        <w:t xml:space="preserve"> </w:t>
      </w:r>
      <w:r>
        <w:t xml:space="preserve">is the calibrator used on the eight core classifiers. It fits the</w:t>
      </w:r>
      <w:r>
        <w:t xml:space="preserve"> </w:t>
      </w:r>
      <w:r>
        <w:t xml:space="preserve">best-fitting</w:t>
      </w:r>
      <w:r>
        <w:t xml:space="preserve"> </w:t>
      </w:r>
      <w:r>
        <w:rPr>
          <w:i/>
          <w:iCs/>
        </w:rPr>
        <w:t xml:space="preserve">non-decreasing</w:t>
      </w:r>
      <w:r>
        <w:t xml:space="preserve"> </w:t>
      </w:r>
      <w:r>
        <w:t xml:space="preserve">step function from raw score to observed frequency, minimising squared</w:t>
      </w:r>
      <w:r>
        <w:t xml:space="preserve"> </w:t>
      </w:r>
      <w:r>
        <w:t xml:space="preserve">error subject to monotonicity, and it is solved exactly by the</w:t>
      </w:r>
      <w:r>
        <w:t xml:space="preserve"> </w:t>
      </w:r>
      <w:r>
        <w:rPr>
          <w:b/>
          <w:bCs/>
        </w:rPr>
        <w:t xml:space="preserve">pool-adjacent-violators algorithm</w:t>
      </w:r>
      <w:r>
        <w:t xml:space="preserve">:</w:t>
      </w:r>
      <w:r>
        <w:t xml:space="preserve"> </w:t>
      </w:r>
      <w:r>
        <w:t xml:space="preserve">walk the sequence, and wherever a value is lower than the one before it, merge the two into a block</w:t>
      </w:r>
      <w:r>
        <w:t xml:space="preserve"> </w:t>
      </w:r>
      <w:r>
        <w:t xml:space="preserve">carrying their mean; repeat until the sequence is non-decreasing. It is non-parametric, so it can fix</w:t>
      </w:r>
      <w:r>
        <w:t xml:space="preserve"> </w:t>
      </w:r>
      <w:r>
        <w:t xml:space="preserve">a badly shaped curve, and for that reason it can overfit on small samples, which is why it is fitted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out-of-fold</w:t>
      </w:r>
      <w:r>
        <w:t xml:space="preserve"> </w:t>
      </w:r>
      <w:r>
        <w:t xml:space="preserve">predictions rather than on the training scores.</w:t>
      </w:r>
    </w:p>
    <w:p>
      <w:pPr>
        <w:pStyle w:val="BodyText"/>
      </w:pPr>
      <w:r>
        <w:rPr>
          <w:b/>
          <w:bCs/>
        </w:rPr>
        <w:t xml:space="preserve">Platt scaling</w:t>
      </w:r>
      <w:r>
        <w:t xml:space="preserve">, used on the binder panel, is the parametric alternative: fit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exp</m:t>
            </m:r>
            <m:r>
              <m:rPr>
                <m:sty m:val="p"/>
              </m:rPr>
              <m:t>(</m:t>
            </m:r>
            <m:r>
              <m:t>A</m:t>
            </m:r>
            <m:r>
              <m:t>s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by maximum likelihood. Two parameters, so it is far</w:t>
      </w:r>
      <w:r>
        <w:t xml:space="preserve"> </w:t>
      </w:r>
      <w:r>
        <w:t xml:space="preserve">more stable on small samples and cannot fix a non-sigmoidal distortion.</w:t>
      </w:r>
    </w:p>
    <w:p>
      <w:pPr>
        <w:pStyle w:val="BodyText"/>
      </w:pPr>
      <w:r>
        <w:rPr>
          <w:b/>
          <w:bCs/>
        </w:rPr>
        <w:t xml:space="preserve">The numbers.</w:t>
      </w:r>
      <w:r>
        <w:t xml:space="preserve"> </w:t>
      </w:r>
      <w:r>
        <w:t xml:space="preserve">Over the eight core classifiers ECE falls from a mean of</w:t>
      </w:r>
      <w:r>
        <w:t xml:space="preserve"> </w:t>
      </w:r>
      <w:r>
        <w:rPr>
          <w:b/>
          <w:bCs/>
        </w:rPr>
        <w:t xml:space="preserve">0.0801 to 0.0147</w:t>
      </w:r>
      <w:r>
        <w:t xml:space="preserve">, over</w:t>
      </w:r>
      <w:r>
        <w:t xml:space="preserve"> </w:t>
      </w:r>
      <w:r>
        <w:t xml:space="preserve">a range of</w:t>
      </w:r>
      <w:r>
        <w:t xml:space="preserve"> </w:t>
      </w:r>
      <w:r>
        <w:rPr>
          <w:b/>
          <w:bCs/>
        </w:rPr>
        <w:t xml:space="preserve">0.0049 at BACE1 to 0.0412 at BBB</w:t>
      </w:r>
      <w:r>
        <w:t xml:space="preserve">. Two things to volunteer here. First, the barrier</w:t>
      </w:r>
      <w:r>
        <w:t xml:space="preserve"> </w:t>
      </w:r>
      <w:r>
        <w:t xml:space="preserve">model is the</w:t>
      </w:r>
      <w:r>
        <w:t xml:space="preserve"> </w:t>
      </w:r>
      <w:r>
        <w:rPr>
          <w:b/>
          <w:bCs/>
        </w:rPr>
        <w:t xml:space="preserve">worst calibrated of the eight</w:t>
      </w:r>
      <w:r>
        <w:t xml:space="preserve">, at nearly three times the mean, and its probability is</w:t>
      </w:r>
      <w:r>
        <w:t xml:space="preserve"> </w:t>
      </w:r>
      <w:r>
        <w:t xml:space="preserve">not merely reported: it multiplies every gated condition, so its error propagates into all of them.</w:t>
      </w:r>
      <w:r>
        <w:t xml:space="preserve"> </w:t>
      </w:r>
      <w:r>
        <w:t xml:space="preserve">Second, the headline covers eight estimators. The 38 binder endpoints that carry a measured</w:t>
      </w:r>
      <w:r>
        <w:t xml:space="preserve"> </w:t>
      </w:r>
      <w:r>
        <w:t xml:space="preserve">calibration error average</w:t>
      </w:r>
      <w:r>
        <w:t xml:space="preserve"> </w:t>
      </w:r>
      <w:r>
        <w:rPr>
          <w:b/>
          <w:bCs/>
        </w:rPr>
        <w:t xml:space="preserve">0.0762</w:t>
      </w:r>
      <w:r>
        <w:t xml:space="preserve">, about five times the core figure, and nine of the 47 carry no</w:t>
      </w:r>
      <w:r>
        <w:t xml:space="preserve"> </w:t>
      </w:r>
      <w:r>
        <w:t xml:space="preserve">measured calibration error at all.</w:t>
      </w:r>
    </w:p>
    <w:bookmarkEnd w:id="20"/>
    <w:bookmarkStart w:id="21" w:name="conformal-prediction"/>
    <w:p>
      <w:pPr>
        <w:pStyle w:val="Heading2"/>
      </w:pPr>
      <w:r>
        <w:t xml:space="preserve">11. Conformal prediction</w:t>
      </w:r>
    </w:p>
    <w:p>
      <w:pPr>
        <w:pStyle w:val="FirstParagraph"/>
      </w:pPr>
      <w:r>
        <w:t xml:space="preserve">Calibration says a probability is honest on average. Conformal prediction gives something stronger: a</w:t>
      </w:r>
      <w:r>
        <w:t xml:space="preserve"> </w:t>
      </w:r>
      <w:r>
        <w:rPr>
          <w:b/>
          <w:bCs/>
        </w:rPr>
        <w:t xml:space="preserve">prediction set</w:t>
      </w:r>
      <w:r>
        <w:t xml:space="preserve"> </w:t>
      </w:r>
      <w:r>
        <w:t xml:space="preserve">with a finite-sample coverage guarantee.</w:t>
      </w:r>
    </w:p>
    <w:p>
      <w:pPr>
        <w:pStyle w:val="BodyText"/>
      </w:pPr>
      <w:r>
        <w:rPr>
          <w:b/>
          <w:bCs/>
        </w:rPr>
        <w:t xml:space="preserve">The construction, inductive (split) conformal.</w:t>
      </w:r>
      <w:r>
        <w:t xml:space="preserve"> </w:t>
      </w:r>
      <w:r>
        <w:t xml:space="preserve">Hold out a calibration set the model never trained</w:t>
      </w:r>
      <w:r>
        <w:t xml:space="preserve"> </w:t>
      </w:r>
      <w:r>
        <w:t xml:space="preserve">on. Define a nonconformity score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measuring how badly an example fits a proposed label — for</w:t>
      </w:r>
      <w:r>
        <w:t xml:space="preserve"> </w:t>
      </w:r>
      <w:r>
        <w:t xml:space="preserve">a classifier,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rPr>
            <m:nor/>
            <m:sty m:val="p"/>
          </m:rPr>
          <m:t>label</m:t>
        </m:r>
        <m:r>
          <m:rPr>
            <m:sty m:val="p"/>
          </m:rPr>
          <m:t>)</m:t>
        </m:r>
      </m:oMath>
      <w:r>
        <w:t xml:space="preserve"> </w:t>
      </w:r>
      <w:r>
        <w:t xml:space="preserve">serves. Compute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for every calibration</w:t>
      </w:r>
      <w:r>
        <w:t xml:space="preserve"> </w:t>
      </w:r>
      <w:r>
        <w:t xml:space="preserve">point. For a new compound and each candidate label, compute its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include the label in the</w:t>
      </w:r>
      <w:r>
        <w:t xml:space="preserve"> </w:t>
      </w:r>
      <w:r>
        <w:t xml:space="preserve">prediction set if its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below the</w:t>
      </w:r>
      <w:r>
        <w:t xml:space="preserve"> </w:t>
      </w:r>
      <m:oMath>
        <m:r>
          <m:rPr>
            <m:sty m:val="p"/>
          </m:rPr>
          <m:t>⌈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-th smallest</w:t>
      </w:r>
      <w:r>
        <w:t xml:space="preserve"> </w:t>
      </w:r>
      <w:r>
        <w:t xml:space="preserve">calibration score.</w:t>
      </w:r>
    </w:p>
    <w:p>
      <w:pPr>
        <w:pStyle w:val="BodyText"/>
      </w:pPr>
      <w:r>
        <w:rPr>
          <w:b/>
          <w:bCs/>
        </w:rPr>
        <w:t xml:space="preserve">The guarantee.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Γ</m:t>
            </m:r>
          </m:e>
          <m:sup>
            <m:r>
              <m:t>ε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ε</m:t>
        </m:r>
      </m:oMath>
      <w:r>
        <w:t xml:space="preserve">, and it requires only</w:t>
      </w:r>
      <w:r>
        <w:t xml:space="preserve"> </w:t>
      </w:r>
      <w:r>
        <w:rPr>
          <w:b/>
          <w:bCs/>
        </w:rPr>
        <w:t xml:space="preserve">exchangeability</w:t>
      </w:r>
      <w:r>
        <w:t xml:space="preserve"> </w:t>
      </w:r>
      <w:r>
        <w:t xml:space="preserve">of calibration and test data, not any distributional assumption and not that the</w:t>
      </w:r>
      <w:r>
        <w:t xml:space="preserve"> </w:t>
      </w:r>
      <w:r>
        <w:t xml:space="preserve">model is any good. A useless model still achieves coverage; it does so by returning both labels.</w:t>
      </w:r>
    </w:p>
    <w:p>
      <w:pPr>
        <w:pStyle w:val="BodyText"/>
      </w:pPr>
      <w:r>
        <w:rPr>
          <w:b/>
          <w:bCs/>
        </w:rPr>
        <w:t xml:space="preserve">Mondrian, or class-conditional, conformal</w:t>
      </w:r>
      <w:r>
        <w:t xml:space="preserve"> </w:t>
      </w:r>
      <w:r>
        <w:t xml:space="preserve">— which is what this thesis uses — applies the quantile</w:t>
      </w:r>
      <w:r>
        <w:t xml:space="preserve"> </w:t>
      </w:r>
      <w:r>
        <w:rPr>
          <w:i/>
          <w:iCs/>
        </w:rPr>
        <w:t xml:space="preserve">within each class</w:t>
      </w:r>
      <w:r>
        <w:t xml:space="preserve"> </w:t>
      </w:r>
      <w:r>
        <w:t xml:space="preserve">separately. Marginal conformal can hit 90 per cent overall while covering the</w:t>
      </w:r>
      <w:r>
        <w:t xml:space="preserve"> </w:t>
      </w:r>
      <w:r>
        <w:t xml:space="preserve">minority class far worse; Mondrian prevents that, at the cost of needing enough calibration data per</w:t>
      </w:r>
      <w:r>
        <w:t xml:space="preserve"> </w:t>
      </w:r>
      <w:r>
        <w:t xml:space="preserve">class.</w:t>
      </w:r>
    </w:p>
    <w:p>
      <w:pPr>
        <w:pStyle w:val="BodyText"/>
      </w:pPr>
      <w:r>
        <w:rPr>
          <w:b/>
          <w:bCs/>
        </w:rPr>
        <w:t xml:space="preserve">Why set size is reported beside coverage.</w:t>
      </w:r>
      <w:r>
        <w:t xml:space="preserve"> </w:t>
      </w:r>
      <w:r>
        <w:t xml:space="preserve">Coverage alone is gameable: always returning every</w:t>
      </w:r>
      <w:r>
        <w:t xml:space="preserve"> </w:t>
      </w:r>
      <w:r>
        <w:t xml:space="preserve">label gives perfect coverage and no information. Average set size near 1 means the interval commits</w:t>
      </w:r>
      <w:r>
        <w:t xml:space="preserve"> </w:t>
      </w:r>
      <w:r>
        <w:t xml:space="preserve">to a single label. Here, at a target of 0.90, empirical coverage runs</w:t>
      </w:r>
      <w:r>
        <w:t xml:space="preserve"> </w:t>
      </w:r>
      <w:r>
        <w:rPr>
          <w:b/>
          <w:bCs/>
        </w:rPr>
        <w:t xml:space="preserve">0.876 to 0.933</w:t>
      </w:r>
      <w:r>
        <w:t xml:space="preserve"> </w:t>
      </w:r>
      <w:r>
        <w:t xml:space="preserve">with set</w:t>
      </w:r>
      <w:r>
        <w:t xml:space="preserve"> </w:t>
      </w:r>
      <w:r>
        <w:t xml:space="preserve">sizes from 0.956 to 1.215.</w:t>
      </w:r>
    </w:p>
    <w:p>
      <w:pPr>
        <w:pStyle w:val="BodyText"/>
      </w:pPr>
      <w:r>
        <w:rPr>
          <w:b/>
          <w:bCs/>
        </w:rPr>
        <w:t xml:space="preserve">Volunteer this, and volunteer it first.</w:t>
      </w:r>
      <w:r>
        <w:t xml:space="preserve"> </w:t>
      </w:r>
      <w:r>
        <w:t xml:space="preserve">These figures replaced an earlier set because the</w:t>
      </w:r>
      <w:r>
        <w:t xml:space="preserve"> </w:t>
      </w:r>
      <w:r>
        <w:t xml:space="preserve">conformal analysis had not deduplicated on the feature vector, which the training code does. The</w:t>
      </w:r>
      <w:r>
        <w:t xml:space="preserve"> </w:t>
      </w:r>
      <w:r>
        <w:t xml:space="preserve">featuriser is stereo-blind, so stereoisomers and salt forms are byte-identical to the model, and the</w:t>
      </w:r>
      <w:r>
        <w:t xml:space="preserve"> </w:t>
      </w:r>
      <w:r>
        <w:t xml:space="preserve">earlier split scored it partly on memorised rows: BBB was reported on a fifth of 7,807 raw rows where</w:t>
      </w:r>
      <w:r>
        <w:t xml:space="preserve"> </w:t>
      </w:r>
      <w:r>
        <w:t xml:space="preserve">the model is fitted on the 3,901 that survive deduplication, a figure Chapter 3 states. Correcting it</w:t>
      </w:r>
      <w:r>
        <w:t xml:space="preserve"> </w:t>
      </w:r>
      <w:r>
        <w:t xml:space="preserve">made the guarantee look worse, not better. Coverage is now at or above target on</w:t>
      </w:r>
      <w:r>
        <w:t xml:space="preserve"> </w:t>
      </w:r>
      <w:r>
        <w:rPr>
          <w:b/>
          <w:bCs/>
        </w:rPr>
        <w:t xml:space="preserve">four of eight</w:t>
      </w:r>
      <w:r>
        <w:t xml:space="preserve">,</w:t>
      </w:r>
      <w:r>
        <w:t xml:space="preserve"> </w:t>
      </w:r>
      <w:r>
        <w:t xml:space="preserve">not six, and the lowest is GSK-3β at 0.876. Say this before you are asked: the duplicates that were</w:t>
      </w:r>
      <w:r>
        <w:t xml:space="preserve"> </w:t>
      </w:r>
      <w:r>
        <w:t xml:space="preserve">removed were the easiest possible test rows.</w:t>
      </w:r>
    </w:p>
    <w:p>
      <w:pPr>
        <w:pStyle w:val="BodyText"/>
      </w:pPr>
      <w:r>
        <w:rPr>
          <w:b/>
          <w:bCs/>
        </w:rPr>
        <w:t xml:space="preserve">Know the set-size algebra, because it is a trap.</w:t>
      </w:r>
      <w:r>
        <w:t xml:space="preserve"> </w:t>
      </w:r>
      <w:r>
        <w:t xml:space="preserve">On two classes the mean is</w:t>
      </w:r>
      <w:r>
        <w:t xml:space="preserve"> </w:t>
      </w:r>
      <w:r>
        <w:t xml:space="preserve">1 + P(ambiguous) - P(empty), so an excess over 1.0 is ambiguity</w:t>
      </w:r>
      <w:r>
        <w:t xml:space="preserve"> </w:t>
      </w:r>
      <w:r>
        <w:rPr>
          <w:b/>
          <w:bCs/>
        </w:rPr>
        <w:t xml:space="preserve">minus</w:t>
      </w:r>
      <w:r>
        <w:t xml:space="preserve"> </w:t>
      </w:r>
      <w:r>
        <w:t xml:space="preserve">emptiness. An earlier draft</w:t>
      </w:r>
      <w:r>
        <w:t xml:space="preserve"> </w:t>
      </w:r>
      <w:r>
        <w:t xml:space="preserve">read it as</w:t>
      </w:r>
      <w:r>
        <w:t xml:space="preserve"> </w:t>
      </w:r>
      <w:r>
        <w:t xml:space="preserve">“ambiguous or empty”</w:t>
      </w:r>
      <w:r>
        <w:t xml:space="preserve">, which has the sign wrong on one term. BACE1’s mean of</w:t>
      </w:r>
      <w:r>
        <w:t xml:space="preserve"> </w:t>
      </w:r>
      <w:r>
        <w:rPr>
          <w:b/>
          <w:bCs/>
        </w:rPr>
        <w:t xml:space="preserve">0.956</w:t>
      </w:r>
      <w:r>
        <w:t xml:space="preserve"> </w:t>
      </w:r>
      <w:r>
        <w:t xml:space="preserve">is</w:t>
      </w:r>
      <w:r>
        <w:t xml:space="preserve"> </w:t>
      </w:r>
      <w:r>
        <w:t xml:space="preserve">below one, which is only possible when sets are empty: it returns nothing at all for 4.4 per cent of</w:t>
      </w:r>
      <w:r>
        <w:t xml:space="preserve"> </w:t>
      </w:r>
      <w:r>
        <w:t xml:space="preserve">compounds. An empty set is the predictor declining to name a class at 90 per cent confidence, which</w:t>
      </w:r>
      <w:r>
        <w:t xml:space="preserve"> </w:t>
      </w:r>
      <w:r>
        <w:t xml:space="preserve">is the behaviour the method exists to produce, not a bug.</w:t>
      </w:r>
    </w:p>
    <w:p>
      <w:pPr>
        <w:pStyle w:val="BodyText"/>
      </w:pPr>
      <w:r>
        <w:rPr>
          <w:b/>
          <w:bCs/>
        </w:rPr>
        <w:t xml:space="preserve">The number worth quoting is BBB’s.</w:t>
      </w:r>
      <w:r>
        <w:t xml:space="preserve"> </w:t>
      </w:r>
      <w:r>
        <w:t xml:space="preserve">It is ambiguous on 21.5 per cent of compounds on a random</w:t>
      </w:r>
      <w:r>
        <w:t xml:space="preserve"> </w:t>
      </w:r>
      <w:r>
        <w:t xml:space="preserve">split and</w:t>
      </w:r>
      <w:r>
        <w:t xml:space="preserve"> </w:t>
      </w:r>
      <w:r>
        <w:rPr>
          <w:b/>
          <w:bCs/>
        </w:rPr>
        <w:t xml:space="preserve">27.0 per cent under a scaffold split</w:t>
      </w:r>
      <w:r>
        <w:t xml:space="preserve"> </w:t>
      </w:r>
      <w:r>
        <w:t xml:space="preserve">(</w:t>
      </w:r>
      <w:r>
        <w:rPr>
          <w:rStyle w:val="VerbatimChar"/>
        </w:rPr>
        <w:t xml:space="preserve">rf_conformal_scaffold.csv</w:t>
      </w:r>
      <w:r>
        <w:t xml:space="preserve">), the regime the</w:t>
      </w:r>
      <w:r>
        <w:t xml:space="preserve"> </w:t>
      </w:r>
      <w:r>
        <w:t xml:space="preserve">server actually runs in. The barrier model multiplies every disease score, so that ambiguity</w:t>
      </w:r>
      <w:r>
        <w:t xml:space="preserve"> </w:t>
      </w:r>
      <w:r>
        <w:t xml:space="preserve">propagates into all sixteen conditions.</w:t>
      </w:r>
    </w:p>
    <w:p>
      <w:pPr>
        <w:pStyle w:val="BodyText"/>
      </w:pPr>
      <w:r>
        <w:rPr>
          <w:b/>
          <w:bCs/>
        </w:rPr>
        <w:t xml:space="preserve">And the bigger gap:</w:t>
      </w:r>
      <w:r>
        <w:t xml:space="preserve"> </w:t>
      </w:r>
      <w:r>
        <w:t xml:space="preserve">conformal covers the 8 core classifiers only. None of the 47 deployed binder</w:t>
      </w:r>
      <w:r>
        <w:t xml:space="preserve"> </w:t>
      </w:r>
      <w:r>
        <w:t xml:space="preserve">endpoints has a conformal statement of any kind.</w:t>
      </w:r>
    </w:p>
    <w:bookmarkEnd w:id="21"/>
    <w:bookmarkStart w:id="22" w:name="the-applicability-domain"/>
    <w:p>
      <w:pPr>
        <w:pStyle w:val="Heading2"/>
      </w:pPr>
      <w:r>
        <w:t xml:space="preserve">12. The applicability domain</w:t>
      </w:r>
    </w:p>
    <w:p>
      <w:pPr>
        <w:pStyle w:val="FirstParagraph"/>
      </w:pPr>
      <w:r>
        <w:t xml:space="preserve">The domain measure is the</w:t>
      </w:r>
      <w:r>
        <w:t xml:space="preserve"> </w:t>
      </w:r>
      <w:r>
        <w:rPr>
          <w:b/>
          <w:bCs/>
        </w:rPr>
        <w:t xml:space="preserve">maximum Tanimoto similarity</w:t>
      </w:r>
      <w:r>
        <w:t xml:space="preserve"> </w:t>
      </w:r>
      <w:r>
        <w:t xml:space="preserve">from the query to any compound in a</w:t>
      </w:r>
      <w:r>
        <w:t xml:space="preserve"> </w:t>
      </w:r>
      <w:r>
        <w:t xml:space="preserve">reference library, on 2,048-bit Morgan fingerprints. Bands:</w:t>
      </w:r>
      <w:r>
        <w:t xml:space="preserve"> </w:t>
      </w:r>
      <w:r>
        <w:rPr>
          <w:b/>
          <w:bCs/>
        </w:rPr>
        <w:t xml:space="preserve">T ≥ 0.50</w:t>
      </w:r>
      <w:r>
        <w:t xml:space="preserve"> </w:t>
      </w:r>
      <w:r>
        <w:t xml:space="preserve">in domain,</w:t>
      </w:r>
      <w:r>
        <w:t xml:space="preserve"> </w:t>
      </w:r>
      <w:r>
        <w:rPr>
          <w:b/>
          <w:bCs/>
        </w:rPr>
        <w:t xml:space="preserve">0.30 to 0.50</w:t>
      </w:r>
      <w:r>
        <w:t xml:space="preserve"> </w:t>
      </w:r>
      <w:r>
        <w:t xml:space="preserve">near domain,</w:t>
      </w:r>
      <w:r>
        <w:t xml:space="preserve"> </w:t>
      </w:r>
      <w:r>
        <w:rPr>
          <w:b/>
          <w:bCs/>
        </w:rPr>
        <w:t xml:space="preserve">below 0.30</w:t>
      </w:r>
      <w:r>
        <w:t xml:space="preserve"> </w:t>
      </w:r>
      <w:r>
        <w:t xml:space="preserve">out of domain. In the evaluation code the flag</w:t>
      </w:r>
      <w:r>
        <w:t xml:space="preserve"> </w:t>
      </w:r>
      <w:r>
        <w:rPr>
          <w:rStyle w:val="VerbatimChar"/>
        </w:rPr>
        <w:t xml:space="preserve">in_domain</w:t>
      </w:r>
      <w:r>
        <w:t xml:space="preserve"> </w:t>
      </w:r>
      <w:r>
        <w:t xml:space="preserve">means</w:t>
      </w:r>
      <w:r>
        <w:t xml:space="preserve"> </w:t>
      </w:r>
      <w:r>
        <w:t xml:space="preserve">T ≥ 0.30, which is the interface’s</w:t>
      </w:r>
      <w:r>
        <w:t xml:space="preserve"> </w:t>
      </w:r>
      <w:r>
        <w:t xml:space="preserve">“in or near”</w:t>
      </w:r>
      <w:r>
        <w:t xml:space="preserve">, and the thesis lists that naming mismatch as an</w:t>
      </w:r>
      <w:r>
        <w:t xml:space="preserve"> </w:t>
      </w:r>
      <w:r>
        <w:t xml:space="preserve">outstanding item.</w:t>
      </w:r>
    </w:p>
    <w:p>
      <w:pPr>
        <w:pStyle w:val="BodyText"/>
      </w:pPr>
      <w:r>
        <w:rPr>
          <w:b/>
          <w:bCs/>
        </w:rPr>
        <w:t xml:space="preserve">Be ready for the uncomfortable finding.</w:t>
      </w:r>
      <w:r>
        <w:t xml:space="preserve"> </w:t>
      </w:r>
      <w:r>
        <w:t xml:space="preserve">The flag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predict discrimination. On an</w:t>
      </w:r>
      <w:r>
        <w:t xml:space="preserve"> </w:t>
      </w:r>
      <w:r>
        <w:t xml:space="preserve">external set the out-of-domain AUROC of 0.8059 was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than the in-domain 0.7597, on 48</w:t>
      </w:r>
      <w:r>
        <w:t xml:space="preserve"> </w:t>
      </w:r>
      <w:r>
        <w:t xml:space="preserve">compounds and with no interval. What the distance does predict, strongly, is</w:t>
      </w:r>
      <w:r>
        <w:t xml:space="preserve"> </w:t>
      </w:r>
      <w:r>
        <w:rPr>
          <w:b/>
          <w:bCs/>
        </w:rPr>
        <w:t xml:space="preserve">recall</w:t>
      </w:r>
      <w:r>
        <w:t xml:space="preserve"> </w:t>
      </w:r>
      <w:r>
        <w:t xml:space="preserve">— section</w:t>
      </w:r>
      <w:r>
        <w:t xml:space="preserve"> </w:t>
      </w:r>
      <w:r>
        <w:t xml:space="preserve">Part II. So the honest description is that the applicability band is a statement about how likely the</w:t>
      </w:r>
      <w:r>
        <w:t xml:space="preserve"> </w:t>
      </w:r>
      <w:r>
        <w:t xml:space="preserve">panel is to miss a real activity, not about whether a returned answer can be trusted.</w:t>
      </w:r>
    </w:p>
    <w:bookmarkEnd w:id="22"/>
    <w:bookmarkStart w:id="23" w:name="Xd9accc37464d5de2e112dbfa74ea8efed15d20e"/>
    <w:p>
      <w:pPr>
        <w:pStyle w:val="Heading2"/>
      </w:pPr>
      <w:r>
        <w:t xml:space="preserve">13. Cross-validation, and why the split is the experiment</w:t>
      </w:r>
    </w:p>
    <w:p>
      <w:pPr>
        <w:pStyle w:val="FirstParagraph"/>
      </w:pP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 </w:t>
      </w:r>
      <w:r>
        <w:t xml:space="preserve">partitions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parts, trains on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tests on the</w:t>
      </w:r>
      <w:r>
        <w:t xml:space="preserve"> </w:t>
      </w:r>
      <w:r>
        <w:t xml:space="preserve">held-out one,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 Here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Random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-fold is the wrong experiment for chemistry.</w:t>
      </w:r>
      <w:r>
        <w:t xml:space="preserve"> </w:t>
      </w:r>
      <w:r>
        <w:t xml:space="preserve">The published record is</w:t>
      </w:r>
      <w:r>
        <w:t xml:space="preserve"> </w:t>
      </w:r>
      <w:r>
        <w:rPr>
          <w:i/>
          <w:iCs/>
        </w:rPr>
        <w:t xml:space="preserve">series</w:t>
      </w:r>
      <w:r>
        <w:t xml:space="preserve">: a paper</w:t>
      </w:r>
      <w:r>
        <w:t xml:space="preserve"> </w:t>
      </w:r>
      <w:r>
        <w:t xml:space="preserve">reports twenty analogues of one scaffold. Split at random and close analogues of every test compound</w:t>
      </w:r>
      <w:r>
        <w:t xml:space="preserve"> </w:t>
      </w:r>
      <w:r>
        <w:t xml:space="preserve">sit in the training set, so the model is asked to interpolate within a series it has already seen.</w:t>
      </w:r>
    </w:p>
    <w:p>
      <w:pPr>
        <w:pStyle w:val="BodyText"/>
      </w:pPr>
      <w:r>
        <w:rPr>
          <w:b/>
          <w:bCs/>
        </w:rPr>
        <w:t xml:space="preserve">Bemis-Murcko scaffold grouping</w:t>
      </w:r>
      <w:r>
        <w:t xml:space="preserve"> </w:t>
      </w:r>
      <w:r>
        <w:t xml:space="preserve">is the fix. Strip a molecule to its ring systems plus the linkers</w:t>
      </w:r>
      <w:r>
        <w:t xml:space="preserve"> </w:t>
      </w:r>
      <w:r>
        <w:t xml:space="preserve">joining them, discarding all side chains: that is its scaffold. Group compounds by scaffold and keep</w:t>
      </w:r>
      <w:r>
        <w:t xml:space="preserve"> </w:t>
      </w:r>
      <w:r>
        <w:t xml:space="preserve">every group whole within a fold. A test compound is then guaranteed to have no training compound</w:t>
      </w:r>
      <w:r>
        <w:t xml:space="preserve"> </w:t>
      </w:r>
      <w:r>
        <w:t xml:space="preserve">sharing its scaffold.</w:t>
      </w:r>
    </w:p>
    <w:p>
      <w:pPr>
        <w:pStyle w:val="BodyText"/>
      </w:pPr>
      <w:r>
        <w:rPr>
          <w:b/>
          <w:bCs/>
        </w:rPr>
        <w:t xml:space="preserve">The numbers.</w:t>
      </w:r>
      <w:r>
        <w:t xml:space="preserve"> </w:t>
      </w:r>
      <w:r>
        <w:t xml:space="preserve">Random 10-fold gives a mean AUROC of</w:t>
      </w:r>
      <w:r>
        <w:t xml:space="preserve"> </w:t>
      </w:r>
      <w:r>
        <w:rPr>
          <w:b/>
          <w:bCs/>
        </w:rPr>
        <w:t xml:space="preserve">0.9575</w:t>
      </w:r>
      <w:r>
        <w:t xml:space="preserve"> </w:t>
      </w:r>
      <w:r>
        <w:t xml:space="preserve">across the eight core classifiers,</w:t>
      </w:r>
      <w:r>
        <w:t xml:space="preserve"> </w:t>
      </w:r>
      <w:r>
        <w:t xml:space="preserve">from 0.8990 to 0.9764. Scaffold-grouped gives</w:t>
      </w:r>
      <w:r>
        <w:t xml:space="preserve"> </w:t>
      </w:r>
      <w:r>
        <w:rPr>
          <w:b/>
          <w:bCs/>
        </w:rPr>
        <w:t xml:space="preserve">0.9252</w:t>
      </w:r>
      <w:r>
        <w:t xml:space="preserve">, from</w:t>
      </w:r>
      <w:r>
        <w:t xml:space="preserve"> </w:t>
      </w:r>
      <w:r>
        <w:rPr>
          <w:b/>
          <w:bCs/>
        </w:rPr>
        <w:t xml:space="preserve">0.8777 at BBB to 0.9648 at BACE1</w:t>
      </w:r>
      <w:r>
        <w:t xml:space="preserve">.</w:t>
      </w:r>
      <w:r>
        <w:t xml:space="preserve"> </w:t>
      </w:r>
      <w:r>
        <w:t xml:space="preserve">The gap of about 0.032 is the honest cost of asking the harder question, and the scaffold figure is</w:t>
      </w:r>
      <w:r>
        <w:t xml:space="preserve"> </w:t>
      </w:r>
      <w:r>
        <w:t xml:space="preserve">the one to quote.</w:t>
      </w:r>
    </w:p>
    <w:p>
      <w:pPr>
        <w:pStyle w:val="BodyText"/>
      </w:pPr>
      <w:r>
        <w:rPr>
          <w:b/>
          <w:bCs/>
        </w:rPr>
        <w:t xml:space="preserve">And neither is obtainable without the labels.</w:t>
      </w:r>
      <w:r>
        <w:t xml:space="preserve"> </w:t>
      </w:r>
      <w:r>
        <w:t xml:space="preserve">With labels permuted, the same pipeline on the same</w:t>
      </w:r>
      <w:r>
        <w:t xml:space="preserve"> </w:t>
      </w:r>
      <w:r>
        <w:t xml:space="preserve">folds returns</w:t>
      </w:r>
      <w:r>
        <w:t xml:space="preserve"> </w:t>
      </w:r>
      <w:r>
        <w:rPr>
          <w:b/>
          <w:bCs/>
        </w:rPr>
        <w:t xml:space="preserve">0.4959</w:t>
      </w:r>
      <w:r>
        <w:t xml:space="preserve"> </w:t>
      </w:r>
      <w:r>
        <w:t xml:space="preserve">random and</w:t>
      </w:r>
      <w:r>
        <w:t xml:space="preserve"> </w:t>
      </w:r>
      <w:r>
        <w:rPr>
          <w:b/>
          <w:bCs/>
        </w:rPr>
        <w:t xml:space="preserve">0.5026</w:t>
      </w:r>
      <w:r>
        <w:t xml:space="preserve"> </w:t>
      </w:r>
      <w:r>
        <w:t xml:space="preserve">scaffold, every one of the sixteen values within</w:t>
      </w:r>
      <w:r>
        <w:t xml:space="preserve"> </w:t>
      </w:r>
      <w:r>
        <w:rPr>
          <w:b/>
          <w:bCs/>
        </w:rPr>
        <w:t xml:space="preserve">0.0200</w:t>
      </w:r>
      <w:r>
        <w:t xml:space="preserve"> </w:t>
      </w:r>
      <w:r>
        <w:t xml:space="preserve">of chance. That is the evidence that the cross-validated numbers are not an artefact of</w:t>
      </w:r>
      <w:r>
        <w:t xml:space="preserve"> </w:t>
      </w:r>
      <w:r>
        <w:t xml:space="preserve">leakage, and it also shows that scaffold grouping alone confers nothing.</w:t>
      </w:r>
    </w:p>
    <w:bookmarkEnd w:id="23"/>
    <w:bookmarkStart w:id="24" w:name="Xa2cc70a884c1e9f5b70f76eee3c25afcc423df8"/>
    <w:p>
      <w:pPr>
        <w:pStyle w:val="Heading2"/>
      </w:pPr>
      <w:r>
        <w:t xml:space="preserve">14. The statistical tests used, and why each one</w:t>
      </w:r>
    </w:p>
    <w:p>
      <w:pPr>
        <w:pStyle w:val="FirstParagraph"/>
      </w:pPr>
      <w:r>
        <w:rPr>
          <w:b/>
          <w:bCs/>
        </w:rPr>
        <w:t xml:space="preserve">Wilson score interval</w:t>
      </w:r>
      <w:r>
        <w:t xml:space="preserve">, for a proportion. Preferred to the normal approximation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±</m:t>
        </m:r>
        <m:r>
          <m:t>z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 which misbehaves near 0 and 1 and can produce bounds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Wilson inverts the score test instead: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 </m:t>
              </m:r>
              <m:r>
                <m:rPr>
                  <m:sty m:val="p"/>
                </m:rPr>
                <m:t>±</m:t>
              </m:r>
              <m:r>
                <m:t> </m:t>
              </m:r>
              <m:r>
                <m:t>z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rad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Worked, and it reproduces the thesis exactly.</w:t>
      </w:r>
      <w:r>
        <w:t xml:space="preserve"> </w:t>
      </w:r>
      <w:r>
        <w:t xml:space="preserve">Specificity is 925 of 1,000, so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0.925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1.96</m:t>
        </m:r>
      </m:oMath>
      <w:r>
        <w:t xml:space="preserve">. Denominator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3.8416</m:t>
        </m:r>
        <m:r>
          <m:rPr>
            <m:sty m:val="p"/>
          </m:rPr>
          <m:t>/</m:t>
        </m:r>
        <m:r>
          <m:t>1000</m:t>
        </m:r>
        <m:r>
          <m:rPr>
            <m:sty m:val="p"/>
          </m:rPr>
          <m:t>=</m:t>
        </m:r>
        <m:r>
          <m:t>1.00384</m:t>
        </m:r>
      </m:oMath>
      <w:r>
        <w:t xml:space="preserve">. Centre</w:t>
      </w:r>
      <w:r>
        <w:t xml:space="preserve"> </w:t>
      </w:r>
      <m:oMath>
        <m:r>
          <m:rPr>
            <m:sty m:val="p"/>
          </m:rPr>
          <m:t>(</m:t>
        </m:r>
        <m:r>
          <m:t>0.925</m:t>
        </m:r>
        <m:r>
          <m:rPr>
            <m:sty m:val="p"/>
          </m:rPr>
          <m:t>+</m:t>
        </m:r>
        <m:r>
          <m:t>0.00192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1.00384</m:t>
        </m:r>
        <m:r>
          <m:rPr>
            <m:sty m:val="p"/>
          </m:rPr>
          <m:t>=</m:t>
        </m:r>
        <m:r>
          <m:t>0.92337</m:t>
        </m:r>
      </m:oMath>
      <w:r>
        <w:t xml:space="preserve">. Margin</w:t>
      </w:r>
      <w:r>
        <w:t xml:space="preserve"> </w:t>
      </w:r>
      <m:oMath>
        <m:r>
          <m:t>1.96</m:t>
        </m:r>
        <m:rad>
          <m:radPr>
            <m:degHide m:val="on"/>
          </m:radPr>
          <m:deg/>
          <m:e>
            <m:r>
              <m:t>0.925</m:t>
            </m:r>
            <m:r>
              <m:rPr>
                <m:sty m:val="p"/>
              </m:rPr>
              <m:t>×</m:t>
            </m:r>
            <m:r>
              <m:t>0.075</m:t>
            </m:r>
            <m:r>
              <m:rPr>
                <m:sty m:val="p"/>
              </m:rPr>
              <m:t>/</m:t>
            </m:r>
            <m:r>
              <m:t>1000</m:t>
            </m:r>
            <m:r>
              <m:rPr>
                <m:sty m:val="p"/>
              </m:rPr>
              <m:t>+</m:t>
            </m:r>
            <m:r>
              <m:t>3.8416</m:t>
            </m:r>
            <m:r>
              <m:rPr>
                <m:sty m:val="p"/>
              </m:rPr>
              <m:t>/</m:t>
            </m:r>
            <m:r>
              <m:t>4</m:t>
            </m:r>
            <m:r>
              <m:t> </m:t>
            </m:r>
            <m:r>
              <m:t>000</m:t>
            </m:r>
            <m:r>
              <m:t> </m:t>
            </m:r>
            <m:r>
              <m:t>000</m:t>
            </m:r>
          </m:e>
        </m:rad>
        <m:r>
          <m:rPr>
            <m:sty m:val="p"/>
          </m:rPr>
          <m:t>/</m:t>
        </m:r>
        <m:r>
          <m:t>1.00384</m:t>
        </m:r>
        <m:r>
          <m:rPr>
            <m:sty m:val="p"/>
          </m:rPr>
          <m:t>=</m:t>
        </m:r>
        <m:r>
          <m:t>0.01637</m:t>
        </m:r>
      </m:oMath>
      <w:r>
        <w:t xml:space="preserve">. Interval</w:t>
      </w:r>
      <w:r>
        <w:t xml:space="preserve"> </w:t>
      </w:r>
      <m:oMath>
        <m:r>
          <m:t>0.9070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0.9397</m:t>
        </m:r>
      </m:oMath>
      <w:r>
        <w:t xml:space="preserve">, which is what</w:t>
      </w:r>
      <w:r>
        <w:t xml:space="preserve"> </w:t>
      </w:r>
      <w:r>
        <w:rPr>
          <w:rStyle w:val="VerbatimChar"/>
        </w:rPr>
        <w:t xml:space="preserve">noncns_specificity_summary.csv</w:t>
      </w:r>
      <w:r>
        <w:t xml:space="preserve"> </w:t>
      </w:r>
      <w:r>
        <w:t xml:space="preserve">records.</w:t>
      </w:r>
    </w:p>
    <w:p>
      <w:pPr>
        <w:pStyle w:val="BodyText"/>
      </w:pPr>
      <w:r>
        <w:rPr>
          <w:b/>
          <w:bCs/>
        </w:rPr>
        <w:t xml:space="preserve">Paired bootstrap</w:t>
      </w:r>
      <w:r>
        <w:t xml:space="preserve">, for the difference between two models on the same compounds. Resample</w:t>
      </w:r>
      <w:r>
        <w:t xml:space="preserve"> </w:t>
      </w:r>
      <w:r>
        <w:rPr>
          <w:i/>
          <w:iCs/>
        </w:rPr>
        <w:t xml:space="preserve">compounds</w:t>
      </w:r>
      <w:r>
        <w:t xml:space="preserve"> </w:t>
      </w:r>
      <w:r>
        <w:t xml:space="preserve">with replacement, recompute both models’ AUROC on each draw, and take the distribution of</w:t>
      </w:r>
      <w:r>
        <w:t xml:space="preserve"> </w:t>
      </w:r>
      <w:r>
        <w:t xml:space="preserve">the difference. Resampling compounds rather than predictions preserves the pairing, which is what</w:t>
      </w:r>
      <w:r>
        <w:t xml:space="preserve"> </w:t>
      </w:r>
      <w:r>
        <w:t xml:space="preserve">makes the comparison powerful. Used in H10 with 2,000 resamples.</w:t>
      </w:r>
    </w:p>
    <w:p>
      <w:pPr>
        <w:pStyle w:val="BodyText"/>
      </w:pPr>
      <w:r>
        <w:rPr>
          <w:b/>
          <w:bCs/>
        </w:rPr>
        <w:t xml:space="preserve">Wilcoxon signed-rank test</w:t>
      </w:r>
      <w:r>
        <w:t xml:space="preserve">, for comparing two model families across endpoints. Non-parametric,</w:t>
      </w:r>
      <w:r>
        <w:t xml:space="preserve"> </w:t>
      </w:r>
      <w:r>
        <w:t xml:space="preserve">paired by endpoint. Used instead of a</w:t>
      </w:r>
      <w:r>
        <w:t xml:space="preserve"> </w:t>
      </w:r>
      <m:oMath>
        <m:r>
          <m:t>t</m:t>
        </m:r>
      </m:oMath>
      <w:r>
        <w:t xml:space="preserve">-test because 8 or 13 endpoints is too few to trust</w:t>
      </w:r>
      <w:r>
        <w:t xml:space="preserve"> </w:t>
      </w:r>
      <w:r>
        <w:t xml:space="preserve">normality, and instead of DeLong because DeLong compares two AUROCs on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dataset whereas the</w:t>
      </w:r>
      <w:r>
        <w:t xml:space="preserve"> </w:t>
      </w:r>
      <w:r>
        <w:t xml:space="preserve">question here is whether one family beats another</w:t>
      </w:r>
      <w:r>
        <w:t xml:space="preserve"> </w:t>
      </w:r>
      <w:r>
        <w:rPr>
          <w:i/>
          <w:iCs/>
        </w:rPr>
        <w:t xml:space="preserve">across</w:t>
      </w:r>
      <w:r>
        <w:t xml:space="preserve"> </w:t>
      </w:r>
      <w:r>
        <w:t xml:space="preserve">endpoints. The thesis is explicit that</w:t>
      </w:r>
      <w:r>
        <w:t xml:space="preserve"> </w:t>
      </w:r>
      <w:r>
        <w:t xml:space="preserve">this is not a DeLong test.</w:t>
      </w:r>
    </w:p>
    <w:p>
      <w:pPr>
        <w:pStyle w:val="BodyText"/>
      </w:pPr>
      <w:r>
        <w:rPr>
          <w:b/>
          <w:bCs/>
        </w:rPr>
        <w:t xml:space="preserve">Permutation test</w:t>
      </w:r>
      <w:r>
        <w:t xml:space="preserve">, for a null with no closed form. Shuffle the labels, recompute the statistic,</w:t>
      </w:r>
      <w:r>
        <w:t xml:space="preserve"> </w:t>
      </w:r>
      <w:r>
        <w:t xml:space="preserve">repeat; the</w:t>
      </w:r>
      <w:r>
        <w:t xml:space="preserve"> </w:t>
      </w:r>
      <m:oMath>
        <m:r>
          <m:t>p</m:t>
        </m:r>
      </m:oMath>
      <w:r>
        <w:t xml:space="preserve">-value is the fraction of shuffles at least as extreme as the observed value. Used for</w:t>
      </w:r>
      <w:r>
        <w:t xml:space="preserve"> </w:t>
      </w:r>
      <w:r>
        <w:t xml:space="preserve">the leakage null and for H1’s target-to-disease map, where the smallest attainable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 200</w:t>
      </w:r>
      <w:r>
        <w:t xml:space="preserve"> </w:t>
      </w:r>
      <w:r>
        <w:t xml:space="preserve">permutations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201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Fisher’s exact test</w:t>
      </w:r>
      <w:r>
        <w:t xml:space="preserve">, 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small counts, where the chi-squared</w:t>
      </w:r>
      <w:r>
        <w:t xml:space="preserve"> </w:t>
      </w:r>
      <w:r>
        <w:t xml:space="preserve">approximation fails. Relevant to H4, where the distant stratum has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false positive in 61</w:t>
      </w:r>
      <w:r>
        <w:t xml:space="preserve"> </w:t>
      </w:r>
      <w:r>
        <w:t xml:space="preserve">compounds.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part-ii.-the-numbers-to-know-cold"/>
    <w:p>
      <w:pPr>
        <w:pStyle w:val="Heading1"/>
      </w:pPr>
      <w:r>
        <w:t xml:space="preserve">Part II. The numbers to know cold</w:t>
      </w:r>
    </w:p>
    <w:bookmarkStart w:id="26" w:name="the-headline-set"/>
    <w:p>
      <w:pPr>
        <w:pStyle w:val="Heading2"/>
      </w:pPr>
      <w:r>
        <w:t xml:space="preserve">The headline 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Spread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AUROC, random 10-fold</w:t>
            </w:r>
          </w:p>
        </w:tc>
        <w:tc>
          <w:tcPr/>
          <w:p>
            <w:pPr>
              <w:pStyle w:val="Compact"/>
            </w:pPr>
            <w:r>
              <w:t xml:space="preserve">0.9575</w:t>
            </w:r>
          </w:p>
        </w:tc>
        <w:tc>
          <w:tcPr/>
          <w:p>
            <w:pPr>
              <w:pStyle w:val="Compact"/>
            </w:pPr>
            <w:r>
              <w:t xml:space="preserve">0.8990 (BBB) to 0.9764 (BACE1)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rf_cv_summary.csv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AUROC, scaffold-grouped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0.9252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0.8777</w:t>
            </w:r>
            <w:r>
              <w:t xml:space="preserve"> </w:t>
            </w:r>
            <w:r>
              <w:t xml:space="preserve">(BBB) to</w:t>
            </w:r>
            <w:r>
              <w:t xml:space="preserve"> </w:t>
            </w:r>
            <w:r>
              <w:rPr>
                <w:b/>
                <w:bCs/>
              </w:rPr>
              <w:t xml:space="preserve">0.9648</w:t>
            </w:r>
            <w:r>
              <w:t xml:space="preserve"> </w:t>
            </w:r>
            <w:r>
              <w:t xml:space="preserve">(BACE1)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rf_cv_summary.csv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Permuted-label null</w:t>
            </w:r>
          </w:p>
        </w:tc>
        <w:tc>
          <w:tcPr/>
          <w:p>
            <w:pPr>
              <w:pStyle w:val="Compact"/>
            </w:pPr>
            <w:r>
              <w:t xml:space="preserve">0.4959 random, 0.5026 scaffold</w:t>
            </w:r>
          </w:p>
        </w:tc>
        <w:tc>
          <w:tcPr/>
          <w:p>
            <w:pPr>
              <w:pStyle w:val="Compact"/>
            </w:pPr>
            <w:r>
              <w:t xml:space="preserve">all 16 within 0.0200 of chance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permutation_null.csv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 sensitivity, held-out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0.7638</w:t>
            </w:r>
          </w:p>
        </w:tc>
        <w:tc>
          <w:tcPr/>
          <w:p>
            <w:pPr>
              <w:pStyle w:val="Compact"/>
            </w:pPr>
            <w:r>
              <w:t xml:space="preserve">median 0.835, 0.303 (GABA-A) to 0.993 (CGRP)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binder_modes.json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FPR, deployed</w:t>
            </w:r>
          </w:p>
        </w:tc>
        <w:tc>
          <w:tcPr/>
          <w:p>
            <w:pPr>
              <w:pStyle w:val="Compact"/>
            </w:pPr>
            <w:r>
              <w:t xml:space="preserve">mean 0.0234</w:t>
            </w:r>
          </w:p>
        </w:tc>
        <w:tc>
          <w:tcPr/>
          <w:p>
            <w:pPr>
              <w:pStyle w:val="Compact"/>
            </w:pPr>
            <w:r>
              <w:t xml:space="preserve">maximum 0.0500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binder_modes.json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ECE after isotonic</w:t>
            </w:r>
          </w:p>
        </w:tc>
        <w:tc>
          <w:tcPr/>
          <w:p>
            <w:pPr>
              <w:pStyle w:val="Compact"/>
            </w:pPr>
            <w:r>
              <w:t xml:space="preserve">0.0147</w:t>
            </w:r>
          </w:p>
        </w:tc>
        <w:tc>
          <w:tcPr/>
          <w:p>
            <w:pPr>
              <w:pStyle w:val="Compact"/>
            </w:pPr>
            <w:r>
              <w:t xml:space="preserve">0.0049 (BACE1) to 0.0412 (BBB)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calibration.csv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Binder ECE, the 38 measured</w:t>
            </w:r>
          </w:p>
        </w:tc>
        <w:tc>
          <w:tcPr/>
          <w:p>
            <w:pPr>
              <w:pStyle w:val="Compact"/>
            </w:pPr>
            <w:r>
              <w:t xml:space="preserve">0.0762</w:t>
            </w:r>
          </w:p>
        </w:tc>
        <w:tc>
          <w:tcPr/>
          <w:p>
            <w:pPr>
              <w:pStyle w:val="Compact"/>
            </w:pPr>
            <w:r>
              <w:t xml:space="preserve">median 0.0675, 0.0300 to 0.1780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integrity_calibration_per_target.csv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Conformal coverage, target 0.90</w:t>
            </w:r>
          </w:p>
        </w:tc>
        <w:tc>
          <w:tcPr/>
          <w:p>
            <w:pPr>
              <w:pStyle w:val="Compact"/>
            </w:pPr>
            <w:r>
              <w:t xml:space="preserve">0.876 to 0.933</w:t>
            </w:r>
          </w:p>
        </w:tc>
        <w:tc>
          <w:tcPr/>
          <w:p>
            <w:pPr>
              <w:pStyle w:val="Compact"/>
            </w:pPr>
            <w:r>
              <w:t xml:space="preserve">set size 0.956 to 1.215, deduplicated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rf_conformal.csv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Specificity, non-CNS library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0.925</w:t>
            </w:r>
          </w:p>
        </w:tc>
        <w:tc>
          <w:tcPr/>
          <w:p>
            <w:pPr>
              <w:pStyle w:val="Compact"/>
            </w:pPr>
            <w:r>
              <w:t xml:space="preserve">0.907 to 0.9397, an upper bound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noncns_specificity_summary.csv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barrier AUROC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0.7666</w:t>
            </w:r>
            <w:r>
              <w:t xml:space="preserve"> </w:t>
            </w:r>
            <w:r>
              <w:t xml:space="preserve">on 227 unseen drugs</w:t>
            </w:r>
          </w:p>
        </w:tc>
        <w:tc>
          <w:tcPr/>
          <w:p>
            <w:pPr>
              <w:pStyle w:val="Compact"/>
            </w:pPr>
            <w:r>
              <w:t xml:space="preserve">0.7645 on all 306, so filtering changes nothing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external_bbb_validation.csv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 size</w:t>
            </w:r>
          </w:p>
        </w:tc>
        <w:tc>
          <w:tcPr/>
          <w:p>
            <w:pPr>
              <w:pStyle w:val="Compact"/>
            </w:pPr>
            <w:r>
              <w:t xml:space="preserve">47 deployed of 52</w:t>
            </w:r>
          </w:p>
        </w:tc>
        <w:tc>
          <w:tcPr/>
          <w:p>
            <w:pPr>
              <w:pStyle w:val="Compact"/>
            </w:pPr>
            <w:r>
              <w:t xml:space="preserve">6 fail the reliability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binder_modes.json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</w:t>
            </w:r>
          </w:p>
        </w:tc>
        <w:tc>
          <w:tcPr/>
          <w:p>
            <w:pPr>
              <w:pStyle w:val="Compact"/>
            </w:pPr>
            <w:r>
              <w:t xml:space="preserve">16 conditions, 51 targets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GRAPH_FINGERPRINT.json</w:t>
            </w:r>
          </w:p>
        </w:tc>
      </w:tr>
    </w:tbl>
    <w:bookmarkEnd w:id="26"/>
    <w:bookmarkStart w:id="27" w:name="Xf908d0933e38e9ddd2aa5d009bc95db3de39e26"/>
    <w:p>
      <w:pPr>
        <w:pStyle w:val="Heading2"/>
      </w:pPr>
      <w:r>
        <w:t xml:space="preserve">Recall against chemical distance — the most important table in the thesis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Nearest-training Tanimoto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 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 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Cross-provenance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 0.40, different chemotype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0.0494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0.40 to 0.55, related series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0.55 to 0.70, same series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0.70 and above, close analogue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0.9011</w:t>
            </w:r>
          </w:p>
        </w:tc>
      </w:tr>
    </w:tbl>
    <w:p>
      <w:pPr>
        <w:pStyle w:val="BodyText"/>
      </w:pPr>
      <w:r>
        <w:t xml:space="preserve">Three test sets built by unrelated rules — held out by date, at random, by curator — trace one curve.</w:t>
      </w:r>
      <w:r>
        <w:t xml:space="preserve"> </w:t>
      </w:r>
      <w:r>
        <w:rPr>
          <w:b/>
          <w:bCs/>
        </w:rPr>
        <w:t xml:space="preserve">Recall is a function of chemical distance, not of how the set was held out.</w:t>
      </w:r>
      <w:r>
        <w:t xml:space="preserve"> </w:t>
      </w:r>
      <w:r>
        <w:t xml:space="preserve">On a genuinely novel</w:t>
      </w:r>
      <w:r>
        <w:t xml:space="preserve"> </w:t>
      </w:r>
      <w:r>
        <w:t xml:space="preserve">chemotype the tool finds roughly one true activity in six, and across a database boundary roughly one</w:t>
      </w:r>
      <w:r>
        <w:t xml:space="preserve"> </w:t>
      </w:r>
      <w:r>
        <w:t xml:space="preserve">in twenty.</w:t>
      </w:r>
    </w:p>
    <w:bookmarkEnd w:id="27"/>
    <w:bookmarkStart w:id="28" w:name="the-falsification-suite"/>
    <w:p>
      <w:pPr>
        <w:pStyle w:val="Heading2"/>
      </w:pPr>
      <w:r>
        <w:t xml:space="preserve">The falsification suite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 the disease score is informative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 the curated edge weights add value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 BBB gating discriminates between diseases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  <w:r>
              <w:t xml:space="preserve">, by 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 specificity transfers to novel chemistry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 read-across beats a frequency baseline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H6 the disease scores match clinical indications</w:t>
            </w:r>
          </w:p>
        </w:tc>
        <w:tc>
          <w:tcPr/>
          <w:p>
            <w:pPr>
              <w:pStyle w:val="Compact"/>
            </w:pPr>
            <w:r>
              <w:t xml:space="preserve">WEAKENED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H7 some panel targets cannot rank at 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H8 engaged targets are independent observations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H9 the disease layer discriminates between compounds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H10 the barrier model earns its place over a rule</w:t>
            </w:r>
          </w:p>
        </w:tc>
        <w:tc>
          <w:tcPr/>
          <w:p>
            <w:pPr>
              <w:pStyle w:val="Compact"/>
            </w:pPr>
            <w:r>
              <w:t xml:space="preserve">WEAKENED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Four refuted, two weakened.</w:t>
      </w:r>
      <w:r>
        <w:t xml:space="preserve"> </w:t>
      </w:r>
      <w:r>
        <w:t xml:space="preserve">What the refutations cost: the graph is now described as structure</w:t>
      </w:r>
      <w:r>
        <w:t xml:space="preserve"> </w:t>
      </w:r>
      <w:r>
        <w:t xml:space="preserve">rather than tuned parameters; the gate is described as a filter rather than a discriminator; the</w:t>
      </w:r>
      <w:r>
        <w:t xml:space="preserve"> </w:t>
      </w:r>
      <w:r>
        <w:t xml:space="preserve">interface groups homologous targets and quotes their correlation; and four endpoints were withdrawn</w:t>
      </w:r>
      <w:r>
        <w:t xml:space="preserve"> </w:t>
      </w:r>
      <w:r>
        <w:t xml:space="preserve">for firing on glucose and urea.</w:t>
      </w:r>
    </w:p>
    <w:bookmarkEnd w:id="28"/>
    <w:bookmarkStart w:id="29" w:name="X94cd06ad86b894eef7d6ec010c1a2a7f76a441e"/>
    <w:p>
      <w:pPr>
        <w:pStyle w:val="Heading2"/>
      </w:pPr>
      <w:r>
        <w:t xml:space="preserve">H10, the newest and the one most likely to be probed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AUROC on 227 unseen approved drugs</w:t>
            </w:r>
          </w:p>
        </w:tc>
        <w:tc>
          <w:tcPr/>
          <w:p>
            <w:pPr>
              <w:pStyle w:val="Compact"/>
            </w:pPr>
            <w:r>
              <w:t xml:space="preserve">Margin against the deployed forest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Deployed forest, 1,036 features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0.7666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forest, 12 descriptors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0.7431</w:t>
            </w:r>
          </w:p>
        </w:tc>
        <w:tc>
          <w:tcPr/>
          <w:p>
            <w:pPr>
              <w:pStyle w:val="Compact"/>
            </w:pPr>
            <w:r>
              <w:t xml:space="preserve">−0.0235, interval −0.0580 to</w:t>
            </w:r>
            <w:r>
              <w:t xml:space="preserve"> </w:t>
            </w:r>
            <w:r>
              <w:rPr>
                <w:b/>
                <w:bCs/>
              </w:rPr>
              <w:t xml:space="preserve">+0.0154</w:t>
            </w:r>
            <w:r>
              <w:t xml:space="preserve">, p = 0.107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regression, 12 descriptors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0.7400</w:t>
            </w:r>
          </w:p>
        </w:tc>
        <w:tc>
          <w:tcPr/>
          <w:p>
            <w:pPr>
              <w:pStyle w:val="Compact"/>
            </w:pPr>
            <w:r>
              <w:t xml:space="preserve">−0.0266, interval −0.0709 to +0.0160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TPSA alone, no fitting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0.7304</w:t>
            </w:r>
          </w:p>
        </w:tc>
        <w:tc>
          <w:tcPr/>
          <w:p>
            <w:pPr>
              <w:pStyle w:val="Compact"/>
            </w:pPr>
            <w:r>
              <w:t xml:space="preserve">−0.0361, interval −0.0890 to +0.0108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CNS rule: TPSA ≤ 90 and MW ≤ 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0.6247</w:t>
            </w:r>
          </w:p>
        </w:tc>
        <w:tc>
          <w:tcPr/>
          <w:p>
            <w:pPr>
              <w:pStyle w:val="Compact"/>
            </w:pPr>
            <w:r>
              <w:t xml:space="preserve">−0.1418, interval −0.2067 to −0.0836</w:t>
            </w:r>
          </w:p>
        </w:tc>
      </w:tr>
    </w:tbl>
    <w:p>
      <w:pPr>
        <w:pStyle w:val="BodyText"/>
      </w:pPr>
      <w:r>
        <w:t xml:space="preserve">On the scaffold hold-out the fingerprint’s advantage over twelve descriptors is 0.0338 with an</w:t>
      </w:r>
      <w:r>
        <w:t xml:space="preserve"> </w:t>
      </w:r>
      <w:r>
        <w:t xml:space="preserve">interval that excludes zero.</w:t>
      </w:r>
      <w:r>
        <w:t xml:space="preserve"> </w:t>
      </w:r>
      <w:r>
        <w:rPr>
          <w:b/>
          <w:bCs/>
        </w:rPr>
        <w:t xml:space="preserve">On unseen approved drugs the interval crosses zero</w:t>
      </w:r>
      <w:r>
        <w:t xml:space="preserve">, so the verdict is</w:t>
      </w:r>
      <w:r>
        <w:t xml:space="preserve"> </w:t>
      </w:r>
      <w:r>
        <w:t xml:space="preserve">WEAKENED. The fingerprint’s contribution to barrier prediction is demonstrated on the training</w:t>
      </w:r>
      <w:r>
        <w:t xml:space="preserve"> </w:t>
      </w:r>
      <w:r>
        <w:t xml:space="preserve">distribution and not demonstrated on chemistry the model has never seen.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Xd27811804c298f287f4569dbf4ed726f941d740"/>
    <w:p>
      <w:pPr>
        <w:pStyle w:val="Heading1"/>
      </w:pPr>
      <w:r>
        <w:t xml:space="preserve">Part III. Questions, and how to answer them</w:t>
      </w:r>
    </w:p>
    <w:bookmarkStart w:id="31" w:name="on-the-data"/>
    <w:p>
      <w:pPr>
        <w:pStyle w:val="Heading2"/>
      </w:pPr>
      <w:r>
        <w:t xml:space="preserve">On the data</w:t>
      </w:r>
    </w:p>
    <w:p>
      <w:pPr>
        <w:pStyle w:val="FirstParagraph"/>
      </w:pPr>
      <w:r>
        <w:rPr>
          <w:b/>
          <w:bCs/>
        </w:rPr>
        <w:t xml:space="preserve">What is your training data and where does it come from?</w:t>
      </w:r>
      <w:r>
        <w:t xml:space="preserve"> </w:t>
      </w:r>
      <w:r>
        <w:t xml:space="preserve">Public bioactivity records, principally</w:t>
      </w:r>
      <w:r>
        <w:t xml:space="preserve"> </w:t>
      </w:r>
      <w:r>
        <w:t xml:space="preserve">ChEMBL, assembled per endpoint, with the negative class partly recovered from censored bounds. Across</w:t>
      </w:r>
      <w:r>
        <w:t xml:space="preserve"> </w:t>
      </w:r>
      <w:r>
        <w:t xml:space="preserve">the endpoint tables there are</w:t>
      </w:r>
      <w:r>
        <w:t xml:space="preserve"> </w:t>
      </w:r>
      <w:r>
        <w:rPr>
          <w:b/>
          <w:bCs/>
        </w:rPr>
        <w:t xml:space="preserve">170,619 distinct SMILES</w:t>
      </w:r>
      <w:r>
        <w:t xml:space="preserve">, of which 170,617 parse to a desalted</w:t>
      </w:r>
      <w:r>
        <w:t xml:space="preserve"> </w:t>
      </w:r>
      <w:r>
        <w:t xml:space="preserve">parent.</w:t>
      </w:r>
    </w:p>
    <w:p>
      <w:pPr>
        <w:pStyle w:val="BodyText"/>
      </w:pPr>
      <w:r>
        <w:rPr>
          <w:b/>
          <w:bCs/>
        </w:rPr>
        <w:t xml:space="preserve">What is a censored bound and why does it matter?</w:t>
      </w:r>
      <w:r>
        <w:t xml:space="preserve"> </w:t>
      </w:r>
      <w:r>
        <w:t xml:space="preserve">A compound tested and found inactive is often</w:t>
      </w:r>
      <w:r>
        <w:t xml:space="preserve"> </w:t>
      </w:r>
      <w:r>
        <w:t xml:space="preserve">deposited not as a number but as an inequality,</w:t>
      </w:r>
      <w:r>
        <w:t xml:space="preserve"> </w:t>
      </w:r>
      <w:r>
        <w:t xml:space="preserve">“IC50 &gt; 10 μM”</w:t>
      </w:r>
      <w:r>
        <w:t xml:space="preserve">. A conventional query for a numeric</w:t>
      </w:r>
      <w:r>
        <w:t xml:space="preserve"> </w:t>
      </w:r>
      <w:r>
        <w:t xml:space="preserve">potency discards exactly those rows, which throws away the measured negatives and leaves the model</w:t>
      </w:r>
      <w:r>
        <w:t xml:space="preserve"> </w:t>
      </w:r>
      <w:r>
        <w:t xml:space="preserve">learning from actives against decoys. The rule used here: a bound settles a label when the whole</w:t>
      </w:r>
      <w:r>
        <w:t xml:space="preserve"> </w:t>
      </w:r>
      <w:r>
        <w:t xml:space="preserve">interval falls one side of the activity cut, and is discarded when it spans both.</w:t>
      </w:r>
    </w:p>
    <w:p>
      <w:pPr>
        <w:pStyle w:val="BodyText"/>
      </w:pPr>
      <w:r>
        <w:rPr>
          <w:b/>
          <w:bCs/>
        </w:rPr>
        <w:t xml:space="preserve">How do you deduplicate?</w:t>
      </w:r>
      <w:r>
        <w:t xml:space="preserve"> </w:t>
      </w:r>
      <w:r>
        <w:t xml:space="preserve">By InChIKey of the desalted parent. Be ready to say why that is not</w:t>
      </w:r>
      <w:r>
        <w:t xml:space="preserve"> </w:t>
      </w:r>
      <w:r>
        <w:t xml:space="preserve">sufficient for the external test: the InChIKey separates stereoisomers and salt forms, and the</w:t>
      </w:r>
      <w:r>
        <w:t xml:space="preserve"> </w:t>
      </w:r>
      <w:r>
        <w:t xml:space="preserve">featuriser does not, so a compound can pass an InChIKey exclusion and still be one the model has</w:t>
      </w:r>
      <w:r>
        <w:t xml:space="preserve"> </w:t>
      </w:r>
      <w:r>
        <w:t xml:space="preserve">memorised. That is why the external barrier result is reported twice, 0.7645 on all 306 and 0.7666 on</w:t>
      </w:r>
      <w:r>
        <w:t xml:space="preserve"> </w:t>
      </w:r>
      <w:r>
        <w:t xml:space="preserve">the 227 that are also distinguishable in feature space. Say that the two agree: filtering for novelty</w:t>
      </w:r>
      <w:r>
        <w:t xml:space="preserve"> </w:t>
      </w:r>
      <w:r>
        <w:t xml:space="preserve">does not improve the figure, which is what a genuine external result should look like. If asked</w:t>
      </w:r>
      <w:r>
        <w:t xml:space="preserve"> </w:t>
      </w:r>
      <w:r>
        <w:t xml:space="preserve">whether the filter was chosen to flatter the number, the answer is that it demonstrably does not.</w:t>
      </w:r>
    </w:p>
    <w:p>
      <w:pPr>
        <w:pStyle w:val="BodyText"/>
      </w:pPr>
      <w:r>
        <w:t xml:space="preserve">The 79 compounds the featuriser cannot tell apart from a training row are reported separately, at</w:t>
      </w:r>
      <w:r>
        <w:t xml:space="preserve"> </w:t>
      </w:r>
      <w:r>
        <w:t xml:space="preserve">AUROC</w:t>
      </w:r>
      <w:r>
        <w:t xml:space="preserve"> </w:t>
      </w:r>
      <w:r>
        <w:rPr>
          <w:b/>
          <w:bCs/>
        </w:rPr>
        <w:t xml:space="preserve">0.7490</w:t>
      </w:r>
      <w:r>
        <w:t xml:space="preserve">. Be ready for the follow-up, because the comparison is not one-directional: their</w:t>
      </w:r>
      <w:r>
        <w:t xml:space="preserve"> </w:t>
      </w:r>
      <w:r>
        <w:t xml:space="preserve">AUROC is slightly lower than the novel set’s, while their accuracy is higher, 0.7595 against 0.7225.</w:t>
      </w:r>
      <w:r>
        <w:t xml:space="preserve"> </w:t>
      </w:r>
      <w:r>
        <w:t xml:space="preserve">The honest reading is that the model places them on the right side of the threshold more often, which</w:t>
      </w:r>
      <w:r>
        <w:t xml:space="preserve"> </w:t>
      </w:r>
      <w:r>
        <w:t xml:space="preserve">is what memorisation buys, without ranking them better overall. Note also that this count was</w:t>
      </w:r>
      <w:r>
        <w:t xml:space="preserve"> </w:t>
      </w:r>
      <w:r>
        <w:rPr>
          <w:b/>
          <w:bCs/>
        </w:rPr>
        <w:t xml:space="preserve">65</w:t>
      </w:r>
      <w:r>
        <w:t xml:space="preserve"> </w:t>
      </w:r>
      <w:r>
        <w:t xml:space="preserve">until the audit: the flag was computed on the raw SMILES, before the featuriser began neutralising,</w:t>
      </w:r>
      <w:r>
        <w:t xml:space="preserve"> </w:t>
      </w:r>
      <w:r>
        <w:t xml:space="preserve">so it described a representation the deployed model no longer uses. Fourteen compounds moved from</w:t>
      </w:r>
      <w:r>
        <w:t xml:space="preserve"> </w:t>
      </w:r>
      <w:r>
        <w:t xml:space="preserve">“novel”</w:t>
      </w:r>
      <w:r>
        <w:t xml:space="preserve"> </w:t>
      </w:r>
      <w:r>
        <w:t xml:space="preserve">to</w:t>
      </w:r>
      <w:r>
        <w:t xml:space="preserve"> </w:t>
      </w:r>
      <w:r>
        <w:t xml:space="preserve">“memorised”</w:t>
      </w:r>
      <w:r>
        <w:t xml:space="preserve"> </w:t>
      </w:r>
      <w:r>
        <w:t xml:space="preserve">when it was recomputed correctly.</w:t>
      </w:r>
    </w:p>
    <w:bookmarkEnd w:id="31"/>
    <w:bookmarkStart w:id="32" w:name="on-the-models"/>
    <w:p>
      <w:pPr>
        <w:pStyle w:val="Heading2"/>
      </w:pPr>
      <w:r>
        <w:t xml:space="preserve">On the models</w:t>
      </w:r>
    </w:p>
    <w:p>
      <w:pPr>
        <w:pStyle w:val="FirstParagraph"/>
      </w:pPr>
      <w:r>
        <w:rPr>
          <w:b/>
          <w:bCs/>
        </w:rPr>
        <w:t xml:space="preserve">Why 300 trees?</w:t>
      </w:r>
      <w:r>
        <w:t xml:space="preserve"> </w:t>
      </w:r>
      <w:r>
        <w:t xml:space="preserve">See section 3: the variance term that shrinks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negligible well before</w:t>
      </w:r>
      <w:r>
        <w:t xml:space="preserve"> </w:t>
      </w:r>
      <w:r>
        <w:t xml:space="preserve">300, and the correlation term does not shrink at all.</w:t>
      </w:r>
    </w:p>
    <w:p>
      <w:pPr>
        <w:pStyle w:val="BodyText"/>
      </w:pPr>
      <w:r>
        <w:rPr>
          <w:b/>
          <w:bCs/>
        </w:rPr>
        <w:t xml:space="preserve">Did you tune hyper-parameters, and on what?</w:t>
      </w:r>
      <w:r>
        <w:t xml:space="preserve"> </w:t>
      </w:r>
      <w:r>
        <w:t xml:space="preserve">Be honest and precise about what was and was not</w:t>
      </w:r>
      <w:r>
        <w:t xml:space="preserve"> </w:t>
      </w:r>
      <w:r>
        <w:t xml:space="preserve">tuned, and note that the thresholds — the parameters that most affect what a user sees — are set on</w:t>
      </w:r>
      <w:r>
        <w:t xml:space="preserve"> </w:t>
      </w:r>
      <w:r>
        <w:t xml:space="preserve">a pool disjoint from the one that measures them.</w:t>
      </w:r>
    </w:p>
    <w:p>
      <w:pPr>
        <w:pStyle w:val="BodyText"/>
      </w:pPr>
      <w:r>
        <w:rPr>
          <w:b/>
          <w:bCs/>
        </w:rPr>
        <w:t xml:space="preserve">Why is the barrier model your weakest core classifier?</w:t>
      </w:r>
      <w:r>
        <w:t xml:space="preserve"> </w:t>
      </w:r>
      <w:r>
        <w:t xml:space="preserve">Scaffold AUROC 0.8777 against a panel mean</w:t>
      </w:r>
      <w:r>
        <w:t xml:space="preserve"> </w:t>
      </w:r>
      <w:r>
        <w:t xml:space="preserve">of 0.9252, worst calibration of the eight at 0.0412, and H10 shows its advantage over twelve</w:t>
      </w:r>
      <w:r>
        <w:t xml:space="preserve"> </w:t>
      </w:r>
      <w:r>
        <w:t xml:space="preserve">descriptors is not established on unseen drugs. Three independent measurements agreeing that the</w:t>
      </w:r>
      <w:r>
        <w:t xml:space="preserve"> </w:t>
      </w:r>
      <w:r>
        <w:t xml:space="preserve">barrier model is the weakest link, and it sits at the gate. Say this before the examiner assembles it.</w:t>
      </w:r>
    </w:p>
    <w:bookmarkEnd w:id="32"/>
    <w:bookmarkStart w:id="33" w:name="on-validation"/>
    <w:p>
      <w:pPr>
        <w:pStyle w:val="Heading2"/>
      </w:pPr>
      <w:r>
        <w:t xml:space="preserve">On validation</w:t>
      </w:r>
    </w:p>
    <w:p>
      <w:pPr>
        <w:pStyle w:val="FirstParagraph"/>
      </w:pPr>
      <w:r>
        <w:rPr>
          <w:b/>
          <w:bCs/>
        </w:rPr>
        <w:t xml:space="preserve">What is your external validation?</w:t>
      </w:r>
      <w:r>
        <w:t xml:space="preserve"> </w:t>
      </w:r>
      <w:r>
        <w:t xml:space="preserve">One genuine external set: FDA-curated approved drugs absent</w:t>
      </w:r>
      <w:r>
        <w:t xml:space="preserve"> </w:t>
      </w:r>
      <w:r>
        <w:t xml:space="preserve">from the barrier model’s training database, AUROC 0.7666 on the 227 that are also novel in feature</w:t>
      </w:r>
      <w:r>
        <w:t xml:space="preserve"> </w:t>
      </w:r>
      <w:r>
        <w:t xml:space="preserve">space, against 0.7645 on all 306. For the target panel no external set of this kind exists, and the reason is structural: for</w:t>
      </w:r>
      <w:r>
        <w:t xml:space="preserve"> </w:t>
      </w:r>
      <w:r>
        <w:t xml:space="preserve">most of those proteins the public record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training set.</w:t>
      </w:r>
    </w:p>
    <w:p>
      <w:pPr>
        <w:pStyle w:val="BodyText"/>
      </w:pPr>
      <w:r>
        <w:rPr>
          <w:b/>
          <w:bCs/>
        </w:rPr>
        <w:t xml:space="preserve">Your prospective simulation shows decay. Is the model getting worse over time?</w:t>
      </w:r>
      <w:r>
        <w:t xml:space="preserve"> </w:t>
      </w:r>
      <w:r>
        <w:t xml:space="preserve">No, and this is the</w:t>
      </w:r>
      <w:r>
        <w:t xml:space="preserve"> </w:t>
      </w:r>
      <w:r>
        <w:t xml:space="preserve">best answer in the thesis. In aggregate the time split looks like decay: sensitivity 0.4886 against</w:t>
      </w:r>
      <w:r>
        <w:t xml:space="preserve"> </w:t>
      </w:r>
      <w:r>
        <w:t xml:space="preserve">0.8715 for a size-matched random control. But</w:t>
      </w:r>
      <w:r>
        <w:t xml:space="preserve"> </w:t>
      </w:r>
      <w:r>
        <w:rPr>
          <w:b/>
          <w:bCs/>
        </w:rPr>
        <w:t xml:space="preserve">83.3 per cent of the random split’s test compounds</w:t>
      </w:r>
      <w:r>
        <w:rPr>
          <w:b/>
          <w:bCs/>
        </w:rPr>
        <w:t xml:space="preserve"> </w:t>
      </w:r>
      <w:r>
        <w:rPr>
          <w:b/>
          <w:bCs/>
        </w:rPr>
        <w:t xml:space="preserve">are close analogues of its own training set, against 16.3 per cent for the time split</w:t>
      </w:r>
      <w:r>
        <w:t xml:space="preserve">. The two</w:t>
      </w:r>
      <w:r>
        <w:t xml:space="preserve"> </w:t>
      </w:r>
      <w:r>
        <w:t xml:space="preserve">splits are not testing comparable populations. Read band by band, the AUROC gap of 0.128 falls to at</w:t>
      </w:r>
      <w:r>
        <w:t xml:space="preserve"> </w:t>
      </w:r>
      <w:r>
        <w:t xml:space="preserve">most 0.081 and the recall gap of 0.383 falls to at most 0.072.</w:t>
      </w:r>
    </w:p>
    <w:p>
      <w:pPr>
        <w:pStyle w:val="BodyText"/>
      </w:pPr>
      <w:r>
        <w:rPr>
          <w:b/>
          <w:bCs/>
        </w:rPr>
        <w:t xml:space="preserve">Then is it entirely a composition effect?</w:t>
      </w:r>
      <w:r>
        <w:t xml:space="preserve"> </w:t>
      </w:r>
      <w:r>
        <w:t xml:space="preserve">No, and do not claim it is. Chemical distance accounts</w:t>
      </w:r>
      <w:r>
        <w:t xml:space="preserve"> </w:t>
      </w:r>
      <w:r>
        <w:t xml:space="preserve">for most of the effect and not demonstrably all of it, because the random split yields only 212 novel</w:t>
      </w:r>
      <w:r>
        <w:t xml:space="preserve"> </w:t>
      </w:r>
      <w:r>
        <w:t xml:space="preserve">actives across 39 endpoints, too few for a paired within-band comparison.</w:t>
      </w:r>
    </w:p>
    <w:bookmarkEnd w:id="33"/>
    <w:bookmarkStart w:id="34" w:name="on-the-disease-layer"/>
    <w:p>
      <w:pPr>
        <w:pStyle w:val="Heading2"/>
      </w:pPr>
      <w:r>
        <w:t xml:space="preserve">On the disease layer</w:t>
      </w:r>
    </w:p>
    <w:p>
      <w:pPr>
        <w:pStyle w:val="FirstParagraph"/>
      </w:pPr>
      <w:r>
        <w:rPr>
          <w:b/>
          <w:bCs/>
        </w:rPr>
        <w:t xml:space="preserve">What does the disease score actually establish?</w:t>
      </w:r>
      <w:r>
        <w:t xml:space="preserve"> </w:t>
      </w:r>
      <w:r>
        <w:t xml:space="preserve">Three hypotheses, three different questions.</w:t>
      </w:r>
      <w:r>
        <w:t xml:space="preserve"> </w:t>
      </w:r>
      <w:r>
        <w:t xml:space="preserve">Against the project’s own target-to-disease map, top-3 accuracy 0.7901 on 7,008 held-out compounds</w:t>
      </w:r>
      <w:r>
        <w:t xml:space="preserve"> </w:t>
      </w:r>
      <w:r>
        <w:t xml:space="preserve">against a permutation null of 0.1625. Against real clinical indications, 0.3519 on 162 drugs never</w:t>
      </w:r>
      <w:r>
        <w:t xml:space="preserve"> </w:t>
      </w:r>
      <w:r>
        <w:t xml:space="preserve">seen in training, which beats a permutation null of 0.1449 decisively and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beat a frequency</w:t>
      </w:r>
      <w:r>
        <w:t xml:space="preserve"> </w:t>
      </w:r>
      <w:r>
        <w:t xml:space="preserve">null of 0.6543. Against metrics a constant answer cannot pass, mean per-indication AUROC 0.6158,</w:t>
      </w:r>
      <w:r>
        <w:t xml:space="preserve"> </w:t>
      </w:r>
      <w:r>
        <w:t xml:space="preserve">beating chance on 7 of 9 indications, from 0.7981 for depression down to 0.4898 for epilepsy.</w:t>
      </w:r>
    </w:p>
    <w:p>
      <w:pPr>
        <w:pStyle w:val="BodyText"/>
      </w:pPr>
      <w:r>
        <w:rPr>
          <w:b/>
          <w:bCs/>
        </w:rPr>
        <w:t xml:space="preserve">So does it predict indication?</w:t>
      </w:r>
      <w:r>
        <w:t xml:space="preserve"> </w:t>
      </w:r>
      <w:r>
        <w:t xml:space="preserve">No. It ranks mechanisms and the conditions those mechanisms touch.</w:t>
      </w:r>
      <w:r>
        <w:t xml:space="preserve"> </w:t>
      </w:r>
      <w:r>
        <w:t xml:space="preserve">Two of the nine conditions are not being predicted at all.</w:t>
      </w:r>
    </w:p>
    <w:bookmarkEnd w:id="34"/>
    <w:bookmarkStart w:id="35" w:name="on-limitations"/>
    <w:p>
      <w:pPr>
        <w:pStyle w:val="Heading2"/>
      </w:pPr>
      <w:r>
        <w:t xml:space="preserve">On limitations</w:t>
      </w:r>
    </w:p>
    <w:p>
      <w:pPr>
        <w:pStyle w:val="FirstParagraph"/>
      </w:pPr>
      <w:r>
        <w:rPr>
          <w:b/>
          <w:bCs/>
        </w:rPr>
        <w:t xml:space="preserve">What is the single biggest limitation?</w:t>
      </w:r>
      <w:r>
        <w:t xml:space="preserve"> </w:t>
      </w:r>
      <w:r>
        <w:t xml:space="preserve">Accuracy is a function of chemical distance. Recall runs</w:t>
      </w:r>
      <w:r>
        <w:t xml:space="preserve"> </w:t>
      </w:r>
      <w:r>
        <w:t xml:space="preserve">from 0.1612 to 0.8616 across four novelty bands, a factor of five, and on a genuinely novel chemotype</w:t>
      </w:r>
      <w:r>
        <w:t xml:space="preserve"> </w:t>
      </w:r>
      <w:r>
        <w:t xml:space="preserve">the tool finds about one true activity in six. No analysis in the thesis improves that; what the</w:t>
      </w:r>
      <w:r>
        <w:t xml:space="preserve"> </w:t>
      </w:r>
      <w:r>
        <w:t xml:space="preserve">thesis establishes is that the figure is</w:t>
      </w:r>
      <w:r>
        <w:t xml:space="preserve"> </w:t>
      </w:r>
      <w:r>
        <w:rPr>
          <w:i/>
          <w:iCs/>
        </w:rPr>
        <w:t xml:space="preserve">predictable</w:t>
      </w:r>
      <w:r>
        <w:t xml:space="preserve">, which is why the server reports it beside a</w:t>
      </w:r>
      <w:r>
        <w:t xml:space="preserve"> </w:t>
      </w:r>
      <w:r>
        <w:t xml:space="preserve">negative result.</w:t>
      </w:r>
    </w:p>
    <w:p>
      <w:pPr>
        <w:pStyle w:val="BodyText"/>
      </w:pPr>
      <w:r>
        <w:rPr>
          <w:b/>
          <w:bCs/>
        </w:rPr>
        <w:t xml:space="preserve">What would you do next?</w:t>
      </w:r>
      <w:r>
        <w:t xml:space="preserve"> </w:t>
      </w:r>
      <w:r>
        <w:t xml:space="preserve">In order of what it would change: extend the uncertainty stack to the</w:t>
      </w:r>
      <w:r>
        <w:t xml:space="preserve"> </w:t>
      </w:r>
      <w:r>
        <w:t xml:space="preserve">target panel, which needs no new data and is the largest single improvement available; report</w:t>
      </w:r>
      <w:r>
        <w:t xml:space="preserve"> </w:t>
      </w:r>
      <w:r>
        <w:t xml:space="preserve">intervals on every per-endpoint figure; and run a genuinely prospective test, since every result in</w:t>
      </w:r>
      <w:r>
        <w:t xml:space="preserve"> </w:t>
      </w:r>
      <w:r>
        <w:t xml:space="preserve">the thesis is retrospective — the dates are real, but no compound was predicted before it was</w:t>
      </w:r>
      <w:r>
        <w:t xml:space="preserve"> </w:t>
      </w:r>
      <w:r>
        <w:t xml:space="preserve">measured.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part-iv.-the-five-that-could-sink-it"/>
    <w:p>
      <w:pPr>
        <w:pStyle w:val="Heading1"/>
      </w:pPr>
      <w:r>
        <w:t xml:space="preserve">Part IV. The five that could sink it</w:t>
      </w:r>
    </w:p>
    <w:p>
      <w:pPr>
        <w:pStyle w:val="FirstParagraph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</w:rPr>
        <w:t xml:space="preserve">“Your model is stereo-blind. How can you predict CNS activity without stereochemistry?”</w:t>
      </w:r>
    </w:p>
    <w:p>
      <w:pPr>
        <w:pStyle w:val="BodyText"/>
      </w:pPr>
      <w:r>
        <w:t xml:space="preserve">Concede it immediately and completely: two enantiomers give byte-identical vectors and identical</w:t>
      </w:r>
      <w:r>
        <w:t xml:space="preserve"> </w:t>
      </w:r>
      <w:r>
        <w:t xml:space="preserve">predictions, and for targets where activity is enantiospecific this is a real limitation, not a</w:t>
      </w:r>
      <w:r>
        <w:t xml:space="preserve"> </w:t>
      </w:r>
      <w:r>
        <w:t xml:space="preserve">simplification. Then give the consequence the thesis actually measured: it is why the external</w:t>
      </w:r>
      <w:r>
        <w:t xml:space="preserve"> </w:t>
      </w:r>
      <w:r>
        <w:t xml:space="preserve">barrier set is reported twice, and the 79 compounds that are feature-identical to a training compound</w:t>
      </w:r>
      <w:r>
        <w:t xml:space="preserve"> </w:t>
      </w:r>
      <w:r>
        <w:t xml:space="preserve">are excluded from the strict figure of 0.7666. The system is a triage tool over</w:t>
      </w:r>
      <w:r>
        <w:t xml:space="preserve"> </w:t>
      </w:r>
      <w:r>
        <w:t xml:space="preserve">mechanisms, not a stereochemical potency predictor.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b/>
          <w:bCs/>
        </w:rPr>
        <w:t xml:space="preserve">“Your headline AUROC of 0.9252 is a mean over eight models. Is that not cherry-picking?”</w:t>
      </w:r>
    </w:p>
    <w:p>
      <w:pPr>
        <w:pStyle w:val="BodyText"/>
      </w:pPr>
      <w:r>
        <w:t xml:space="preserve">The mean is reported with its range every time, 0.8777 to 0.9648, and the weakest member is named:</w:t>
      </w:r>
      <w:r>
        <w:t xml:space="preserve"> </w:t>
      </w:r>
      <w:r>
        <w:t xml:space="preserve">the barrier model. Go further and volunteer that the eight core classifiers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endpoints a</w:t>
      </w:r>
      <w:r>
        <w:t xml:space="preserve"> </w:t>
      </w:r>
      <w:r>
        <w:t xml:space="preserve">user most often queries — the 47 binder endpoints are — and those carry Platt scaling only, at a</w:t>
      </w:r>
      <w:r>
        <w:t xml:space="preserve"> </w:t>
      </w:r>
      <w:r>
        <w:t xml:space="preserve">calibration error five times the core figure, with no conformal statement at all. The thesis states</w:t>
      </w:r>
      <w:r>
        <w:t xml:space="preserve"> </w:t>
      </w:r>
      <w:r>
        <w:t xml:space="preserve">that the uncertainty machinery is most complete for the endpoints a user is least likely to query.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b/>
          <w:bCs/>
        </w:rPr>
        <w:t xml:space="preserve">“You claim 0.925 specificity. On what?”</w:t>
      </w:r>
    </w:p>
    <w:p>
      <w:pPr>
        <w:pStyle w:val="BodyText"/>
      </w:pPr>
      <w:r>
        <w:t xml:space="preserve">On 1,000 non-CNS compounds</w:t>
      </w:r>
      <w:r>
        <w:t xml:space="preserve"> </w:t>
      </w:r>
      <w:r>
        <w:rPr>
          <w:b/>
          <w:bCs/>
        </w:rPr>
        <w:t xml:space="preserve">presumed</w:t>
      </w:r>
      <w:r>
        <w:t xml:space="preserve"> </w:t>
      </w:r>
      <w:r>
        <w:t xml:space="preserve">inactive because nothing is recorded about them, not proven</w:t>
      </w:r>
      <w:r>
        <w:t xml:space="preserve"> </w:t>
      </w:r>
      <w:r>
        <w:t xml:space="preserve">inactive. It is an upper bound and the artefact labels it as one. They are also drawn from within the</w:t>
      </w:r>
      <w:r>
        <w:t xml:space="preserve"> </w:t>
      </w:r>
      <w:r>
        <w:t xml:space="preserve">applicability reference, so the figure does not bound behaviour on genuinely distant chemistry. H4</w:t>
      </w:r>
      <w:r>
        <w:t xml:space="preserve"> </w:t>
      </w:r>
      <w:r>
        <w:t xml:space="preserve">tested exactly that and is the suite’s weakest supported verdict: on 61 distant compounds the</w:t>
      </w:r>
      <w:r>
        <w:t xml:space="preserve"> </w:t>
      </w:r>
      <w:r>
        <w:t xml:space="preserve">false-positive rate is 0.0164, but that is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false positive, the 95 per cent interval runs</w:t>
      </w:r>
      <w:r>
        <w:t xml:space="preserve"> </w:t>
      </w:r>
      <w:r>
        <w:t xml:space="preserve">0.0029 to 0.0872 and contains the 0.0750 comparator. Specificity does not degrade with distance; that</w:t>
      </w:r>
      <w:r>
        <w:t xml:space="preserve"> </w:t>
      </w:r>
      <w:r>
        <w:t xml:space="preserve">it improves is not established.</w:t>
      </w:r>
    </w:p>
    <w:p>
      <w:pPr>
        <w:pStyle w:val="Body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b/>
          <w:bCs/>
        </w:rPr>
        <w:t xml:space="preserve">“Four of your ten hypotheses were refuted. Does your system work?”</w:t>
      </w:r>
    </w:p>
    <w:p>
      <w:pPr>
        <w:pStyle w:val="BodyText"/>
      </w:pPr>
      <w:r>
        <w:t xml:space="preserve">This is the question to be pleased to get. A refutation is the most valuable output a falsification</w:t>
      </w:r>
      <w:r>
        <w:t xml:space="preserve"> </w:t>
      </w:r>
      <w:r>
        <w:t xml:space="preserve">suite can produce, and each one cost the project something concrete: a claim about the knowledge</w:t>
      </w:r>
      <w:r>
        <w:t xml:space="preserve"> </w:t>
      </w:r>
      <w:r>
        <w:t xml:space="preserve">graph, a claim about the gate, an interface change, and four withdrawn endpoints that were firing on</w:t>
      </w:r>
      <w:r>
        <w:t xml:space="preserve"> </w:t>
      </w:r>
      <w:r>
        <w:t xml:space="preserve">glucose and urea. What survived testing is stated narrowly and holds: the component models rank</w:t>
      </w:r>
      <w:r>
        <w:t xml:space="preserve"> </w:t>
      </w:r>
      <w:r>
        <w:t xml:space="preserve">compounds well and not by leakage; recall is a measured function of chemical distance; the disease</w:t>
      </w:r>
      <w:r>
        <w:t xml:space="preserve"> </w:t>
      </w:r>
      <w:r>
        <w:t xml:space="preserve">layer carries real information about mechanism and does not predict indication. A suite in which</w:t>
      </w:r>
      <w:r>
        <w:t xml:space="preserve"> </w:t>
      </w:r>
      <w:r>
        <w:t xml:space="preserve">nothing is ever refuted is a suite of tests that cannot fail.</w:t>
      </w:r>
    </w:p>
    <w:p>
      <w:pPr>
        <w:pStyle w:val="BodyText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b/>
          <w:bCs/>
        </w:rPr>
        <w:t xml:space="preserve">“How do I know any of these numbers are real?”</w:t>
      </w:r>
    </w:p>
    <w:p>
      <w:pPr>
        <w:pStyle w:val="BodyText"/>
      </w:pPr>
      <w:r>
        <w:t xml:space="preserve">Every figure in the thesis is read from an artefact at build time,</w:t>
      </w:r>
      <w:r>
        <w:t xml:space="preserve"> </w:t>
      </w:r>
      <w:r>
        <w:rPr>
          <w:rStyle w:val="VerbatimChar"/>
        </w:rPr>
        <w:t xml:space="preserve">tools/check_freshness.py</w:t>
      </w:r>
      <w:r>
        <w:t xml:space="preserve"> </w:t>
      </w:r>
      <w:r>
        <w:t xml:space="preserve">fails</w:t>
      </w:r>
      <w:r>
        <w:t xml:space="preserve"> </w:t>
      </w:r>
      <w:r>
        <w:t xml:space="preserve">if any declared artefact is older than its inputs, and</w:t>
      </w:r>
      <w:r>
        <w:t xml:space="preserve"> </w:t>
      </w:r>
      <w:r>
        <w:rPr>
          <w:rStyle w:val="VerbatimChar"/>
        </w:rPr>
        <w:t xml:space="preserve">thesis/verify_chapter_numbers.py</w:t>
      </w:r>
      <w:r>
        <w:t xml:space="preserve"> </w:t>
      </w:r>
      <w:r>
        <w:t xml:space="preserve">recomputes</w:t>
      </w:r>
      <w:r>
        <w:t xml:space="preserve"> </w:t>
      </w:r>
      <w:r>
        <w:t xml:space="preserve">each pinned claim from its artefact and fails if the chapter states something the artefact does not</w:t>
      </w:r>
      <w:r>
        <w:t xml:space="preserve"> </w:t>
      </w:r>
      <w:r>
        <w:t xml:space="preserve">support. Then volunteer the counter-example, because it is in the thesis: the project’s own recurring</w:t>
      </w:r>
      <w:r>
        <w:t xml:space="preserve"> </w:t>
      </w:r>
      <w:r>
        <w:t xml:space="preserve">defect was numbers that lived in a generator rather than an artefact, and Chapter 10 lists six</w:t>
      </w:r>
      <w:r>
        <w:t xml:space="preserve"> </w:t>
      </w:r>
      <w:r>
        <w:t xml:space="preserve">instances, of which the label-permutation null and the natural-product coverage figures were given</w:t>
      </w:r>
      <w:r>
        <w:t xml:space="preserve"> </w:t>
      </w:r>
      <w:r>
        <w:t xml:space="preserve">artefacts during the writing.</w:t>
      </w:r>
    </w:p>
    <w:p>
      <w:r>
        <w:pict>
          <v:rect style="width:0;height:1.5pt" o:hralign="center" o:hrstd="t" o:hr="t"/>
        </w:pict>
      </w:r>
    </w:p>
    <w:bookmarkEnd w:id="37"/>
    <w:bookmarkStart w:id="39" w:name="part-v.-if-you-do-not-know"/>
    <w:p>
      <w:pPr>
        <w:pStyle w:val="Heading1"/>
      </w:pPr>
      <w:r>
        <w:t xml:space="preserve">Part V. If you do not know</w:t>
      </w:r>
    </w:p>
    <w:p>
      <w:pPr>
        <w:pStyle w:val="FirstParagraph"/>
      </w:pPr>
      <w:r>
        <w:t xml:space="preserve">Three sentences that are always better than bluffing.</w:t>
      </w:r>
    </w:p>
    <w:p>
      <w:pPr>
        <w:pStyle w:val="BodyText"/>
      </w:pPr>
      <w:r>
        <w:rPr>
          <w:i/>
          <w:iCs/>
        </w:rPr>
        <w:t xml:space="preserve">“I do not know that off the top of my head, but it is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&lt;artefact&gt;</w:t>
      </w:r>
      <w:r>
        <w:rPr>
          <w:i/>
          <w:iCs/>
        </w:rPr>
        <w:t xml:space="preserve"> </w:t>
      </w:r>
      <w:r>
        <w:rPr>
          <w:i/>
          <w:iCs/>
        </w:rPr>
        <w:t xml:space="preserve">and I can tell you the method:</w:t>
      </w:r>
      <w:r>
        <w:rPr>
          <w:i/>
          <w:iCs/>
        </w:rPr>
        <w:t xml:space="preserve"> </w:t>
      </w:r>
      <w:r>
        <w:rPr>
          <w:i/>
          <w:iCs/>
        </w:rPr>
        <w:t xml:space="preserve">…”</w:t>
      </w:r>
      <w:r>
        <w:t xml:space="preserve"> </w:t>
      </w:r>
      <w:r>
        <w:t xml:space="preserve">Then give the method. Examiners are testing understanding, not recall.</w:t>
      </w:r>
    </w:p>
    <w:p>
      <w:pPr>
        <w:pStyle w:val="BodyText"/>
      </w:pPr>
      <w:r>
        <w:rPr>
          <w:i/>
          <w:iCs/>
        </w:rPr>
        <w:t xml:space="preserve">“That is a limitation I have not measured. What I would do to measure it is …”</w:t>
      </w:r>
      <w:r>
        <w:t xml:space="preserve"> </w:t>
      </w:r>
      <w:r>
        <w:t xml:space="preserve">Naming the</w:t>
      </w:r>
      <w:r>
        <w:t xml:space="preserve"> </w:t>
      </w:r>
      <w:r>
        <w:t xml:space="preserve">experiment is most of the credit.</w:t>
      </w:r>
    </w:p>
    <w:p>
      <w:pPr>
        <w:pStyle w:val="BodyText"/>
      </w:pPr>
      <w:r>
        <w:rPr>
          <w:i/>
          <w:iCs/>
        </w:rPr>
        <w:t xml:space="preserve">“I think you may be right, and here is what would change if you are.”</w:t>
      </w:r>
      <w:r>
        <w:t xml:space="preserve"> </w:t>
      </w:r>
      <w:r>
        <w:t xml:space="preserve">A candidate who can trace the</w:t>
      </w:r>
      <w:r>
        <w:t xml:space="preserve"> </w:t>
      </w:r>
      <w:r>
        <w:t xml:space="preserve">consequence of being wrong is demonstrating exactly the skill the thesis is about. The project did</w:t>
      </w:r>
      <w:r>
        <w:t xml:space="preserve"> </w:t>
      </w:r>
      <w:r>
        <w:t xml:space="preserve">this to itself repeatedly: the sensitivity figure that turned out to be measured on training</w:t>
      </w:r>
      <w:r>
        <w:t xml:space="preserve"> </w:t>
      </w:r>
      <w:r>
        <w:t xml:space="preserve">compounds, the co-firing correlations the interface had drifted from, the barrier model whose</w:t>
      </w:r>
      <w:r>
        <w:t xml:space="preserve"> </w:t>
      </w:r>
      <w:r>
        <w:t xml:space="preserve">advantage does not survive its own interval.</w:t>
      </w:r>
    </w:p>
    <w:p>
      <w:r>
        <w:pict>
          <v:rect style="width:0;height:1.5pt" o:hralign="center" o:hrstd="t" o:hr="t"/>
        </w:pict>
      </w:r>
    </w:p>
    <w:bookmarkStart w:id="38" w:name="outstanding-items-for-this-document"/>
    <w:p>
      <w:pPr>
        <w:pStyle w:val="Heading2"/>
      </w:pPr>
      <w:r>
        <w:t xml:space="preserve">Outstanding items for this document</w:t>
      </w:r>
    </w:p>
    <w:p>
      <w:pPr>
        <w:pStyle w:val="Compact"/>
        <w:numPr>
          <w:ilvl w:val="0"/>
          <w:numId w:val="1003"/>
        </w:numPr>
      </w:pPr>
      <w:r>
        <w:t xml:space="preserve">The mock-viva drill has not been run. Sitting the questions in Part III aloud, against a clock, is</w:t>
      </w:r>
      <w:r>
        <w:t xml:space="preserve"> </w:t>
      </w:r>
      <w:r>
        <w:t xml:space="preserve">worth more than reading them.</w:t>
      </w:r>
    </w:p>
    <w:p>
      <w:pPr>
        <w:pStyle w:val="Compact"/>
        <w:numPr>
          <w:ilvl w:val="0"/>
          <w:numId w:val="1003"/>
        </w:numPr>
      </w:pPr>
      <w:r>
        <w:t xml:space="preserve">Part I assumes the examiners ask about the methods actually used. It does not prepare answers on</w:t>
      </w:r>
      <w:r>
        <w:t xml:space="preserve"> </w:t>
      </w:r>
      <w:r>
        <w:t xml:space="preserve">methods deliberately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used, such as graph neural networks beyond the four-endpoint comparison,</w:t>
      </w:r>
      <w:r>
        <w:t xml:space="preserve"> </w:t>
      </w:r>
      <w:r>
        <w:t xml:space="preserve">transformer embeddings, or docking, and at least one examiner usually asks why not.</w:t>
      </w:r>
    </w:p>
    <w:bookmarkEnd w:id="38"/>
    <w:bookmarkEnd w:id="39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0" w:line="264" w:lineRule="auto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320" w:line="264" w:lineRule="auto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60" w:line="264" w:lineRule="auto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1A3A5C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00" w:before="200" w:line="264" w:lineRule="auto"/>
      <w:outlineLvl w:val="3"/>
    </w:pPr>
    <w:rPr>
      <w:rFonts w:ascii="Calibri" w:asciiTheme="majorHAnsi" w:cs="Calibri" w:cstheme="majorBidi" w:eastAsia="Calibri" w:eastAsiaTheme="majorEastAsia" w:hAnsi="Calibri" w:hAnsiTheme="majorHAnsi"/>
      <w:b/>
      <w:bCs/>
      <w:i/>
      <w:iCs/>
      <w:color w:val="1A3A5C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240" w:before="0" w:line="276" w:lineRule="auto"/>
      <w:jc w:val="center"/>
    </w:pPr>
    <w:rPr>
      <w:rFonts w:ascii="Calibri" w:cs="Calibri" w:eastAsia="Calibri" w:hAnsi="Calibri"/>
      <w:b w:val="0"/>
      <w:bCs/>
      <w:color w:val="5A6672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pPr>
      <w:spacing w:after="0" w:before="0" w:line="252" w:lineRule="auto"/>
    </w:pPr>
    <w:rPr>
      <w:rFonts w:ascii="Calibri" w:cs="Calibri" w:eastAsia="Calibri" w:hAnsi="Calibri"/>
      <w:b w:val="0"/>
      <w:sz w:val="17"/>
    </w:rPr>
    <w:tblPr>
      <w:tblBorders>
        <w:top w:color="C8D2DF" w:space="0" w:sz="4" w:val="single"/>
        <w:left w:color="C8D2DF" w:space="0" w:sz="4" w:val="single"/>
        <w:bottom w:color="C8D2DF" w:space="0" w:sz="4" w:val="single"/>
        <w:right w:color="C8D2DF" w:space="0" w:sz="4" w:val="single"/>
        <w:insideH w:color="C8D2DF" w:space="0" w:sz="4" w:val="single"/>
        <w:insideV w:color="C8D2DF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2026-09-07T17:53:12Z</dcterms:created>
  <dcterms:modified xsi:type="dcterms:W3CDTF">2026-09-07T17:53:12Z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