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decisions-log"/>
    <w:p>
      <w:pPr>
        <w:pStyle w:val="Heading1"/>
      </w:pPr>
      <w:r>
        <w:t xml:space="preserve">Decisions log</w:t>
      </w:r>
    </w:p>
    <w:p>
      <w:pPr>
        <w:pStyle w:val="FirstParagraph"/>
      </w:pPr>
      <w:r>
        <w:t xml:space="preserve">A dated record of methodological decisions and their rationale. Newest first. Every entry states the</w:t>
      </w:r>
      <w:r>
        <w:t xml:space="preserve"> </w:t>
      </w:r>
      <w:r>
        <w:t xml:space="preserve">decision, the reason, and where the supporting evidence lives.</w:t>
      </w:r>
    </w:p>
    <w:bookmarkStart w:id="18" w:name="Xc4c23062875b0ccf917bd60b33cf5bd236858c5"/>
    <w:p>
      <w:pPr>
        <w:pStyle w:val="Heading2"/>
      </w:pPr>
      <w:r>
        <w:t xml:space="preserve">2026-08-27, Panel sensitivity corrected to the held-out figure; five endpoints demoted, none withdrawn</w:t>
      </w:r>
    </w:p>
    <w:p>
      <w:pPr>
        <w:pStyle w:val="FirstParagraph"/>
      </w:pPr>
      <w:r>
        <w:t xml:space="preserve">Decision: publish 0.7638 as the panel mean sensitivity, not 0.8983; recompute</w:t>
      </w:r>
      <w:r>
        <w:t xml:space="preserve"> </w:t>
      </w:r>
      <w:r>
        <w:rPr>
          <w:rStyle w:val="VerbatimChar"/>
        </w:rPr>
        <w:t xml:space="preserve">reliable_call</w:t>
      </w:r>
      <w:r>
        <w:t xml:space="preserve"> </w:t>
      </w:r>
      <w:r>
        <w:t xml:space="preserve">from the</w:t>
      </w:r>
      <w:r>
        <w:t xml:space="preserve"> </w:t>
      </w:r>
      <w:r>
        <w:t xml:space="preserve">corrected figure, which demotes COX2, GluN2B, P2X7, SIRT1 and TAAR1 to below the gate; withdraw none of</w:t>
      </w:r>
      <w:r>
        <w:t xml:space="preserve"> </w:t>
      </w:r>
      <w:r>
        <w:t xml:space="preserve">them; and leave every operating threshold untouched.</w:t>
      </w:r>
    </w:p>
    <w:p>
      <w:pPr>
        <w:pStyle w:val="BodyText"/>
      </w:pPr>
      <w:r>
        <w:t xml:space="preserve">Reason, in four parts.</w:t>
      </w:r>
    </w:p>
    <w:p>
      <w:pPr>
        <w:pStyle w:val="BodyText"/>
      </w:pPr>
      <w:r>
        <w:rPr>
          <w:i/>
          <w:iCs/>
        </w:rPr>
        <w:t xml:space="preserve">Why the number changed.</w:t>
      </w:r>
      <w:r>
        <w:t xml:space="preserve"> </w:t>
      </w:r>
      <w:r>
        <w:t xml:space="preserve">Four scripts write</w:t>
      </w:r>
      <w:r>
        <w:t xml:space="preserve"> </w:t>
      </w:r>
      <w:r>
        <w:rPr>
          <w:rStyle w:val="VerbatimChar"/>
        </w:rPr>
        <w:t xml:space="preserve">sensitivity_at_threshold</w:t>
      </w:r>
      <w:r>
        <w:t xml:space="preserve"> </w:t>
      </w:r>
      <w:r>
        <w:t xml:space="preserve">in sequence.</w:t>
      </w:r>
      <w:r>
        <w:t xml:space="preserve"> </w:t>
      </w:r>
      <w:r>
        <w:rPr>
          <w:rStyle w:val="VerbatimChar"/>
        </w:rPr>
        <w:t xml:space="preserve">train_binders_hybrid.py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final_thresholds.py</w:t>
      </w:r>
      <w:r>
        <w:t xml:space="preserve"> </w:t>
      </w:r>
      <w:r>
        <w:t xml:space="preserve">measure it on scaffold-held-out actives.</w:t>
      </w:r>
      <w:r>
        <w:t xml:space="preserve"> </w:t>
      </w:r>
      <w:r>
        <w:rPr>
          <w:rStyle w:val="VerbatimChar"/>
        </w:rPr>
        <w:t xml:space="preserve">calibrate_background_specificity.py</w:t>
      </w:r>
      <w:r>
        <w:t xml:space="preserve">, which runs last and therefore decides, selected actives as</w:t>
      </w:r>
      <w:r>
        <w:t xml:space="preserve"> </w:t>
      </w:r>
      <w:r>
        <w:rPr>
          <w:rStyle w:val="VerbatimChar"/>
        </w:rPr>
        <w:t xml:space="preserve">df.loc[p &gt;= 7, "smiles"]</w:t>
      </w:r>
      <w:r>
        <w:t xml:space="preserve">, the whole endpoint table, roughly four fifths of which the model was fitted</w:t>
      </w:r>
      <w:r>
        <w:t xml:space="preserve"> </w:t>
      </w:r>
      <w:r>
        <w:t xml:space="preserve">on. It overwrote the held-out figure with an in-sample one and did not touch</w:t>
      </w:r>
      <w:r>
        <w:t xml:space="preserve"> </w:t>
      </w:r>
      <w:r>
        <w:rPr>
          <w:rStyle w:val="VerbatimChar"/>
        </w:rPr>
        <w:t xml:space="preserve">sensitivity_basis</w:t>
      </w:r>
      <w:r>
        <w:t xml:space="preserve">, which</w:t>
      </w:r>
      <w:r>
        <w:t xml:space="preserve"> </w:t>
      </w:r>
      <w:r>
        <w:t xml:space="preserve">went on reading</w:t>
      </w:r>
      <w:r>
        <w:t xml:space="preserve"> </w:t>
      </w:r>
      <w:r>
        <w:rPr>
          <w:rStyle w:val="VerbatimChar"/>
        </w:rPr>
        <w:t xml:space="preserve">held_out_actives_by_scaffold</w:t>
      </w:r>
      <w:r>
        <w:t xml:space="preserve">. Nothing was fabricated and nothing disagreed with</w:t>
      </w:r>
      <w:r>
        <w:t xml:space="preserve"> </w:t>
      </w:r>
      <w:r>
        <w:t xml:space="preserve">itself, which is why the defect survived: a substring check for the number finds it stated identically</w:t>
      </w:r>
      <w:r>
        <w:t xml:space="preserve"> </w:t>
      </w:r>
      <w:r>
        <w:t xml:space="preserve">everywhere. It was in fact caught once before, corrected to a mean of 0.7513 when the reviewer package</w:t>
      </w:r>
      <w:r>
        <w:t xml:space="preserve"> </w:t>
      </w:r>
      <w:r>
        <w:t xml:space="preserve">was built, and then silently undone the next time the calibration stage ran. Inflation across the panel</w:t>
      </w:r>
      <w:r>
        <w:t xml:space="preserve"> </w:t>
      </w:r>
      <w:r>
        <w:t xml:space="preserve">is 0.1344, and the label made it invisible.</w:t>
      </w:r>
    </w:p>
    <w:p>
      <w:pPr>
        <w:pStyle w:val="BodyText"/>
      </w:pPr>
      <w:r>
        <w:rPr>
          <w:i/>
          <w:iCs/>
        </w:rPr>
        <w:t xml:space="preserve">Why the five endpoints fail, and whether anything better was available.</w:t>
      </w:r>
      <w:r>
        <w:t xml:space="preserve"> </w:t>
      </w:r>
      <w:r>
        <w:t xml:space="preserve">Their thresholds are set by</w:t>
      </w:r>
      <w:r>
        <w:t xml:space="preserve"> </w:t>
      </w:r>
      <w:r>
        <w:t xml:space="preserve">the harder of two constraints: separating actives from random chemistry, or separating them from</w:t>
      </w:r>
      <w:r>
        <w:t xml:space="preserve"> </w:t>
      </w:r>
      <w:r>
        <w:t xml:space="preserve">compounds measured at that same target and found inactive. For COX2, GluN2B and P2X7 the second binds</w:t>
      </w:r>
      <w:r>
        <w:t xml:space="preserve"> </w:t>
      </w:r>
      <w:r>
        <w:t xml:space="preserve">far harder. The slack between the deployed threshold and the background-only threshold is +0.652,</w:t>
      </w:r>
      <w:r>
        <w:t xml:space="preserve"> </w:t>
      </w:r>
      <w:r>
        <w:t xml:space="preserve">+0.930 and +0.905 respectively, so sensitivity could be restored to near unity by relaxing to the</w:t>
      </w:r>
      <w:r>
        <w:t xml:space="preserve"> </w:t>
      </w:r>
      <w:r>
        <w:t xml:space="preserve">background constraint alone. That was tested and rejected: the compounds it would admit are not unknown</w:t>
      </w:r>
      <w:r>
        <w:t xml:space="preserve"> </w:t>
      </w:r>
      <w:r>
        <w:t xml:space="preserve">chemistry, they are compounds an experiment has already reported as non-binders at that target. The</w:t>
      </w:r>
      <w:r>
        <w:t xml:space="preserve"> </w:t>
      </w:r>
      <w:r>
        <w:t xml:space="preserve">result would be a higher sensitivity and a less truthful server. TAAR1’s two constraints agree</w:t>
      </w:r>
      <w:r>
        <w:t xml:space="preserve"> </w:t>
      </w:r>
      <w:r>
        <w:t xml:space="preserve">independently (slack 0.0022), so its weakness is the model’s, not the threshold’s. SIRT1 has 37</w:t>
      </w:r>
      <w:r>
        <w:t xml:space="preserve"> </w:t>
      </w:r>
      <w:r>
        <w:t xml:space="preserve">held-out actives and a 95% interval of 0.240 to 0.539; that is a sample-size problem, not a model one.</w:t>
      </w:r>
      <w:r>
        <w:t xml:space="preserve"> </w:t>
      </w:r>
      <w:r>
        <w:t xml:space="preserve">The alternative was tried, measured, and is worse.</w:t>
      </w:r>
    </w:p>
    <w:p>
      <w:pPr>
        <w:pStyle w:val="BodyText"/>
      </w:pPr>
      <w:r>
        <w:rPr>
          <w:i/>
          <w:iCs/>
        </w:rPr>
        <w:t xml:space="preserve">Why none is withdrawn.</w:t>
      </w:r>
      <w:r>
        <w:t xml:space="preserve"> </w:t>
      </w:r>
      <w:r>
        <w:t xml:space="preserve">Withdrawal is reserved for endpoints that fire on unrelated chemistry, which</w:t>
      </w:r>
      <w:r>
        <w:t xml:space="preserve"> </w:t>
      </w:r>
      <w:r>
        <w:t xml:space="preserve">is what removed GluA2, NFKB1, NR3C1, NRF2 and Nav1_1. All five here hold their background</w:t>
      </w:r>
      <w:r>
        <w:t xml:space="preserve"> </w:t>
      </w:r>
      <w:r>
        <w:t xml:space="preserve">false-positive rate at or below target (0.0063 to 0.05). They are weak, not misleading, and the</w:t>
      </w:r>
      <w:r>
        <w:t xml:space="preserve"> </w:t>
      </w:r>
      <w:r>
        <w:t xml:space="preserve">demoted flag says exactly that. Removing TAAR1, the ulotaront mechanism, would cost a genuine CNS</w:t>
      </w:r>
      <w:r>
        <w:t xml:space="preserve"> </w:t>
      </w:r>
      <w:r>
        <w:t xml:space="preserve">target for no honesty the flag does not already deliver.</w:t>
      </w:r>
    </w:p>
    <w:p>
      <w:pPr>
        <w:pStyle w:val="BodyText"/>
      </w:pPr>
      <w:r>
        <w:rPr>
          <w:i/>
          <w:iCs/>
        </w:rPr>
        <w:t xml:space="preserve">Why thresholds were not recomputed.</w:t>
      </w:r>
      <w:r>
        <w:t xml:space="preserve"> </w:t>
      </w:r>
      <w:r>
        <w:t xml:space="preserve">Sensitivity is a reported quantity; a threshold is an operating</w:t>
      </w:r>
      <w:r>
        <w:t xml:space="preserve"> </w:t>
      </w:r>
      <w:r>
        <w:t xml:space="preserve">one. Re-running the threshold sequence to refresh a reported number caused a regression in this project</w:t>
      </w:r>
      <w:r>
        <w:t xml:space="preserve"> </w:t>
      </w:r>
      <w:r>
        <w:t xml:space="preserve">once already. The registry was patched in place from</w:t>
      </w:r>
      <w:r>
        <w:t xml:space="preserve"> </w:t>
      </w:r>
      <w:r>
        <w:rPr>
          <w:rStyle w:val="VerbatimChar"/>
        </w:rPr>
        <w:t xml:space="preserve">sensitivity_reconciliation.csv</w:t>
      </w:r>
      <w:r>
        <w:t xml:space="preserve"> </w:t>
      </w:r>
      <w:r>
        <w:t xml:space="preserve">with a guard that</w:t>
      </w:r>
      <w:r>
        <w:t xml:space="preserve"> </w:t>
      </w:r>
      <w:r>
        <w:t xml:space="preserve">aborts if any threshold, background rate or AUROC moves by a byte. None did.</w:t>
      </w:r>
    </w:p>
    <w:p>
      <w:pPr>
        <w:pStyle w:val="BodyText"/>
      </w:pPr>
      <w:r>
        <w:t xml:space="preserve">Consequence, all of it visible to a user: endpoints listed as low-sensitivity in the interface go from</w:t>
      </w:r>
      <w:r>
        <w:t xml:space="preserve"> </w:t>
      </w:r>
      <w:r>
        <w:t xml:space="preserve">two to ten; endpoints passing the gate go from 46 to 41;</w:t>
      </w:r>
      <w:r>
        <w:t xml:space="preserve"> </w:t>
      </w:r>
      <w:r>
        <w:rPr>
          <w:rStyle w:val="VerbatimChar"/>
        </w:rPr>
        <w:t xml:space="preserve">low_power_target()</w:t>
      </w:r>
      <w:r>
        <w:t xml:space="preserve"> </w:t>
      </w:r>
      <w:r>
        <w:t xml:space="preserve">now warns on five more</w:t>
      </w:r>
      <w:r>
        <w:t xml:space="preserve"> </w:t>
      </w:r>
      <w:r>
        <w:t xml:space="preserve">driving mechanisms. A separate defect surfaced in the same pass and is fixed: Figure 10 panel B drew</w:t>
      </w:r>
      <w:r>
        <w:t xml:space="preserve"> </w:t>
      </w:r>
      <w:r>
        <w:t xml:space="preserve">the reliability floor at 0.60, the value used by the earlier training stages, while the deployed gate</w:t>
      </w:r>
      <w:r>
        <w:t xml:space="preserve"> </w:t>
      </w:r>
      <w:r>
        <w:t xml:space="preserve">is 0.50, so three endpoints that clear the gate were drawn below a line labelled as the gate. The</w:t>
      </w:r>
      <w:r>
        <w:t xml:space="preserve"> </w:t>
      </w:r>
      <w:r>
        <w:t xml:space="preserve">figure now draws both floors of what is a two-sided gate.</w:t>
      </w:r>
    </w:p>
    <w:p>
      <w:pPr>
        <w:pStyle w:val="BodyText"/>
      </w:pPr>
      <w:r>
        <w:t xml:space="preserve">Evidence:</w:t>
      </w:r>
      <w:r>
        <w:t xml:space="preserve"> </w:t>
      </w:r>
      <w:r>
        <w:rPr>
          <w:rStyle w:val="VerbatimChar"/>
        </w:rPr>
        <w:t xml:space="preserve">tools/correct_registry_sensitivity.py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results/tables/sensitivity_reconciliation.csv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results/tables/final_thresholds.csv</w:t>
      </w:r>
      <w:r>
        <w:t xml:space="preserve"> </w:t>
      </w:r>
      <w:r>
        <w:t xml:space="preserve">(which the registry now matches on all 47 deployed endpoints with</w:t>
      </w:r>
      <w:r>
        <w:t xml:space="preserve"> </w:t>
      </w:r>
      <w:r>
        <w:t xml:space="preserve">zero disagreements),</w:t>
      </w:r>
      <w:r>
        <w:t xml:space="preserve"> </w:t>
      </w:r>
      <w:r>
        <w:rPr>
          <w:rStyle w:val="VerbatimChar"/>
        </w:rPr>
        <w:t xml:space="preserve">src/brainsafe/models/calibrate_background_specificity.py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tests/test_panel_app_consistency.py::TestReliabilityGateIsStatedConsistently</w:t>
      </w:r>
      <w:r>
        <w:t xml:space="preserve">. The pre-correction</w:t>
      </w:r>
      <w:r>
        <w:t xml:space="preserve"> </w:t>
      </w:r>
      <w:r>
        <w:t xml:space="preserve">registry is commit</w:t>
      </w:r>
      <w:r>
        <w:t xml:space="preserve"> </w:t>
      </w:r>
      <w:r>
        <w:rPr>
          <w:rStyle w:val="VerbatimChar"/>
        </w:rPr>
        <w:t xml:space="preserve">93720d5</w:t>
      </w:r>
      <w:r>
        <w:t xml:space="preserve">, where the 47 deployed endpoints carry a mean of 0.8983 under the same</w:t>
      </w:r>
      <w:r>
        <w:t xml:space="preserve"> </w:t>
      </w:r>
      <w:r>
        <w:rPr>
          <w:rStyle w:val="VerbatimChar"/>
        </w:rPr>
        <w:t xml:space="preserve">held_out_actives_by_scaffold</w:t>
      </w:r>
      <w:r>
        <w:t xml:space="preserve"> </w:t>
      </w:r>
      <w:r>
        <w:t xml:space="preserve">label;</w:t>
      </w:r>
      <w:r>
        <w:t xml:space="preserve"> </w:t>
      </w:r>
      <w:r>
        <w:rPr>
          <w:rStyle w:val="VerbatimChar"/>
        </w:rPr>
        <w:t xml:space="preserve">git show 93720d5:models_rf/binder_modes.json</w:t>
      </w:r>
      <w:r>
        <w:t xml:space="preserve"> </w:t>
      </w:r>
      <w:r>
        <w:t xml:space="preserve">recovers it.</w:t>
      </w:r>
    </w:p>
    <w:bookmarkEnd w:id="18"/>
    <w:bookmarkStart w:id="19" w:name="Xcc38a0f40707b7c42a36553ec479e87d2b702f0"/>
    <w:p>
      <w:pPr>
        <w:pStyle w:val="Heading2"/>
      </w:pPr>
      <w:r>
        <w:t xml:space="preserve">2026-07-21, Measured inactives (PubChem) tested and reverted from the primary model</w:t>
      </w:r>
    </w:p>
    <w:p>
      <w:pPr>
        <w:pStyle w:val="FirstParagraph"/>
      </w:pPr>
      <w:r>
        <w:t xml:space="preserve">Decision: do not add bulk PubChem high-throughput inactives to the classifiers. Reason: on GSK-3-beta</w:t>
      </w:r>
      <w:r>
        <w:t xml:space="preserve"> </w:t>
      </w:r>
      <w:r>
        <w:t xml:space="preserve">(the worst-skewed endpoint, 93% active) adding 4,276 measured inactives corrected the DrugBank base</w:t>
      </w:r>
      <w:r>
        <w:t xml:space="preserve"> </w:t>
      </w:r>
      <w:r>
        <w:t xml:space="preserve">rate (71.6% -&gt; 16.4% predicted active, genuine) but inflated scaffold AUROC 0.937 -&gt; 0.989 because the</w:t>
      </w:r>
      <w:r>
        <w:t xml:space="preserve"> </w:t>
      </w:r>
      <w:r>
        <w:t xml:space="preserve">added negatives are chemically unlike inhibitors (median Tanimoto to actives 0.29), an easy-negative /</w:t>
      </w:r>
      <w:r>
        <w:t xml:space="preserve"> </w:t>
      </w:r>
      <w:r>
        <w:t xml:space="preserve">decoy artefact, not real discrimination. The honest discrimination estimate stays 0.937; the base-rate</w:t>
      </w:r>
      <w:r>
        <w:t xml:space="preserve"> </w:t>
      </w:r>
      <w:r>
        <w:t xml:space="preserve">skew is handled by calibration and the applicability-domain flag and disclosed as a data limitation.</w:t>
      </w:r>
      <w:r>
        <w:t xml:space="preserve"> </w:t>
      </w:r>
      <w:r>
        <w:t xml:space="preserve">Correct future approach: similarity-matched hard negatives only. Evidence:</w:t>
      </w:r>
      <w:r>
        <w:t xml:space="preserve"> </w:t>
      </w:r>
      <w:r>
        <w:rPr>
          <w:rStyle w:val="VerbatimChar"/>
        </w:rPr>
        <w:t xml:space="preserve">docs/INACTIVES_EXPERIMENT.md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results/tables/inactives_audit.csv</w:t>
      </w:r>
      <w:r>
        <w:t xml:space="preserve">.</w:t>
      </w:r>
    </w:p>
    <w:bookmarkEnd w:id="19"/>
    <w:bookmarkStart w:id="20" w:name="X68f994b3bd76382082d92a6ac5f4e52278a0585"/>
    <w:p>
      <w:pPr>
        <w:pStyle w:val="Heading2"/>
      </w:pPr>
      <w:r>
        <w:t xml:space="preserve">2026-07-21, Measured data expanded with BindingDB (audited, no inflation)</w:t>
      </w:r>
    </w:p>
    <w:p>
      <w:pPr>
        <w:pStyle w:val="FirstParagraph"/>
      </w:pPr>
      <w:r>
        <w:t xml:space="preserve">Decision: pool a second independent measured source (BindingDB) with ChEMBL for the eleven protein</w:t>
      </w:r>
      <w:r>
        <w:t xml:space="preserve"> </w:t>
      </w:r>
      <w:r>
        <w:t xml:space="preserve">targets, keeping labels measured-only and retraining the random forests. Reason: the review asked for</w:t>
      </w:r>
      <w:r>
        <w:t xml:space="preserve"> </w:t>
      </w:r>
      <w:r>
        <w:t xml:space="preserve">more data; ChEMBL was verified near-complete for these targets (live totals within ~3% of what we</w:t>
      </w:r>
      <w:r>
        <w:t xml:space="preserve"> </w:t>
      </w:r>
      <w:r>
        <w:t xml:space="preserve">held), so genuine growth required an independent source. Result: 57,088 to 61,317 unique compounds</w:t>
      </w:r>
      <w:r>
        <w:t xml:space="preserve"> </w:t>
      </w:r>
      <w:r>
        <w:t xml:space="preserve">(67,982 measured records); 4,246 compounds added by BindingDB alone, 18,573 measured by both sources.</w:t>
      </w:r>
      <w:r>
        <w:t xml:space="preserve"> </w:t>
      </w:r>
      <w:r>
        <w:t xml:space="preserve">Because the BindingDB affinity export returns actives, the change was audited against the ChEMBL-only</w:t>
      </w:r>
      <w:r>
        <w:t xml:space="preserve"> </w:t>
      </w:r>
      <w:r>
        <w:t xml:space="preserve">baseline: scaffold-split headline metric moved by a mean of -0.0002 (range -0.015 to +0.013), i.e. the</w:t>
      </w:r>
      <w:r>
        <w:t xml:space="preserve"> </w:t>
      </w:r>
      <w:r>
        <w:t xml:space="preserve">addition neither inflates nor degrades performance; A2A regression gained the most (+0.013 R-squared on</w:t>
      </w:r>
      <w:r>
        <w:t xml:space="preserve"> </w:t>
      </w:r>
      <w:r>
        <w:t xml:space="preserve">+1,238 compounds). hERG remained ChEMBL-only (BindingDB rate-limited). Evidence:</w:t>
      </w:r>
      <w:r>
        <w:t xml:space="preserve"> </w:t>
      </w:r>
      <w:r>
        <w:rPr>
          <w:rStyle w:val="VerbatimChar"/>
        </w:rPr>
        <w:t xml:space="preserve">results/tables/expansion_audit.csv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endpoint_rebuild_provenance.csv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docs/RF_CV_RESULTS.md</w:t>
      </w:r>
      <w:r>
        <w:t xml:space="preserve">.</w:t>
      </w:r>
    </w:p>
    <w:bookmarkEnd w:id="20"/>
    <w:bookmarkStart w:id="21" w:name="Xfb1272c2bff5979bc56bcfc67ee92215ce7e147"/>
    <w:p>
      <w:pPr>
        <w:pStyle w:val="Heading2"/>
      </w:pPr>
      <w:r>
        <w:t xml:space="preserve">2026-07-21, External validation on approved drugs held out of training</w:t>
      </w:r>
    </w:p>
    <w:p>
      <w:pPr>
        <w:pStyle w:val="FirstParagraph"/>
      </w:pPr>
      <w:r>
        <w:t xml:space="preserve">Decision: hold the 306 FDA-curated BBB compounds that are absent from B3DB out as an external test</w:t>
      </w:r>
      <w:r>
        <w:t xml:space="preserve"> </w:t>
      </w:r>
      <w:r>
        <w:t xml:space="preserve">rather than adding them to training. Reason: an independent approved-drug test is more informative than</w:t>
      </w:r>
      <w:r>
        <w:t xml:space="preserve"> </w:t>
      </w:r>
      <w:r>
        <w:t xml:space="preserve">a small training augmentation. Result: BBB model AUROC 0.7645 (accuracy 0.732, sensitivity 0.7734,</w:t>
      </w:r>
      <w:r>
        <w:t xml:space="preserve"> </w:t>
      </w:r>
      <w:r>
        <w:t xml:space="preserve">specificity 0.6505) on these unseen approved drugs. This entry originally read 0.774, 0.739, 0.798</w:t>
      </w:r>
      <w:r>
        <w:t xml:space="preserve"> </w:t>
      </w:r>
      <w:r>
        <w:t xml:space="preserve">and 0.621; all four were corrected against</w:t>
      </w:r>
      <w:r>
        <w:t xml:space="preserve"> </w:t>
      </w:r>
      <w:r>
        <w:rPr>
          <w:rStyle w:val="VerbatimChar"/>
        </w:rPr>
        <w:t xml:space="preserve">results/tables/external_bbb_validation.csv</w:t>
      </w:r>
      <w:r>
        <w:t xml:space="preserve">, the AUROC in</w:t>
      </w:r>
      <w:r>
        <w:t xml:space="preserve"> </w:t>
      </w:r>
      <w:r>
        <w:t xml:space="preserve">the audit of 2026-08-25 and the remaining three in the audit of 2026-08-26, which found the first</w:t>
      </w:r>
      <w:r>
        <w:t xml:space="preserve"> </w:t>
      </w:r>
      <w:r>
        <w:t xml:space="preserve">correction had been applied to the AUROC alone. Evidence:</w:t>
      </w:r>
      <w:r>
        <w:t xml:space="preserve"> </w:t>
      </w:r>
      <w:r>
        <w:rPr>
          <w:rStyle w:val="VerbatimChar"/>
        </w:rPr>
        <w:t xml:space="preserve">results/tables/external_bbb_validation.csv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src/brainsafe/evaluation/external_validation.py</w:t>
      </w:r>
      <w:r>
        <w:t xml:space="preserve">.</w:t>
      </w:r>
    </w:p>
    <w:bookmarkEnd w:id="21"/>
    <w:bookmarkStart w:id="22" w:name="X40f04f158f32b2a0ae708d263231684691ca081"/>
    <w:p>
      <w:pPr>
        <w:pStyle w:val="Heading2"/>
      </w:pPr>
      <w:r>
        <w:t xml:space="preserve">2026-07-20, Random-forest models with ten-fold cross-validation (primary model)</w:t>
      </w:r>
    </w:p>
    <w:p>
      <w:pPr>
        <w:pStyle w:val="FirstParagraph"/>
      </w:pPr>
      <w:r>
        <w:t xml:space="preserve">Decision: adopt a random forest per endpoint (300 trees, ECFP-4 plus twelve descriptors) evaluated</w:t>
      </w:r>
      <w:r>
        <w:t xml:space="preserve"> </w:t>
      </w:r>
      <w:r>
        <w:t xml:space="preserve">by ten-fold cross-validation under both a random and a scaffold-grouped split, as the primary</w:t>
      </w:r>
      <w:r>
        <w:t xml:space="preserve"> </w:t>
      </w:r>
      <w:r>
        <w:t xml:space="preserve">predictive model. Reason: this was the specific model and validation asked for in review; it</w:t>
      </w:r>
      <w:r>
        <w:t xml:space="preserve"> </w:t>
      </w:r>
      <w:r>
        <w:t xml:space="preserve">reproduces the strong, honestly-degrading behaviour seen with the earlier ensemble. Mean</w:t>
      </w:r>
      <w:r>
        <w:t xml:space="preserve"> </w:t>
      </w:r>
      <w:r>
        <w:t xml:space="preserve">classification AUROC is 0.960 random and 0.918 scaffold; receptor regression R-squared is 0.61-0.66</w:t>
      </w:r>
      <w:r>
        <w:t xml:space="preserve"> </w:t>
      </w:r>
      <w:r>
        <w:t xml:space="preserve">random and 0.39-0.56 scaffold. MAO-A and MAO-B degrade most under the scaffold split, consistent</w:t>
      </w:r>
      <w:r>
        <w:t xml:space="preserve"> </w:t>
      </w:r>
      <w:r>
        <w:t xml:space="preserve">with their being the smallest, least scaffold-diverse sets. Evidence:</w:t>
      </w:r>
      <w:r>
        <w:t xml:space="preserve"> </w:t>
      </w:r>
      <w:r>
        <w:rPr>
          <w:rStyle w:val="VerbatimChar"/>
        </w:rPr>
        <w:t xml:space="preserve">docs/RF_CV_RESULTS.md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results/tables/rf_cv_summary.csv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results/tables/rf_cv_folds.csv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models_rf/*_meta.json</w:t>
      </w:r>
      <w:r>
        <w:t xml:space="preserve">.</w:t>
      </w:r>
    </w:p>
    <w:bookmarkEnd w:id="22"/>
    <w:bookmarkStart w:id="23" w:name="X0747b72ccc96c86e32b1ce82150b6691e464c42"/>
    <w:p>
      <w:pPr>
        <w:pStyle w:val="Heading2"/>
      </w:pPr>
      <w:r>
        <w:t xml:space="preserve">2026-07-20, External libraries integrated as evaluation and coverage, not training labels</w:t>
      </w:r>
    </w:p>
    <w:p>
      <w:pPr>
        <w:pStyle w:val="FirstParagraph"/>
      </w:pPr>
      <w:r>
        <w:t xml:space="preserve">Decision: fold the HPC compound libraries in as held-out evaluation (DrugBank 11,723 drugs; an</w:t>
      </w:r>
      <w:r>
        <w:t xml:space="preserve"> </w:t>
      </w:r>
      <w:r>
        <w:t xml:space="preserve">FDA-curated BBB set of 1,683, of which 306 are novel versus B3DB) and coverage (37,647 COCONUT</w:t>
      </w:r>
      <w:r>
        <w:t xml:space="preserve"> </w:t>
      </w:r>
      <w:r>
        <w:t xml:space="preserve">flavonoids; 214,740 CNS natural products; the ChEMBL 34 pool), never as training labels. Reason:</w:t>
      </w:r>
      <w:r>
        <w:t xml:space="preserve"> </w:t>
      </w:r>
      <w:r>
        <w:t xml:space="preserve">they carry structures, not measured endpoint values, so using them as labels would reintroduce the</w:t>
      </w:r>
      <w:r>
        <w:t xml:space="preserve"> </w:t>
      </w:r>
      <w:r>
        <w:t xml:space="preserve">circularity removed earlier. Evidence:</w:t>
      </w:r>
      <w:r>
        <w:t xml:space="preserve"> </w:t>
      </w:r>
      <w:r>
        <w:rPr>
          <w:rStyle w:val="VerbatimChar"/>
        </w:rPr>
        <w:t xml:space="preserve">data/external/SOURCE.md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data/external/processed/external_summary.csv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src/brainsafe/data/integrate_external.py</w:t>
      </w:r>
      <w:r>
        <w:t xml:space="preserve">.</w:t>
      </w:r>
    </w:p>
    <w:bookmarkEnd w:id="23"/>
    <w:bookmarkStart w:id="24" w:name="X92de267ac7d6267adcff137e57a183a805c9706"/>
    <w:p>
      <w:pPr>
        <w:pStyle w:val="Heading2"/>
      </w:pPr>
      <w:r>
        <w:t xml:space="preserve">2026-07-20, Repository reorganised into a standard research layout</w:t>
      </w:r>
    </w:p>
    <w:p>
      <w:pPr>
        <w:pStyle w:val="FirstParagraph"/>
      </w:pPr>
      <w:r>
        <w:t xml:space="preserve">Decision: adopt the</w:t>
      </w:r>
      <w:r>
        <w:t xml:space="preserve"> </w:t>
      </w:r>
      <w:r>
        <w:rPr>
          <w:rStyle w:val="VerbatimChar"/>
        </w:rPr>
        <w:t xml:space="preserve">data/{raw,interim,processed,external}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src/brainsafe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presentation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archive/legacy</w:t>
      </w:r>
      <w:r>
        <w:t xml:space="preserve"> </w:t>
      </w:r>
      <w:r>
        <w:t xml:space="preserve">structure (see</w:t>
      </w:r>
      <w:r>
        <w:t xml:space="preserve"> </w:t>
      </w:r>
      <w:r>
        <w:rPr>
          <w:rStyle w:val="VerbatimChar"/>
        </w:rPr>
        <w:t xml:space="preserve">PROJECT_STRUCTURE.md</w:t>
      </w:r>
      <w:r>
        <w:t xml:space="preserve">). Superseded</w:t>
      </w:r>
      <w:r>
        <w:t xml:space="preserve"> </w:t>
      </w:r>
      <w:r>
        <w:t xml:space="preserve">scripts and old-version folders moved to</w:t>
      </w:r>
      <w:r>
        <w:t xml:space="preserve"> </w:t>
      </w:r>
      <w:r>
        <w:rPr>
          <w:rStyle w:val="VerbatimChar"/>
        </w:rPr>
        <w:t xml:space="preserve">archive/legacy/</w:t>
      </w:r>
      <w:r>
        <w:t xml:space="preserve">; the working pipeline and the application</w:t>
      </w:r>
      <w:r>
        <w:t xml:space="preserve"> </w:t>
      </w:r>
      <w:r>
        <w:t xml:space="preserve">left intact and smoke-tested after the move. Reason: the flat layout (49 root scripts, loose reports,</w:t>
      </w:r>
      <w:r>
        <w:t xml:space="preserve"> </w:t>
      </w:r>
      <w:r>
        <w:t xml:space="preserve">backups, duplicate app and figure versions) was not traceable for review. Evidence: git history of the</w:t>
      </w:r>
      <w:r>
        <w:t xml:space="preserve"> </w:t>
      </w:r>
      <w:r>
        <w:t xml:space="preserve">reorganisation commit; smoke test confirming core imports and data paths intact.</w:t>
      </w:r>
    </w:p>
    <w:bookmarkEnd w:id="24"/>
    <w:bookmarkStart w:id="25" w:name="random-forest-and-fold-count-comparison"/>
    <w:p>
      <w:pPr>
        <w:pStyle w:val="Heading2"/>
      </w:pPr>
      <w:r>
        <w:t xml:space="preserve">2026-07-20, Random forest and fold-count comparison</w:t>
      </w:r>
    </w:p>
    <w:p>
      <w:pPr>
        <w:pStyle w:val="FirstParagraph"/>
      </w:pPr>
      <w:r>
        <w:t xml:space="preserve">Decision: report scaffold-grouped 5-fold cross-validation as the primary estimate, with random 5-fold,</w:t>
      </w:r>
      <w:r>
        <w:t xml:space="preserve"> </w:t>
      </w:r>
      <w:r>
        <w:t xml:space="preserve">random 10-fold and random-forest-only reported alongside. Reason: mean classification AUROC is 0.912</w:t>
      </w:r>
      <w:r>
        <w:t xml:space="preserve"> </w:t>
      </w:r>
      <w:r>
        <w:t xml:space="preserve">(scaffold-5) versus 0.958 (random-5) and 0.964 (random-10); random-forest-only is 0.960. The fold</w:t>
      </w:r>
      <w:r>
        <w:t xml:space="preserve"> </w:t>
      </w:r>
      <w:r>
        <w:t xml:space="preserve">count barely changes the result while the split type changes it by about 0.05, showing the random-split</w:t>
      </w:r>
      <w:r>
        <w:t xml:space="preserve"> </w:t>
      </w:r>
      <w:r>
        <w:t xml:space="preserve">gain is analogue leakage between folds, not a stronger model. Evidence:</w:t>
      </w:r>
      <w:r>
        <w:t xml:space="preserve"> </w:t>
      </w:r>
      <w:r>
        <w:rPr>
          <w:rStyle w:val="VerbatimChar"/>
        </w:rPr>
        <w:t xml:space="preserve">results/tables/STable15_cv_comparison.csv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BS_cv_comparison.json</w:t>
      </w:r>
      <w:r>
        <w:t xml:space="preserve">.</w:t>
      </w:r>
    </w:p>
    <w:bookmarkEnd w:id="25"/>
    <w:bookmarkStart w:id="26" w:name="ensemble-versus-baseline-significance"/>
    <w:p>
      <w:pPr>
        <w:pStyle w:val="Heading2"/>
      </w:pPr>
      <w:r>
        <w:t xml:space="preserve">2026-07-20, Ensemble-versus-baseline significance</w:t>
      </w:r>
    </w:p>
    <w:p>
      <w:pPr>
        <w:pStyle w:val="FirstParagraph"/>
      </w:pPr>
      <w:r>
        <w:t xml:space="preserve">Decision: report DeLong tests and paired bootstrap on the ensemble-minus-kNN AUROC difference. Reason:</w:t>
      </w:r>
      <w:r>
        <w:t xml:space="preserve"> </w:t>
      </w:r>
      <w:r>
        <w:t xml:space="preserve">point deltas alone (for example MAO-A +0.014) do not establish significance. The paired test, which</w:t>
      </w:r>
      <w:r>
        <w:t xml:space="preserve"> </w:t>
      </w:r>
      <w:r>
        <w:t xml:space="preserve">accounts for the correlation between the two ROC curves on identical compounds, finds all eight</w:t>
      </w:r>
      <w:r>
        <w:t xml:space="preserve"> </w:t>
      </w:r>
      <w:r>
        <w:t xml:space="preserve">endpoints significant at p&lt;0.05, decisively for seven (p&lt;0.001) and marginally for MAO-A (p=0.033).</w:t>
      </w:r>
      <w:r>
        <w:t xml:space="preserve"> </w:t>
      </w:r>
      <w:r>
        <w:t xml:space="preserve">Evidence:</w:t>
      </w:r>
      <w:r>
        <w:t xml:space="preserve"> </w:t>
      </w:r>
      <w:r>
        <w:rPr>
          <w:rStyle w:val="VerbatimChar"/>
        </w:rPr>
        <w:t xml:space="preserve">results/tables/STable14_significance.csv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BS_significance_report.json</w:t>
      </w:r>
      <w:r>
        <w:t xml:space="preserve">.</w:t>
      </w:r>
    </w:p>
    <w:bookmarkEnd w:id="26"/>
    <w:bookmarkStart w:id="27" w:name="Xba74fa5d7eab44003c6880d73704caf4471dc34"/>
    <w:p>
      <w:pPr>
        <w:pStyle w:val="Heading2"/>
      </w:pPr>
      <w:r>
        <w:t xml:space="preserve">Earlier, Measured labels only (circularity lesson)</w:t>
      </w:r>
    </w:p>
    <w:p>
      <w:pPr>
        <w:pStyle w:val="FirstParagraph"/>
      </w:pPr>
      <w:r>
        <w:t xml:space="preserve">Decision: train every supervised endpoint on measured bioactivity (ChEMBL pChEMBL, B3DB, DPPH), never</w:t>
      </w:r>
      <w:r>
        <w:t xml:space="preserve"> </w:t>
      </w:r>
      <w:r>
        <w:t xml:space="preserve">on qualitative annotation derived from the same knowledge as the features. Reason: an earlier prototype</w:t>
      </w:r>
      <w:r>
        <w:t xml:space="preserve"> </w:t>
      </w:r>
      <w:r>
        <w:t xml:space="preserve">that used curated annotation scores was shown by feature ablation to be reading the answer back out of</w:t>
      </w:r>
      <w:r>
        <w:t xml:space="preserve"> </w:t>
      </w:r>
      <w:r>
        <w:t xml:space="preserve">disease-association features rather than learning from structure; structure-only performance collapsed</w:t>
      </w:r>
      <w:r>
        <w:t xml:space="preserve"> </w:t>
      </w:r>
      <w:r>
        <w:t xml:space="preserve">to near zero. Evidence:</w:t>
      </w:r>
      <w:r>
        <w:t xml:space="preserve"> </w:t>
      </w:r>
      <w:r>
        <w:rPr>
          <w:rStyle w:val="VerbatimChar"/>
        </w:rPr>
        <w:t xml:space="preserve">docs/BS_MODEL_CARD.md</w:t>
      </w:r>
      <w:r>
        <w:t xml:space="preserve">, sections 5 and 10.</w:t>
      </w:r>
    </w:p>
    <w:bookmarkEnd w:id="27"/>
    <w:bookmarkStart w:id="28" w:name="Xa693fcce61759b0aaf352988b9254355a7d8e0c"/>
    <w:p>
      <w:pPr>
        <w:pStyle w:val="Heading2"/>
      </w:pPr>
      <w:r>
        <w:t xml:space="preserve">Earlier, Receptors served as regression, not classification</w:t>
      </w:r>
    </w:p>
    <w:p>
      <w:pPr>
        <w:pStyle w:val="FirstParagraph"/>
      </w:pPr>
      <w:r>
        <w:t xml:space="preserve">Decision: D2, A2A, 5-HT2A and SERT are modelled as potency regression rather than binary</w:t>
      </w:r>
      <w:r>
        <w:t xml:space="preserve"> </w:t>
      </w:r>
      <w:r>
        <w:t xml:space="preserve">classification. Reason: their ChEMBL sets are 96-98% active (only binders are reported), so a binary</w:t>
      </w:r>
      <w:r>
        <w:t xml:space="preserve"> </w:t>
      </w:r>
      <w:r>
        <w:t xml:space="preserve">task is ill-posed (Matthews correlation 0.21-0.44) and fails the deployment quality gate; regression on</w:t>
      </w:r>
      <w:r>
        <w:t xml:space="preserve"> </w:t>
      </w:r>
      <w:r>
        <w:t xml:space="preserve">pChEMBL is the appropriate task. Evidence:</w:t>
      </w:r>
      <w:r>
        <w:t xml:space="preserve"> </w:t>
      </w:r>
      <w:r>
        <w:rPr>
          <w:rStyle w:val="VerbatimChar"/>
        </w:rPr>
        <w:t xml:space="preserve">docs/BS_MODEL_CARD.md</w:t>
      </w:r>
      <w:r>
        <w:t xml:space="preserve"> </w:t>
      </w:r>
      <w:r>
        <w:t xml:space="preserve">section 14;</w:t>
      </w:r>
      <w:r>
        <w:t xml:space="preserve"> </w:t>
      </w:r>
      <w:r>
        <w:rPr>
          <w:rStyle w:val="VerbatimChar"/>
        </w:rPr>
        <w:t xml:space="preserve">results/tables/STable2_receptor_regression.csv</w:t>
      </w:r>
      <w:r>
        <w:t xml:space="preserve">.</w:t>
      </w:r>
    </w:p>
    <w:bookmarkEnd w:id="28"/>
    <w:bookmarkEnd w:id="29"/>
    <w:sectPr>
      <w:footerReference r:id="rId9" w:type="default"/>
      <w:footnotePr>
        <w:numRestart w:val="eachSect"/>
      </w:footnotePr>
      <w:pgSz w:h="16838" w:w="11906"/>
      <w:pgMar w:bottom="1440" w:left="1440" w:right="1440" w:top="1440"/>
      <w:lnNumType w:countBy="1" w:distance="360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uppressLineNumbers/>
      <w:jc w:val="center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200" w:before="0" w:line="240" w:lineRule="auto"/>
      <w:jc w:val="left"/>
    </w:pPr>
    <w:rPr>
      <w:rFonts w:ascii="Times New Roman" w:cs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200" w:before="0" w:line="240" w:lineRule="auto"/>
      <w:jc w:val="left"/>
    </w:pPr>
    <w:rPr>
      <w:rFonts w:ascii="Times New Roman" w:cs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200" w:before="0" w:line="240" w:lineRule="auto"/>
      <w:jc w:val="left"/>
    </w:pPr>
    <w:rPr>
      <w:rFonts w:ascii="Times New Roman" w:cs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200" w:before="0" w:line="240" w:lineRule="auto"/>
      <w:jc w:val="left"/>
    </w:pPr>
    <w:rPr>
      <w:rFonts w:ascii="Times New Roman" w:cs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before="0" w:line="276" w:lineRule="auto"/>
      <w:contextualSpacing/>
      <w:jc w:val="left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120" w:before="0" w:line="240" w:lineRule="auto"/>
      <w:jc w:val="left"/>
    </w:pPr>
    <w:rPr>
      <w:rFonts w:ascii="Times New Roman" w:cs="Times New Roman" w:cstheme="majorBidi" w:eastAsiaTheme="majorEastAsia" w:hAnsi="Times New Roman"/>
      <w:i/>
      <w:color w:val="000000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80" w:before="0" w:line="240" w:lineRule="auto"/>
      <w:jc w:val="left"/>
    </w:pPr>
    <w:rPr>
      <w:rFonts w:ascii="Times New Roman" w:cs="Times New Roman" w:hAnsi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200" w:before="0" w:line="240" w:lineRule="auto"/>
      <w:jc w:val="left"/>
    </w:pPr>
    <w:rPr>
      <w:rFonts w:ascii="Times New Roman" w:cs="Times New Roman" w:hAnsi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80" w:before="120" w:line="240" w:lineRule="auto"/>
      <w:jc w:val="left"/>
    </w:pPr>
    <w:rPr>
      <w:rFonts w:ascii="Times New Roman" w:cs="Times New Roman" w:hAnsi="Times New Roman"/>
      <w:b/>
      <w:sz w:val="24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200" w:before="0" w:line="240" w:lineRule="auto"/>
      <w:jc w:val="left"/>
    </w:pPr>
    <w:rPr>
      <w:rFonts w:ascii="Times New Roman" w:cs="Times New Roman" w:hAnsi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after="120" w:before="0" w:line="240" w:lineRule="auto"/>
      <w:ind w:hanging="357"/>
      <w:jc w:val="left"/>
    </w:pPr>
    <w:rPr>
      <w:rFonts w:ascii="Times New Roman" w:cs="Times New Roman" w:hAnsi="Times New Roman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360" w:line="240" w:lineRule="auto"/>
      <w:jc w:val="left"/>
      <w:outlineLvl w:val="0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 w:line="240" w:lineRule="auto"/>
      <w:jc w:val="left"/>
      <w:outlineLvl w:val="1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 w:line="240" w:lineRule="auto"/>
      <w:jc w:val="left"/>
      <w:outlineLvl w:val="2"/>
    </w:pPr>
    <w:rPr>
      <w:rFonts w:ascii="Times New Roman" w:cs="Times New Roman" w:cstheme="majorBidi" w:eastAsiaTheme="majorEastAsia" w:hAnsi="Times New Roman"/>
      <w:b/>
      <w:i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40" w:lineRule="auto"/>
      <w:jc w:val="left"/>
      <w:outlineLvl w:val="3"/>
    </w:pPr>
    <w:rPr>
      <w:rFonts w:ascii="Times New Roman" w:cs="Times New Roman" w:cstheme="majorBidi" w:eastAsiaTheme="majorEastAsia" w:hAnsi="Times New Roman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200" w:line="240" w:lineRule="auto"/>
      <w:jc w:val="left"/>
      <w:outlineLvl w:val="4"/>
    </w:pPr>
    <w:rPr>
      <w:rFonts w:ascii="Times New Roman" w:cs="Times New Roman" w:cstheme="majorBidi" w:eastAsiaTheme="majorEastAsia" w:hAnsi="Times New Roman"/>
      <w:b/>
      <w:i/>
      <w:color w:val="000000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200" w:line="240" w:lineRule="auto"/>
      <w:jc w:val="left"/>
      <w:outlineLvl w:val="5"/>
    </w:pPr>
    <w:rPr>
      <w:rFonts w:ascii="Times New Roman" w:cs="Times New Roman" w:cstheme="majorBidi" w:eastAsiaTheme="majorEastAsia" w:hAnsi="Times New Roman"/>
      <w:b/>
      <w:i/>
      <w:iCs/>
      <w:color w:val="000000"/>
      <w:sz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80" w:before="200" w:line="240" w:lineRule="auto"/>
      <w:jc w:val="left"/>
      <w:outlineLvl w:val="6"/>
    </w:pPr>
    <w:rPr>
      <w:rFonts w:ascii="Times New Roman" w:cs="Times New Roman" w:cstheme="majorBidi" w:eastAsiaTheme="majorEastAsia" w:hAnsi="Times New Roman"/>
      <w:b/>
      <w:i/>
      <w:color w:val="000000"/>
      <w:sz w:val="24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80" w:before="200" w:line="240" w:lineRule="auto"/>
      <w:jc w:val="left"/>
      <w:outlineLvl w:val="7"/>
    </w:pPr>
    <w:rPr>
      <w:rFonts w:ascii="Times New Roman" w:cs="Times New Roman" w:cstheme="majorBidi" w:eastAsiaTheme="majorEastAsia" w:hAnsi="Times New Roman"/>
      <w:b/>
      <w:i/>
      <w:iCs/>
      <w:color w:val="000000"/>
      <w:sz w:val="24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80" w:before="200" w:line="240" w:lineRule="auto"/>
      <w:jc w:val="left"/>
      <w:outlineLvl w:val="8"/>
    </w:pPr>
    <w:rPr>
      <w:rFonts w:ascii="Times New Roman" w:cs="Times New Roman" w:cstheme="majorBidi" w:eastAsiaTheme="majorEastAsia" w:hAnsi="Times New Roman"/>
      <w:b/>
      <w:i/>
      <w:color w:val="000000"/>
      <w:sz w:val="2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200" w:before="0" w:line="240" w:lineRule="auto"/>
      <w:ind w:firstLine="0" w:left="480" w:right="480"/>
      <w:jc w:val="left"/>
    </w:pPr>
    <w:rPr>
      <w:rFonts w:ascii="Times New Roman" w:cs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80" w:before="0" w:line="240" w:lineRule="auto"/>
      <w:jc w:val="left"/>
    </w:pPr>
    <w:rPr>
      <w:rFonts w:ascii="Times New Roman" w:cs="Times New Roman" w:hAnsi="Times New Roman"/>
      <w:sz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000000" w:space="0" w:sz="8" w:val="single"/>
        <w:bottom w:color="000000" w:space="0" w:sz="8" w:val="single"/>
        <w:left w:val="nil"/>
        <w:right w:val="nil"/>
        <w:insideH w:val="nil"/>
        <w:insideV w:val="nil"/>
      </w:tblBorders>
    </w:tblPr>
    <w:tblStylePr w:type="firstRow">
      <w:rPr>
        <w:b/>
      </w:rPr>
      <w:tcPr>
        <w:tcBorders>
          <w:bottom w:color="000000" w:sz="6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00" w:before="120" w:line="240" w:lineRule="auto"/>
      <w:jc w:val="left"/>
    </w:pPr>
    <w:rPr>
      <w:rFonts w:ascii="Times New Roman" w:cs="Times New Roman" w:hAnsi="Times New Roman"/>
      <w:b/>
      <w:i/>
      <w:sz w:val="22"/>
    </w:rPr>
  </w:style>
  <w:style w:customStyle="1" w:styleId="TableCaption" w:type="paragraph">
    <w:name w:val="Table Caption"/>
    <w:basedOn w:val="Caption"/>
    <w:pPr>
      <w:keepNext/>
      <w:spacing w:after="120" w:before="120" w:line="240" w:lineRule="auto"/>
      <w:jc w:val="left"/>
    </w:pPr>
    <w:rPr>
      <w:rFonts w:ascii="Times New Roman" w:cs="Times New Roman" w:hAnsi="Times New Roman"/>
      <w:b/>
      <w:sz w:val="22"/>
    </w:rPr>
  </w:style>
  <w:style w:customStyle="1" w:styleId="ImageCaption" w:type="paragraph">
    <w:name w:val="Image Caption"/>
    <w:basedOn w:val="Caption"/>
    <w:pPr>
      <w:spacing w:after="200" w:before="120" w:line="240" w:lineRule="auto"/>
      <w:jc w:val="left"/>
    </w:pPr>
    <w:rPr>
      <w:rFonts w:ascii="Times New Roman" w:cs="Times New Roman" w:hAnsi="Times New Roman"/>
      <w:b/>
      <w:sz w:val="22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2026-09-18T23:58:46Z</dcterms:created>
  <dcterms:modified xsi:type="dcterms:W3CDTF">2026-09-18T23:58:46Z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