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sectPr>
          <w:type w:val="continuous"/>
          <w:footerReference r:id="rId9" w:type="default"/>
          <w:footnotePr>
            <w:numRestart w:val="eachSect"/>
          </w:footnotePr>
          <w:pgSz w:h="16838" w:w="11906"/>
          <w:pgMar w:bottom="1077" w:left="907" w:right="907" w:top="1077"/>
          <w:lnNumType w:countBy="1" w:distance="360" w:restart="continuous"/>
          <w:cols w:num="1"/>
        </w:sectPr>
      </w:pPr>
      <w:r>
        <w:t xml:space="preserve">BrainSafe AI predicts, from structure alone, how a small molecule may act on the human brain. Given a</w:t>
      </w:r>
      <w:r>
        <w:t xml:space="preserve"> </w:t>
      </w:r>
      <w:r>
        <w:t xml:space="preserve">SMILES string or compound name it returns engagement of 54 molecular targets spanning</w:t>
      </w:r>
      <w:r>
        <w:t xml:space="preserve"> </w:t>
      </w:r>
      <w:r>
        <w:t xml:space="preserve">neurodegenerative, psychiatric, neuroinflammatory, analgesic and sleep-related mechanisms, predicted</w:t>
      </w:r>
      <w:r>
        <w:t xml:space="preserve"> </w:t>
      </w:r>
      <w:r>
        <w:t xml:space="preserve">blood-brain barrier penetration, nine ADME and exposure endpoints, and two safety liabilities. Every</w:t>
      </w:r>
      <w:r>
        <w:t xml:space="preserve"> </w:t>
      </w:r>
      <w:r>
        <w:t xml:space="preserve">target score is admitted only in proportion to predicted brain exposure, so potency at a target a</w:t>
      </w:r>
      <w:r>
        <w:t xml:space="preserve"> </w:t>
      </w:r>
      <w:r>
        <w:t xml:space="preserve">compound cannot reach contributes nothing; engaged targets are traced through a curated</w:t>
      </w:r>
      <w:r>
        <w:t xml:space="preserve"> </w:t>
      </w:r>
      <w:r>
        <w:t xml:space="preserve">pathway graph to the conditions they touch. The server runs 70 deployed estimators trained on 228,200</w:t>
      </w:r>
      <w:r>
        <w:t xml:space="preserve"> </w:t>
      </w:r>
      <w:r>
        <w:t xml:space="preserve">records from ChEMBL, BindingDB and B3DB. Under scaffold-grouped cross-validation the measured-label</w:t>
      </w:r>
      <w:r>
        <w:t xml:space="preserve"> </w:t>
      </w:r>
      <w:r>
        <w:t xml:space="preserve">classifiers reach a mean AUROC of 0.925, calibration error falling from 0.0801 to 0.0147. The</w:t>
      </w:r>
      <w:r>
        <w:t xml:space="preserve"> </w:t>
      </w:r>
      <w:r>
        <w:t xml:space="preserve">binder panel, validated against measured inactives rather than decoys, reaches a mean AUROC of 0.917.</w:t>
      </w:r>
      <w:r>
        <w:t xml:space="preserve"> </w:t>
      </w:r>
      <w:r>
        <w:t xml:space="preserve">Every prediction carries a calibrated probability, a conformal interval, and an applicability-domain</w:t>
      </w:r>
      <w:r>
        <w:t xml:space="preserve"> </w:t>
      </w:r>
      <w:r>
        <w:t xml:space="preserve">distance, and the server stays silent rather than guessing for compounds outside its competence, with</w:t>
      </w:r>
      <w:r>
        <w:t xml:space="preserve"> </w:t>
      </w:r>
      <w:r>
        <w:t xml:space="preserve">specificity 0.925 on non-CNS chemistry. Disease scores are a route from mechanism to condition, not</w:t>
      </w:r>
      <w:r>
        <w:t xml:space="preserve"> </w:t>
      </w:r>
      <w:r>
        <w:t xml:space="preserve">an indication prediction. BrainSafe AI is freely available without registration at</w:t>
      </w:r>
      <w:r>
        <w:t xml:space="preserve"> </w:t>
      </w:r>
      <w:r>
        <w:t xml:space="preserve">https://huggingface.co/spaces/Krishnag999/brainsafe-ai, with code, models and validation data at</w:t>
      </w:r>
      <w:r>
        <w:t xml:space="preserve"> </w:t>
      </w:r>
      <w:r>
        <w:t xml:space="preserve">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(1) pChEMBL values augmented with BindingDB (2) affinities</w:t>
      </w:r>
      <w:r>
        <w:t xml:space="preserve"> </w:t>
      </w:r>
      <w:r>
        <w:t xml:space="preserve">pooled at compound level; blood-brain barrier labels come from B3DB (3) augmented with</w:t>
      </w:r>
      <w:r>
        <w:t xml:space="preserve"> </w:t>
      </w:r>
      <w:r>
        <w:t xml:space="preserve">FDA-curated approved drugs; the nine ADME endpoints use measured sets from Therapeutics Data Commons</w:t>
      </w:r>
      <w:r>
        <w:t xml:space="preserve"> </w:t>
      </w:r>
      <w:r>
        <w:t xml:space="preserve">(4), MoleculeNet (5), B3DB 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(6)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(7) is fitted per endpoint. That choice was made on a</w:t>
      </w:r>
      <w:r>
        <w:t xml:space="preserve"> </w:t>
      </w:r>
      <w:r>
        <w:t xml:space="preserve">like-for-like comparison over thirteen core endpoints against XGBoost (8),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(9)</w:t>
      </w:r>
      <w:r>
        <w:t xml:space="preserve"> </w:t>
      </w:r>
      <w:r>
        <w:t xml:space="preserve">is exact for it rather than approximate. Classifiers are isotonically calibrated (10)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(Supplementary Figure S1).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 (Supplementary Figure S2).</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(Supplementary Figure S3).</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3186000" cy="2665454"/>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3186000" cy="2665454"/>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3186000" cy="1664236"/>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3186000" cy="1664236"/>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w:t>
      </w:r>
      <w:r>
        <w:t xml:space="preserve"> </w:t>
      </w:r>
      <w:r>
        <w:t xml:space="preserve">Supplementary Information submitted alongside this manuscript.</w:t>
      </w:r>
    </w:p>
    <w:p>
      <w:pPr>
        <w:pStyle w:val="BodyText"/>
      </w:pPr>
      <w:r>
        <w:rPr>
          <w:b/>
          <w:bCs/>
        </w:rPr>
        <w:t xml:space="preserve">Supplementary Figure S1.</w:t>
      </w:r>
      <w:r>
        <w:t xml:space="preserve"> </w:t>
      </w:r>
      <w:r>
        <w:t xml:space="preserve">The panel, one mark per estimator, so that no claim rests on a mean a</w:t>
      </w:r>
      <w:r>
        <w:t xml:space="preserve"> </w:t>
      </w:r>
      <w:r>
        <w:t xml:space="preserve">reader cannot check. Training-set size against cross-validated discrimination for every estimator,</w:t>
      </w:r>
      <w:r>
        <w:t xml:space="preserve"> </w:t>
      </w:r>
      <w:r>
        <w:t xml:space="preserve">deployed or withdrawn, coloured by model family; and the same population summarised by family</w:t>
      </w:r>
      <w:r>
        <w:t xml:space="preserve"> </w:t>
      </w:r>
      <w:r>
        <w:t xml:space="preserve">median.</w:t>
      </w:r>
    </w:p>
    <w:p>
      <w:pPr>
        <w:pStyle w:val="BodyText"/>
      </w:pPr>
      <w:r>
        <w:rPr>
          <w:b/>
          <w:bCs/>
        </w:rPr>
        <w:t xml:space="preserve">Supplementary Figure S2.</w:t>
      </w:r>
      <w:r>
        <w:t xml:space="preserve"> </w:t>
      </w:r>
      <w:r>
        <w:t xml:space="preserve">Four validations a cross-validated score cannot replace: expected</w:t>
      </w:r>
      <w:r>
        <w:t xml:space="preserve"> </w:t>
      </w:r>
      <w:r>
        <w:t xml:space="preserve">calibration error before and after isotonic regression; recall on whole scaffold classes withheld</w:t>
      </w:r>
      <w:r>
        <w:t xml:space="preserve"> </w:t>
      </w:r>
      <w:r>
        <w:t xml:space="preserve">before training, with 95% Wilson intervals; specificity on chemistry the server should stay quiet</w:t>
      </w:r>
      <w:r>
        <w:t xml:space="preserve"> </w:t>
      </w:r>
      <w:r>
        <w:t xml:space="preserve">about and external discrimination on approved drugs absent from the training source; and the</w:t>
      </w:r>
      <w:r>
        <w:t xml:space="preserve"> </w:t>
      </w:r>
      <w:r>
        <w:t xml:space="preserve">adversarial suite, in which every check was written so that it could fail.</w:t>
      </w:r>
    </w:p>
    <w:p>
      <w:pPr>
        <w:pStyle w:val="BodyText"/>
      </w:pPr>
      <w:r>
        <w:rPr>
          <w:b/>
          <w:bCs/>
        </w:rPr>
        <w:t xml:space="preserve">Supplementary Figure S3.</w:t>
      </w:r>
      <w:r>
        <w:t xml:space="preserve"> </w:t>
      </w:r>
      <w:r>
        <w:t xml:space="preserve">External validation, and an apparent temporal decay that is a</w:t>
      </w:r>
      <w:r>
        <w:t xml:space="preserve"> </w:t>
      </w:r>
      <w:r>
        <w:t xml:space="preserve">composition effect rather than model drift: per-endpoint AUROC and sensitivity under a size-matched</w:t>
      </w:r>
      <w:r>
        <w:t xml:space="preserve"> </w:t>
      </w:r>
      <w:r>
        <w:t xml:space="preserve">random split against a time split; why the gap exists (a random split holds out mostly close</w:t>
      </w:r>
      <w:r>
        <w:t xml:space="preserve"> </w:t>
      </w:r>
      <w:r>
        <w:t xml:space="preserve">analogues of the training set); and the resolution, recall against maximum Tanimoto similarity to</w:t>
      </w:r>
      <w:r>
        <w:t xml:space="preserve"> </w:t>
      </w:r>
      <w:r>
        <w:t xml:space="preserve">the training actives tracing one curve across three independently built test sets.</w:t>
      </w:r>
    </w:p>
    <w:bookmarkEnd w:id="34"/>
    <w:bookmarkEnd w:id="35"/>
    <w:sectPr>
      <w:type w:val="continuous"/>
      <w:footerReference r:id="rId9" w:type="default"/>
      <w:footnotePr>
        <w:numRestart w:val="eachSect"/>
      </w:footnotePr>
      <w:pgSz w:h="16838" w:w="11906"/>
      <w:pgMar w:bottom="1077" w:left="907" w:right="907" w:top="1077"/>
      <w:lnNumType w:countBy="1" w:distance="360" w:restart="continuous"/>
      <w:cols w:num="2" w:space="4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left"/>
    </w:pPr>
    <w:rPr>
      <w:rFonts w:ascii="Times New Roman" w:cs="Times New Roman" w:hAnsi="Times New Roman"/>
      <w:sz w:val="19"/>
    </w:rPr>
  </w:style>
  <w:style w:styleId="BodyText" w:type="paragraph">
    <w:name w:val="Body Text"/>
    <w:basedOn w:val="Normal"/>
    <w:link w:val="BodyTextChar"/>
    <w:qFormat/>
    <w:pPr>
      <w:spacing w:after="120" w:before="0" w:line="240" w:lineRule="auto"/>
      <w:jc w:val="left"/>
    </w:pPr>
    <w:rPr>
      <w:rFonts w:ascii="Times New Roman" w:cs="Times New Roman" w:hAnsi="Times New Roman"/>
      <w:sz w:val="19"/>
    </w:rPr>
  </w:style>
  <w:style w:customStyle="1" w:styleId="FirstParagraph" w:type="paragraph">
    <w:name w:val="First Paragraph"/>
    <w:basedOn w:val="BodyText"/>
    <w:next w:val="BodyText"/>
    <w:qFormat/>
    <w:pPr>
      <w:spacing w:after="120" w:before="0" w:line="240" w:lineRule="auto"/>
      <w:jc w:val="left"/>
    </w:pPr>
    <w:rPr>
      <w:rFonts w:ascii="Times New Roman" w:cs="Times New Roman" w:hAnsi="Times New Roman"/>
      <w:sz w:val="19"/>
    </w:rPr>
  </w:style>
  <w:style w:customStyle="1" w:styleId="Compact" w:type="paragraph">
    <w:name w:val="Compact"/>
    <w:basedOn w:val="BodyText"/>
    <w:qFormat/>
    <w:pPr>
      <w:spacing w:after="120" w:before="0" w:line="240" w:lineRule="auto"/>
      <w:jc w:val="left"/>
    </w:pPr>
    <w:rPr>
      <w:rFonts w:ascii="Times New Roman" w:cs="Times New Roman" w:hAnsi="Times New Roman"/>
      <w:sz w:val="19"/>
    </w:rPr>
  </w:style>
  <w:style w:styleId="Title" w:type="paragraph">
    <w:name w:val="Title"/>
    <w:basedOn w:val="Normal"/>
    <w:next w:val="BodyText"/>
    <w:link w:val="TitleChar"/>
    <w:uiPriority w:val="10"/>
    <w:qFormat/>
    <w:rsid w:val="00A10FD9"/>
    <w:pPr>
      <w:spacing w:after="160" w:before="0" w:line="276" w:lineRule="auto"/>
      <w:contextualSpacing/>
      <w:jc w:val="left"/>
    </w:pPr>
    <w:rPr>
      <w:rFonts w:ascii="Times New Roman" w:asciiTheme="majorHAnsi" w:cs="Times New Roman" w:cstheme="majorBidi" w:eastAsiaTheme="majorEastAsia" w:hAnsi="Times New Roman" w:hAnsiTheme="majorHAnsi"/>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80" w:before="0" w:line="240" w:lineRule="auto"/>
      <w:jc w:val="left"/>
    </w:pPr>
    <w:rPr>
      <w:rFonts w:ascii="Times New Roman" w:cs="Times New Roman" w:cstheme="majorBidi" w:eastAsiaTheme="majorEastAsia" w:hAnsi="Times New Roman"/>
      <w:i/>
      <w:color w:val="000000"/>
      <w:spacing w:val="15"/>
      <w:sz w:val="19"/>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60" w:before="0" w:line="240" w:lineRule="auto"/>
      <w:jc w:val="left"/>
    </w:pPr>
    <w:rPr>
      <w:rFonts w:ascii="Times New Roman" w:cs="Times New Roman" w:hAnsi="Times New Roman"/>
      <w:sz w:val="19"/>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60" w:before="80" w:line="240" w:lineRule="auto"/>
      <w:jc w:val="left"/>
    </w:pPr>
    <w:rPr>
      <w:rFonts w:ascii="Times New Roman" w:cs="Times New Roman" w:hAnsi="Times New Roman"/>
      <w:b/>
      <w:sz w:val="19"/>
      <w:szCs w:val="20"/>
    </w:rPr>
  </w:style>
  <w:style w:customStyle="1" w:styleId="Abstract" w:type="paragraph">
    <w:name w:val="Abstract"/>
    <w:basedOn w:val="Normal"/>
    <w:next w:val="BodyText"/>
    <w:qFormat/>
    <w:pPr>
      <w:keepNext/>
      <w:keepLines/>
      <w:spacing w:after="120" w:before="0" w:line="240" w:lineRule="auto"/>
      <w:jc w:val="left"/>
    </w:pPr>
    <w:rPr>
      <w:rFonts w:ascii="Times New Roman" w:cs="Times New Roman" w:hAnsi="Times New Roman"/>
      <w:sz w:val="19"/>
      <w:szCs w:val="20"/>
    </w:rPr>
  </w:style>
  <w:style w:styleId="Bibliography" w:type="paragraph">
    <w:name w:val="Bibliography"/>
    <w:basedOn w:val="Normal"/>
    <w:next w:val="Bibliography"/>
    <w:qFormat/>
    <w:pPr>
      <w:spacing w:after="60" w:before="0" w:line="240" w:lineRule="auto"/>
      <w:ind w:hanging="357"/>
      <w:jc w:val="left"/>
    </w:pPr>
    <w:rPr>
      <w:rFonts w:ascii="Times New Roman" w:cs="Times New Roman" w:hAnsi="Times New Roman"/>
      <w:sz w:val="16"/>
    </w:rPr>
  </w:style>
  <w:style w:styleId="Heading1" w:type="paragraph">
    <w:name w:val="heading 1"/>
    <w:basedOn w:val="Normal"/>
    <w:next w:val="BodyText"/>
    <w:link w:val="Heading1Char"/>
    <w:uiPriority w:val="9"/>
    <w:qFormat/>
    <w:rsid w:val="00A10FD9"/>
    <w:pPr>
      <w:keepNext/>
      <w:keepLines/>
      <w:spacing w:after="100" w:before="200" w:line="240" w:lineRule="auto"/>
      <w:jc w:val="left"/>
      <w:outlineLvl w:val="0"/>
    </w:pPr>
    <w:rPr>
      <w:rFonts w:ascii="Times New Roman" w:asciiTheme="majorHAnsi" w:cs="Times New Roman" w:cstheme="majorBidi" w:eastAsiaTheme="majorEastAsia" w:hAnsi="Times New Roman" w:hAnsiTheme="majorHAnsi"/>
      <w:b/>
      <w:color w:val="000000"/>
      <w:sz w:val="2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jc w:val="left"/>
      <w:outlineLvl w:val="1"/>
    </w:pPr>
    <w:rPr>
      <w:rFonts w:ascii="Times New Roman" w:asciiTheme="majorHAnsi" w:cs="Times New Roman" w:cstheme="majorBidi" w:eastAsiaTheme="majorEastAsia" w:hAnsi="Times New Roman" w:hAnsiTheme="majorHAnsi"/>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jc w:val="left"/>
      <w:outlineLvl w:val="2"/>
    </w:pPr>
    <w:rPr>
      <w:rFonts w:ascii="Times New Roman" w:cs="Times New Roman" w:cstheme="majorBidi" w:eastAsiaTheme="majorEastAsia" w:hAnsi="Times New Roman"/>
      <w:b/>
      <w:i/>
      <w:color w:val="000000"/>
      <w:sz w:val="19"/>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jc w:val="left"/>
      <w:outlineLvl w:val="3"/>
    </w:pPr>
    <w:rPr>
      <w:rFonts w:ascii="Times New Roman" w:cs="Times New Roman" w:cstheme="majorBidi" w:eastAsiaTheme="majorEastAsia" w:hAnsi="Times New Roman"/>
      <w:b/>
      <w:i/>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jc w:val="left"/>
      <w:outlineLvl w:val="4"/>
    </w:pPr>
    <w:rPr>
      <w:rFonts w:ascii="Times New Roman" w:cs="Times New Roman" w:cstheme="majorBidi" w:eastAsiaTheme="majorEastAsia" w:hAnsi="Times New Roman"/>
      <w:b/>
      <w:i/>
      <w:color w:val="000000"/>
      <w:sz w:val="19"/>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jc w:val="left"/>
      <w:outlineLvl w:val="5"/>
    </w:pPr>
    <w:rPr>
      <w:rFonts w:ascii="Times New Roman" w:cs="Times New Roman" w:cstheme="majorBidi" w:eastAsiaTheme="majorEastAsia" w:hAnsi="Times New Roman"/>
      <w:b/>
      <w:i/>
      <w:iCs/>
      <w:color w:val="000000"/>
      <w:sz w:val="19"/>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jc w:val="left"/>
      <w:outlineLvl w:val="6"/>
    </w:pPr>
    <w:rPr>
      <w:rFonts w:ascii="Times New Roman" w:cs="Times New Roman" w:cstheme="majorBidi" w:eastAsiaTheme="majorEastAsia" w:hAnsi="Times New Roman"/>
      <w:b/>
      <w:i/>
      <w:color w:val="000000"/>
      <w:sz w:val="19"/>
    </w:rPr>
  </w:style>
  <w:style w:styleId="Heading8" w:type="paragraph">
    <w:name w:val="heading 8"/>
    <w:basedOn w:val="Normal"/>
    <w:next w:val="BodyText"/>
    <w:link w:val="Heading8Char"/>
    <w:uiPriority w:val="9"/>
    <w:semiHidden/>
    <w:unhideWhenUsed/>
    <w:qFormat/>
    <w:rsid w:val="00A10FD9"/>
    <w:pPr>
      <w:keepNext/>
      <w:keepLines/>
      <w:spacing w:after="60" w:before="120" w:line="240" w:lineRule="auto"/>
      <w:jc w:val="left"/>
      <w:outlineLvl w:val="7"/>
    </w:pPr>
    <w:rPr>
      <w:rFonts w:ascii="Times New Roman" w:cs="Times New Roman" w:cstheme="majorBidi" w:eastAsiaTheme="majorEastAsia" w:hAnsi="Times New Roman"/>
      <w:b/>
      <w:i/>
      <w:iCs/>
      <w:color w:val="000000"/>
      <w:sz w:val="19"/>
    </w:rPr>
  </w:style>
  <w:style w:styleId="Heading9" w:type="paragraph">
    <w:name w:val="heading 9"/>
    <w:basedOn w:val="Normal"/>
    <w:next w:val="BodyText"/>
    <w:link w:val="Heading9Char"/>
    <w:uiPriority w:val="9"/>
    <w:semiHidden/>
    <w:unhideWhenUsed/>
    <w:qFormat/>
    <w:rsid w:val="00A10FD9"/>
    <w:pPr>
      <w:keepNext/>
      <w:keepLines/>
      <w:spacing w:after="60" w:before="120" w:line="240" w:lineRule="auto"/>
      <w:jc w:val="left"/>
      <w:outlineLvl w:val="8"/>
    </w:pPr>
    <w:rPr>
      <w:rFonts w:ascii="Times New Roman" w:cs="Times New Roman" w:cstheme="majorBidi" w:eastAsiaTheme="majorEastAsia" w:hAnsi="Times New Roman"/>
      <w:b/>
      <w:i/>
      <w:color w:val="000000"/>
      <w:sz w:val="19"/>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20" w:before="0" w:line="240" w:lineRule="auto"/>
      <w:ind w:firstLine="0" w:left="480" w:right="480"/>
      <w:jc w:val="left"/>
    </w:pPr>
    <w:rPr>
      <w:rFonts w:ascii="Times New Roman" w:cs="Times New Roman" w:hAnsi="Times New Roman"/>
      <w:sz w:val="19"/>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16"/>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7"/>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jc w:val="left"/>
    </w:pPr>
    <w:rPr>
      <w:rFonts w:ascii="Times New Roman" w:cs="Times New Roman" w:hAnsi="Times New Roman"/>
      <w:b/>
      <w:i/>
      <w:sz w:val="17"/>
    </w:rPr>
  </w:style>
  <w:style w:customStyle="1" w:styleId="TableCaption" w:type="paragraph">
    <w:name w:val="Table Caption"/>
    <w:basedOn w:val="Caption"/>
    <w:pPr>
      <w:keepNext/>
      <w:spacing w:after="80" w:before="60" w:line="240" w:lineRule="auto"/>
      <w:jc w:val="left"/>
    </w:pPr>
    <w:rPr>
      <w:rFonts w:ascii="Times New Roman" w:cs="Times New Roman" w:hAnsi="Times New Roman"/>
      <w:b/>
      <w:sz w:val="17"/>
    </w:rPr>
  </w:style>
  <w:style w:customStyle="1" w:styleId="ImageCaption" w:type="paragraph">
    <w:name w:val="Image Caption"/>
    <w:basedOn w:val="Caption"/>
    <w:pPr>
      <w:spacing w:after="120" w:before="60" w:line="240" w:lineRule="auto"/>
      <w:jc w:val="left"/>
    </w:pPr>
    <w:rPr>
      <w:rFonts w:ascii="Times New Roman" w:cs="Times New Roman" w:hAnsi="Times New Roman"/>
      <w: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31" Type="http://schemas.openxmlformats.org/officeDocument/2006/relationships/image" Target="media/rId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2026-09-18T23:59:11Z</dcterms:created>
  <dcterms:modified xsi:type="dcterms:W3CDTF">2026-09-18T23:59:11Z</dcterms:modified>
</cp:coreProperties>
</file>

<file path=docProps/custom.xml><?xml version="1.0" encoding="utf-8"?>
<Properties xmlns="http://schemas.openxmlformats.org/officeDocument/2006/custom-properties" xmlns:vt="http://schemas.openxmlformats.org/officeDocument/2006/docPropsVTypes"/>
</file>